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D66D" w14:textId="77777777" w:rsidR="00925D0A" w:rsidRDefault="00925D0A" w:rsidP="005F34D2">
      <w:pPr>
        <w:autoSpaceDE w:val="0"/>
        <w:autoSpaceDN w:val="0"/>
        <w:adjustRightInd w:val="0"/>
        <w:rPr>
          <w:rStyle w:val="Wyrnieniedelikatne"/>
        </w:rPr>
      </w:pPr>
    </w:p>
    <w:p w14:paraId="41426F21" w14:textId="2FD180CA" w:rsidR="00292487" w:rsidRPr="00176967" w:rsidRDefault="00292487" w:rsidP="00176967">
      <w:pPr>
        <w:suppressAutoHyphens/>
        <w:spacing w:after="0" w:line="240" w:lineRule="auto"/>
        <w:rPr>
          <w:rFonts w:eastAsia="Arial" w:cstheme="minorHAnsi"/>
          <w:b/>
          <w:lang w:eastAsia="ar-SA"/>
        </w:rPr>
      </w:pPr>
      <w:r>
        <w:rPr>
          <w:rFonts w:eastAsia="Times New Roman" w:cstheme="minorHAnsi"/>
          <w:b/>
          <w:i/>
          <w:lang w:eastAsia="zh-CN"/>
        </w:rPr>
        <w:t>Załącznik Nr 1 do SWZ</w:t>
      </w:r>
    </w:p>
    <w:p w14:paraId="2CAE0AF9" w14:textId="77777777" w:rsidR="00292487" w:rsidRDefault="00292487" w:rsidP="00292487">
      <w:pPr>
        <w:suppressAutoHyphens/>
        <w:spacing w:after="0" w:line="240" w:lineRule="auto"/>
        <w:rPr>
          <w:rFonts w:eastAsia="Times New Roman" w:cstheme="minorHAnsi"/>
          <w:b/>
          <w:i/>
          <w:lang w:eastAsia="zh-CN"/>
        </w:rPr>
      </w:pPr>
    </w:p>
    <w:p w14:paraId="5950F386" w14:textId="77777777" w:rsidR="00097DC3" w:rsidRDefault="00097DC3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</w:p>
    <w:p w14:paraId="2BE7BEF6" w14:textId="6F919AF1" w:rsidR="00292487" w:rsidRDefault="00885EC9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d</w:t>
      </w:r>
      <w:r w:rsidR="00292487">
        <w:rPr>
          <w:rFonts w:eastAsia="Times New Roman" w:cstheme="minorHAnsi"/>
          <w:lang w:eastAsia="zh-CN"/>
        </w:rPr>
        <w:t>n</w:t>
      </w:r>
      <w:r>
        <w:rPr>
          <w:rFonts w:eastAsia="Times New Roman" w:cstheme="minorHAnsi"/>
          <w:lang w:eastAsia="zh-CN"/>
        </w:rPr>
        <w:t>.</w:t>
      </w:r>
      <w:r w:rsidR="00292487">
        <w:rPr>
          <w:rFonts w:eastAsia="Times New Roman" w:cstheme="minorHAnsi"/>
          <w:lang w:eastAsia="zh-CN"/>
        </w:rPr>
        <w:t>.....................................</w:t>
      </w:r>
    </w:p>
    <w:p w14:paraId="7495A84C" w14:textId="77777777" w:rsidR="00292487" w:rsidRDefault="00292487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........................................................</w:t>
      </w:r>
    </w:p>
    <w:p w14:paraId="2C667002" w14:textId="77777777" w:rsidR="00292487" w:rsidRDefault="00292487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i/>
          <w:lang w:eastAsia="zh-CN"/>
        </w:rPr>
        <w:t xml:space="preserve">Nazwa (firma) albo imię i nazwisko, </w:t>
      </w:r>
    </w:p>
    <w:p w14:paraId="70E3D510" w14:textId="77777777" w:rsidR="00292487" w:rsidRDefault="00292487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i/>
          <w:lang w:eastAsia="zh-CN"/>
        </w:rPr>
        <w:t xml:space="preserve">siedziba albo miejsce zamieszkania </w:t>
      </w:r>
    </w:p>
    <w:p w14:paraId="6F71CCEE" w14:textId="77777777" w:rsidR="00292487" w:rsidRDefault="00292487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i/>
          <w:lang w:eastAsia="zh-CN"/>
        </w:rPr>
        <w:t>i adres Wykonawcy</w:t>
      </w:r>
    </w:p>
    <w:p w14:paraId="13469389" w14:textId="77777777" w:rsidR="00176967" w:rsidRDefault="00176967" w:rsidP="00292487">
      <w:pPr>
        <w:suppressAutoHyphens/>
        <w:spacing w:after="0" w:line="360" w:lineRule="auto"/>
        <w:rPr>
          <w:rFonts w:eastAsia="Times New Roman" w:cstheme="minorHAnsi"/>
          <w:b/>
          <w:lang w:eastAsia="zh-CN"/>
        </w:rPr>
      </w:pPr>
    </w:p>
    <w:p w14:paraId="7BCFCC0E" w14:textId="77777777" w:rsidR="00292487" w:rsidRDefault="00292487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b/>
          <w:lang w:eastAsia="zh-CN"/>
        </w:rPr>
        <w:t>FORMULARZ OFERTOWY</w:t>
      </w:r>
    </w:p>
    <w:p w14:paraId="492051B1" w14:textId="77777777" w:rsidR="00D5491B" w:rsidRDefault="00D5491B" w:rsidP="00D5491B">
      <w:pPr>
        <w:keepNext/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</w:p>
    <w:p w14:paraId="592A5C35" w14:textId="0DBF5940" w:rsidR="00D5491B" w:rsidRPr="00D4553A" w:rsidRDefault="00D5491B" w:rsidP="00D5491B">
      <w:pPr>
        <w:keepNext/>
        <w:suppressAutoHyphens/>
        <w:spacing w:after="0" w:line="360" w:lineRule="auto"/>
        <w:rPr>
          <w:rFonts w:eastAsia="Times New Roman" w:cstheme="minorHAnsi"/>
          <w:lang w:eastAsia="ar-SA"/>
        </w:rPr>
      </w:pPr>
      <w:r w:rsidRPr="00D4553A">
        <w:rPr>
          <w:rFonts w:eastAsia="Times New Roman" w:cstheme="minorHAnsi"/>
          <w:lang w:eastAsia="ar-SA"/>
        </w:rPr>
        <w:t xml:space="preserve">Nr sprawy: </w:t>
      </w:r>
      <w:proofErr w:type="spellStart"/>
      <w:r w:rsidRPr="0002595F">
        <w:rPr>
          <w:rFonts w:cstheme="minorHAnsi"/>
        </w:rPr>
        <w:t>AODPiG</w:t>
      </w:r>
      <w:proofErr w:type="spellEnd"/>
      <w:r w:rsidRPr="0002595F">
        <w:rPr>
          <w:rFonts w:cstheme="minorHAnsi"/>
        </w:rPr>
        <w:t>-M/ZP/</w:t>
      </w:r>
      <w:r w:rsidR="004E5616" w:rsidRPr="0002595F">
        <w:rPr>
          <w:rFonts w:cstheme="minorHAnsi"/>
        </w:rPr>
        <w:t>11</w:t>
      </w:r>
      <w:r w:rsidRPr="0002595F">
        <w:rPr>
          <w:rFonts w:cstheme="minorHAnsi"/>
        </w:rPr>
        <w:t>/2022</w:t>
      </w:r>
    </w:p>
    <w:p w14:paraId="486D0015" w14:textId="77777777" w:rsidR="00176967" w:rsidRDefault="00176967" w:rsidP="001769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596B38E" w14:textId="77777777" w:rsidR="00176967" w:rsidRPr="00E16F04" w:rsidRDefault="00176967" w:rsidP="001769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16F04">
        <w:rPr>
          <w:rFonts w:cstheme="minorHAnsi"/>
          <w:b/>
          <w:bCs/>
        </w:rPr>
        <w:t xml:space="preserve">Akademicki Ośrodek Diagnostyki Patomorfologicznej i </w:t>
      </w:r>
      <w:proofErr w:type="spellStart"/>
      <w:r w:rsidRPr="00E16F04">
        <w:rPr>
          <w:rFonts w:cstheme="minorHAnsi"/>
          <w:b/>
          <w:bCs/>
        </w:rPr>
        <w:t>Genetyczno</w:t>
      </w:r>
      <w:proofErr w:type="spellEnd"/>
      <w:r w:rsidRPr="00E16F04">
        <w:rPr>
          <w:rFonts w:cstheme="minorHAnsi"/>
          <w:b/>
          <w:bCs/>
        </w:rPr>
        <w:t xml:space="preserve"> – Molekularnej </w:t>
      </w:r>
    </w:p>
    <w:p w14:paraId="51731EAF" w14:textId="1E4DEEA5" w:rsidR="00176967" w:rsidRPr="00E16F04" w:rsidRDefault="00176967" w:rsidP="001769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16F04">
        <w:rPr>
          <w:rFonts w:cstheme="minorHAnsi"/>
          <w:b/>
          <w:bCs/>
        </w:rPr>
        <w:t>Spółka z ograniczoną odpowiedzialnością</w:t>
      </w:r>
      <w:r w:rsidR="00471D75">
        <w:rPr>
          <w:rFonts w:cstheme="minorHAnsi"/>
          <w:b/>
          <w:bCs/>
        </w:rPr>
        <w:t xml:space="preserve"> </w:t>
      </w:r>
      <w:r w:rsidRPr="00E16F04">
        <w:rPr>
          <w:rFonts w:cstheme="minorHAnsi"/>
          <w:b/>
          <w:bCs/>
        </w:rPr>
        <w:t xml:space="preserve"> ul. Jerzego Waszyngtona 13 </w:t>
      </w:r>
      <w:r w:rsidR="00471D75">
        <w:rPr>
          <w:rFonts w:cstheme="minorHAnsi"/>
          <w:b/>
          <w:bCs/>
        </w:rPr>
        <w:t xml:space="preserve"> </w:t>
      </w:r>
      <w:r w:rsidRPr="00E16F04">
        <w:rPr>
          <w:rFonts w:cstheme="minorHAnsi"/>
          <w:b/>
          <w:bCs/>
        </w:rPr>
        <w:t>15-269 Białystok</w:t>
      </w:r>
    </w:p>
    <w:p w14:paraId="352AEB9E" w14:textId="77777777" w:rsidR="00292487" w:rsidRDefault="00292487" w:rsidP="00292487">
      <w:pPr>
        <w:suppressAutoHyphens/>
        <w:spacing w:after="0" w:line="360" w:lineRule="auto"/>
        <w:ind w:left="5528"/>
        <w:rPr>
          <w:rFonts w:eastAsia="Times New Roman" w:cstheme="minorHAnsi"/>
          <w:b/>
          <w:lang w:eastAsia="zh-CN"/>
        </w:rPr>
      </w:pPr>
    </w:p>
    <w:p w14:paraId="4A9DD740" w14:textId="3F68D7B2" w:rsidR="00292487" w:rsidRDefault="00292487" w:rsidP="00176967">
      <w:pPr>
        <w:tabs>
          <w:tab w:val="center" w:pos="4818"/>
          <w:tab w:val="left" w:pos="7545"/>
        </w:tabs>
        <w:spacing w:after="120" w:line="240" w:lineRule="auto"/>
        <w:rPr>
          <w:rFonts w:eastAsia="Times New Roman" w:cstheme="minorHAnsi"/>
          <w:lang w:eastAsia="x-none"/>
        </w:rPr>
      </w:pPr>
      <w:r w:rsidRPr="00471D75">
        <w:rPr>
          <w:rFonts w:eastAsia="Times New Roman" w:cstheme="minorHAnsi"/>
          <w:lang w:eastAsia="zh-CN"/>
        </w:rPr>
        <w:t xml:space="preserve">Odpowiadając na </w:t>
      </w:r>
      <w:r w:rsidR="00176967" w:rsidRPr="00471D75">
        <w:rPr>
          <w:rFonts w:eastAsia="Times New Roman" w:cstheme="minorHAnsi"/>
          <w:lang w:eastAsia="zh-CN"/>
        </w:rPr>
        <w:t xml:space="preserve">zapytanie dotyczące </w:t>
      </w:r>
      <w:r w:rsidR="00176967" w:rsidRPr="00471D75">
        <w:rPr>
          <w:rFonts w:cstheme="minorHAnsi"/>
          <w:bCs/>
        </w:rPr>
        <w:t>dostawy</w:t>
      </w:r>
      <w:r w:rsidR="00AC6CF8" w:rsidRPr="00471D75">
        <w:rPr>
          <w:rFonts w:cstheme="minorHAnsi"/>
        </w:rPr>
        <w:t xml:space="preserve"> </w:t>
      </w:r>
      <w:r w:rsidR="00CD48D7">
        <w:rPr>
          <w:rFonts w:eastAsia="Times New Roman" w:cstheme="minorHAnsi"/>
          <w:lang w:eastAsia="x-none"/>
        </w:rPr>
        <w:t>odczynników</w:t>
      </w:r>
      <w:r w:rsidR="00E2385A">
        <w:rPr>
          <w:rFonts w:eastAsia="Times New Roman" w:cstheme="minorHAnsi"/>
          <w:lang w:eastAsia="x-none"/>
        </w:rPr>
        <w:t xml:space="preserve"> laboratoryjnych</w:t>
      </w:r>
      <w:r w:rsidR="003D668C">
        <w:rPr>
          <w:rFonts w:eastAsia="Times New Roman" w:cstheme="minorHAnsi"/>
          <w:lang w:eastAsia="x-none"/>
        </w:rPr>
        <w:t>,</w:t>
      </w:r>
      <w:r w:rsidR="000E3452">
        <w:rPr>
          <w:rFonts w:eastAsia="Times New Roman" w:cstheme="minorHAnsi"/>
          <w:lang w:eastAsia="x-none"/>
        </w:rPr>
        <w:t xml:space="preserve"> </w:t>
      </w:r>
      <w:r>
        <w:rPr>
          <w:rFonts w:eastAsia="Times New Roman" w:cstheme="minorHAnsi"/>
          <w:lang w:eastAsia="zh-CN"/>
        </w:rPr>
        <w:t>zg</w:t>
      </w:r>
      <w:r w:rsidR="00BB7B5A">
        <w:rPr>
          <w:rFonts w:eastAsia="Times New Roman" w:cstheme="minorHAnsi"/>
          <w:lang w:eastAsia="zh-CN"/>
        </w:rPr>
        <w:t>odnie z wymaganiami</w:t>
      </w:r>
      <w:r w:rsidR="00F80291">
        <w:rPr>
          <w:rFonts w:eastAsia="Times New Roman" w:cstheme="minorHAnsi"/>
          <w:lang w:eastAsia="zh-CN"/>
        </w:rPr>
        <w:t xml:space="preserve"> określonymi w Specyfikacji Warunków Z</w:t>
      </w:r>
      <w:r>
        <w:rPr>
          <w:rFonts w:eastAsia="Times New Roman" w:cstheme="minorHAnsi"/>
          <w:lang w:eastAsia="zh-CN"/>
        </w:rPr>
        <w:t>amówienia, oferuje</w:t>
      </w:r>
      <w:r w:rsidR="00150B35">
        <w:rPr>
          <w:rFonts w:eastAsia="Times New Roman" w:cstheme="minorHAnsi"/>
          <w:lang w:eastAsia="zh-CN"/>
        </w:rPr>
        <w:t>my wykonanie zamówienia, zgodnie z poniższą specyfikacją</w:t>
      </w:r>
      <w:r>
        <w:rPr>
          <w:rFonts w:eastAsia="Times New Roman" w:cstheme="minorHAnsi"/>
          <w:lang w:eastAsia="zh-CN"/>
        </w:rPr>
        <w:t>:</w:t>
      </w:r>
    </w:p>
    <w:p w14:paraId="57676DDF" w14:textId="77777777" w:rsidR="007A0E1F" w:rsidRPr="00AC0FAE" w:rsidRDefault="007A0E1F" w:rsidP="007A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822"/>
        <w:gridCol w:w="708"/>
        <w:gridCol w:w="1418"/>
        <w:gridCol w:w="1134"/>
        <w:gridCol w:w="1276"/>
        <w:gridCol w:w="1984"/>
        <w:gridCol w:w="2552"/>
      </w:tblGrid>
      <w:tr w:rsidR="00AC0FAE" w:rsidRPr="00AC0FAE" w14:paraId="66E1596E" w14:textId="45469F22" w:rsidTr="009A504A">
        <w:tc>
          <w:tcPr>
            <w:tcW w:w="704" w:type="dxa"/>
            <w:vAlign w:val="center"/>
          </w:tcPr>
          <w:p w14:paraId="7AA1314C" w14:textId="4DBEFD8D" w:rsidR="00CD4807" w:rsidRPr="00AC0FAE" w:rsidRDefault="004B5088" w:rsidP="001F25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0FAE"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77" w:type="dxa"/>
            <w:vAlign w:val="center"/>
          </w:tcPr>
          <w:p w14:paraId="14ED1803" w14:textId="77777777" w:rsidR="00CD4807" w:rsidRPr="00AC0FAE" w:rsidRDefault="00CD4807" w:rsidP="001F25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22" w:type="dxa"/>
            <w:vAlign w:val="center"/>
          </w:tcPr>
          <w:p w14:paraId="66BEF80A" w14:textId="77777777" w:rsidR="00CD4807" w:rsidRPr="00AC0FAE" w:rsidRDefault="00CD4807" w:rsidP="001F25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Jednostka</w:t>
            </w:r>
          </w:p>
          <w:p w14:paraId="473E8660" w14:textId="77777777" w:rsidR="00CD4807" w:rsidRPr="00AC0FAE" w:rsidRDefault="00CD4807" w:rsidP="001F25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708" w:type="dxa"/>
            <w:vAlign w:val="center"/>
          </w:tcPr>
          <w:p w14:paraId="44B5FC8C" w14:textId="77777777" w:rsidR="00CD4807" w:rsidRPr="00AC0FAE" w:rsidRDefault="00CD4807" w:rsidP="001F252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  <w:vAlign w:val="center"/>
          </w:tcPr>
          <w:p w14:paraId="14A66160" w14:textId="6288E8EF" w:rsidR="00CD4807" w:rsidRPr="00AC0FAE" w:rsidRDefault="00CD4807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134" w:type="dxa"/>
            <w:vAlign w:val="center"/>
          </w:tcPr>
          <w:p w14:paraId="5BC0E3EF" w14:textId="77D7377A" w:rsidR="00CD4807" w:rsidRPr="00AC0FAE" w:rsidRDefault="00CD4807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Wartość netto (PLN)</w:t>
            </w:r>
          </w:p>
        </w:tc>
        <w:tc>
          <w:tcPr>
            <w:tcW w:w="1276" w:type="dxa"/>
            <w:vAlign w:val="center"/>
          </w:tcPr>
          <w:p w14:paraId="0F829D35" w14:textId="289AF54A" w:rsidR="00CD4807" w:rsidRPr="00AC0FAE" w:rsidRDefault="00CD4807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Podatek VAT</w:t>
            </w:r>
          </w:p>
          <w:p w14:paraId="651E3D4F" w14:textId="77777777" w:rsidR="00EC16AB" w:rsidRPr="00AC0FAE" w:rsidRDefault="00CD4807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(%)</w:t>
            </w:r>
          </w:p>
          <w:p w14:paraId="638DAEC5" w14:textId="44BB6BAA" w:rsidR="00CD4807" w:rsidRPr="00AC0FAE" w:rsidRDefault="00EC16AB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 xml:space="preserve"> i </w:t>
            </w:r>
          </w:p>
          <w:p w14:paraId="4DF26389" w14:textId="1E856BC2" w:rsidR="00CD4807" w:rsidRPr="00AC0FAE" w:rsidRDefault="00CD4807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(PLN)</w:t>
            </w:r>
          </w:p>
        </w:tc>
        <w:tc>
          <w:tcPr>
            <w:tcW w:w="1984" w:type="dxa"/>
            <w:vAlign w:val="center"/>
          </w:tcPr>
          <w:p w14:paraId="47EC2A59" w14:textId="39FC12D0" w:rsidR="00CD4807" w:rsidRPr="00AC0FAE" w:rsidRDefault="00CD4807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Wartość brutto (PLN)</w:t>
            </w:r>
          </w:p>
        </w:tc>
        <w:tc>
          <w:tcPr>
            <w:tcW w:w="2552" w:type="dxa"/>
          </w:tcPr>
          <w:p w14:paraId="4153A8AE" w14:textId="09C3E152" w:rsidR="00CD4807" w:rsidRPr="00AC0FAE" w:rsidRDefault="00CD4807" w:rsidP="00F320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0FAE">
              <w:rPr>
                <w:rFonts w:cstheme="minorHAnsi"/>
                <w:b/>
                <w:sz w:val="20"/>
                <w:szCs w:val="20"/>
              </w:rPr>
              <w:t>Producent, nazwa i numer katalogowy oferowanego produktu</w:t>
            </w:r>
          </w:p>
        </w:tc>
      </w:tr>
      <w:tr w:rsidR="00AC0FAE" w:rsidRPr="00AC0FAE" w14:paraId="2BD51D60" w14:textId="417AE012" w:rsidTr="009A504A">
        <w:tc>
          <w:tcPr>
            <w:tcW w:w="704" w:type="dxa"/>
            <w:vAlign w:val="center"/>
          </w:tcPr>
          <w:p w14:paraId="316933D1" w14:textId="29D4AB31" w:rsidR="00CD4807" w:rsidRPr="00AC0FAE" w:rsidRDefault="00CD4807" w:rsidP="001F25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14:paraId="2BF5B70A" w14:textId="5EB83CEF" w:rsidR="00CD4807" w:rsidRPr="00AC0FAE" w:rsidRDefault="00CD4807" w:rsidP="001F25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14:paraId="0C7BB382" w14:textId="5D067743" w:rsidR="00CD4807" w:rsidRPr="00AC0FAE" w:rsidRDefault="00CD4807" w:rsidP="001F25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14:paraId="00A23089" w14:textId="5C1A2865" w:rsidR="00CD4807" w:rsidRPr="00AC0FAE" w:rsidRDefault="00CD4807" w:rsidP="001F25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692CB4FC" w14:textId="728C8979" w:rsidR="00CD4807" w:rsidRPr="00AC0FAE" w:rsidRDefault="00CD4807" w:rsidP="00F3205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732810BF" w14:textId="1482DE8C" w:rsidR="00CD4807" w:rsidRPr="00AC0FAE" w:rsidRDefault="00CD4807" w:rsidP="00F3205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63175596" w14:textId="7BA0506F" w:rsidR="00CD4807" w:rsidRPr="00AC0FAE" w:rsidRDefault="00CD4807" w:rsidP="00F3205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  <w:vAlign w:val="center"/>
          </w:tcPr>
          <w:p w14:paraId="113B5268" w14:textId="503ABFA3" w:rsidR="00CD4807" w:rsidRPr="00AC0FAE" w:rsidRDefault="00CD4807" w:rsidP="00F3205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14:paraId="21F2E99C" w14:textId="64C33BFE" w:rsidR="00CD4807" w:rsidRPr="00AC0FAE" w:rsidRDefault="003D668C" w:rsidP="00F3205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C0FAE">
              <w:rPr>
                <w:rFonts w:cstheme="minorHAnsi"/>
                <w:b/>
                <w:sz w:val="18"/>
                <w:szCs w:val="18"/>
              </w:rPr>
              <w:t>9</w:t>
            </w:r>
          </w:p>
        </w:tc>
      </w:tr>
      <w:tr w:rsidR="00546288" w:rsidRPr="00AC0FAE" w14:paraId="5871045B" w14:textId="7EF8BBB1" w:rsidTr="009A504A">
        <w:tc>
          <w:tcPr>
            <w:tcW w:w="704" w:type="dxa"/>
            <w:vAlign w:val="center"/>
          </w:tcPr>
          <w:p w14:paraId="6E30C8EB" w14:textId="77777777" w:rsidR="00546288" w:rsidRPr="00AC0FAE" w:rsidRDefault="00546288" w:rsidP="00546288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14:paraId="666DE995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Testy do identyfikacji COVID - 19 metodą RT-PCR. Nie wymagające użycia izolacji</w:t>
            </w:r>
          </w:p>
          <w:p w14:paraId="21A6D43E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Test przeznaczony do oznaczania RNA wirusa SARS-CoV-2 w próbkach: wymazy, media transportowe. Wymagana oficjalna walidacja producenta.</w:t>
            </w:r>
          </w:p>
          <w:p w14:paraId="18292392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Test jakościowy PCR czasu rzeczywistego, z certyfikatem CE/IVD,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zwalidowany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do użytku z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termocyklerami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m.in. CFX96 (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Bio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-Rad), ABI 7500 (Applied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Biosystems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),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LightCycler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480 (Roche),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croBEE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RT PCR (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Geneproof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), SLAN Real-Time PCR System, MIC (BMS)  i inne,</w:t>
            </w:r>
          </w:p>
          <w:p w14:paraId="7D4651BB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Zestaw umożliwiający bezpośrednie wykrywanie RNA wirusa, bez etapu izolacji RNA, jedynie za pomocą dedykowanych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wymazówek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. Procedura bezpośredniego wykrywania nie wymaga podgrzewania, wirowania ani żadnej dodatkowej czynności – próbka dodawana jest bezpośrednio do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mastermixu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  <w:p w14:paraId="0DBA6DE5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Czułość testu nie gorsza niż 600 IU/ml</w:t>
            </w:r>
          </w:p>
          <w:p w14:paraId="4416A084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Zestaw z odczynnikami w formie płynnej, z gotową do użycia mieszaniną reakcyjną (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mastermix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), poporcjowaną w co najmniej 4 oddzielne ampułki.</w:t>
            </w:r>
          </w:p>
          <w:p w14:paraId="3318B5E1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lastRenderedPageBreak/>
              <w:t>Odczynniki pozwalające na co najmniej 3 cykle rozmrażania/zamrażania.</w:t>
            </w:r>
          </w:p>
          <w:p w14:paraId="56064EFB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Kontrola wewnętrzna i pozytywna wchodzą w skład zestawu.</w:t>
            </w:r>
          </w:p>
          <w:p w14:paraId="4B10CFA5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Endogenna kontrola wewnętrzna (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RNaza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P) umożliwiająca kontrolę jakości pobranego wymazu oraz procesu izolacji kwasów nukleinowych</w:t>
            </w:r>
          </w:p>
          <w:p w14:paraId="5EFACC53" w14:textId="77777777" w:rsidR="00546288" w:rsidRPr="0002595F" w:rsidRDefault="00546288" w:rsidP="00546288">
            <w:pPr>
              <w:pStyle w:val="gwpf4579110contentpasted11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Całkowita objętość mieszaniny reakcyjnej - do 25 </w:t>
            </w:r>
            <w:proofErr w:type="spellStart"/>
            <w:r w:rsidRPr="0002595F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μ</w:t>
            </w: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l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  <w:p w14:paraId="567D6EC2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Opakowanie testu umożliwia przeprowadzenie 100 reakcji.</w:t>
            </w:r>
          </w:p>
          <w:p w14:paraId="250EE3D1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Test umożliwia wykrycie genów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RdRP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 N oraz E.</w:t>
            </w:r>
          </w:p>
          <w:p w14:paraId="47468C83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Test korzystający z 3 kanałów w </w:t>
            </w:r>
            <w:proofErr w:type="spellStart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termocyklerze</w:t>
            </w:r>
            <w:proofErr w:type="spellEnd"/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– FAM, HEX i Cy5.</w:t>
            </w:r>
          </w:p>
          <w:p w14:paraId="78895148" w14:textId="77777777" w:rsidR="00546288" w:rsidRPr="0002595F" w:rsidRDefault="00546288" w:rsidP="00546288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02595F">
              <w:rPr>
                <w:rStyle w:val="gwpf4579110contentpasted1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Zestaw z technologią "hot-start"</w:t>
            </w:r>
          </w:p>
          <w:p w14:paraId="6098D827" w14:textId="4700333D" w:rsidR="00546288" w:rsidRPr="0002595F" w:rsidRDefault="00546288" w:rsidP="00546288">
            <w:pPr>
              <w:pStyle w:val="Akapitzlist"/>
              <w:spacing w:before="100" w:beforeAutospacing="1" w:after="100" w:afterAutospacing="1"/>
              <w:ind w:left="-108"/>
              <w:outlineLvl w:val="0"/>
              <w:rPr>
                <w:rFonts w:eastAsia="Times New Roman" w:cstheme="minorHAnsi"/>
                <w:bCs/>
                <w:kern w:val="36"/>
                <w:sz w:val="22"/>
                <w:szCs w:val="22"/>
              </w:rPr>
            </w:pPr>
            <w:r w:rsidRPr="0002595F">
              <w:rPr>
                <w:rStyle w:val="gwpf4579110contentpasted1"/>
                <w:rFonts w:cstheme="minorHAnsi"/>
                <w:sz w:val="18"/>
                <w:szCs w:val="18"/>
                <w:shd w:val="clear" w:color="auto" w:fill="FFFFFF"/>
              </w:rPr>
              <w:t>Zestaw zawierający UDG (uracyl-DNA-glikozylaza) usuwającą potencjalną kontaminację produktami amplifikacji</w:t>
            </w:r>
          </w:p>
        </w:tc>
        <w:tc>
          <w:tcPr>
            <w:tcW w:w="822" w:type="dxa"/>
            <w:vAlign w:val="center"/>
          </w:tcPr>
          <w:p w14:paraId="62A948E0" w14:textId="2E1DA355" w:rsidR="00546288" w:rsidRPr="0002595F" w:rsidRDefault="00546288" w:rsidP="00546288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lastRenderedPageBreak/>
              <w:t>opakowanie</w:t>
            </w:r>
          </w:p>
        </w:tc>
        <w:tc>
          <w:tcPr>
            <w:tcW w:w="708" w:type="dxa"/>
            <w:vAlign w:val="center"/>
          </w:tcPr>
          <w:p w14:paraId="135DAB1F" w14:textId="3C7151FB" w:rsidR="00546288" w:rsidRPr="0002595F" w:rsidRDefault="00546288" w:rsidP="00546288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t>10</w:t>
            </w:r>
          </w:p>
        </w:tc>
        <w:tc>
          <w:tcPr>
            <w:tcW w:w="1418" w:type="dxa"/>
            <w:vAlign w:val="center"/>
          </w:tcPr>
          <w:p w14:paraId="0B7A6D67" w14:textId="03E74DD0" w:rsidR="00546288" w:rsidRPr="00AC0FAE" w:rsidRDefault="00546288" w:rsidP="00546288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32D040" w14:textId="77777777" w:rsidR="00546288" w:rsidRPr="00AC0FAE" w:rsidRDefault="00546288" w:rsidP="005462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2C3B12D" w14:textId="11F52FAE" w:rsidR="00546288" w:rsidRPr="00AC0FAE" w:rsidRDefault="00546288" w:rsidP="005462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021FBCE6" w14:textId="77777777" w:rsidR="00546288" w:rsidRPr="00AC0FAE" w:rsidRDefault="00546288" w:rsidP="005462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27457415" w14:textId="77777777" w:rsidR="00546288" w:rsidRPr="00AC0FAE" w:rsidRDefault="00546288" w:rsidP="00546288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22FEB8C3" w14:textId="2E8309FE" w:rsidTr="009A504A">
        <w:tc>
          <w:tcPr>
            <w:tcW w:w="704" w:type="dxa"/>
            <w:vAlign w:val="center"/>
          </w:tcPr>
          <w:p w14:paraId="02C0FE64" w14:textId="367E13B1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14:paraId="06FAE2B5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Multipleksowy zestaw do wykrywania SARS-CoV-2</w:t>
            </w:r>
          </w:p>
          <w:p w14:paraId="61D7E5BC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 xml:space="preserve">-możliwość oznaczeń zarówno z następujących materiałów: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aspiratu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z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nosogardzieli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, z wymazu z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nosogardzieli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>, popłuczyn oskrzelowo-pęcherzykowych, wymazu z gardła i plwociny</w:t>
            </w:r>
          </w:p>
          <w:p w14:paraId="32954F0A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 xml:space="preserve">-zakres diagnostyczny –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Koronawirus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SARS-CoV-2,  jednoczesna </w:t>
            </w:r>
            <w:r w:rsidRPr="0002595F">
              <w:rPr>
                <w:rFonts w:cstheme="minorHAnsi"/>
                <w:sz w:val="18"/>
                <w:szCs w:val="18"/>
              </w:rPr>
              <w:lastRenderedPageBreak/>
              <w:t xml:space="preserve">amplifikacja i detekcja kwasów nukleinowych genu E, genu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RDpR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>, genu S i genu N z kontrolą wewnętrzną (IC)</w:t>
            </w:r>
          </w:p>
          <w:p w14:paraId="25060222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- zestaw obejmujący komplet odczynników do przeprowadzenia reakcji Real-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time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PCR tj. specyficzne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primery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, enzym przeprowadzający reakcje odwrotnej transkrypcji, enzym polimeraza DNA,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dideoksynukleotydy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, wodę wolną od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RNaz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oraz kontrolę wewnętrzną, kontrolę pozytywną oraz negatywną reakcji</w:t>
            </w:r>
          </w:p>
          <w:p w14:paraId="728CA179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 xml:space="preserve">-raportowanie wartości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Ct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dla każdej sekwencji docelowej (każdego z badanych genów)</w:t>
            </w:r>
          </w:p>
          <w:p w14:paraId="181B97F8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 xml:space="preserve">-test posiada specyficzne dwuczłonowe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primery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wykonane w technologii DPO warunkujące wysoką specyficzność reakcji Real-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time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PCR</w:t>
            </w:r>
          </w:p>
          <w:p w14:paraId="75A1C60E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- test musi być wykonany w technologii umożliwiającej identyfikację przynajmniej dwóch sekwencji docelowych na jednym kanale detekcji</w:t>
            </w:r>
          </w:p>
          <w:p w14:paraId="5A37F36E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- automatyczna interpretacja wyników analizy w dedykowanym do testu oprogramowaniu</w:t>
            </w:r>
          </w:p>
          <w:p w14:paraId="2F82B5FA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- zestaw diagnostyczny kompatybilny z aparatem CFX96TM Real-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time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PCR System</w:t>
            </w:r>
          </w:p>
          <w:p w14:paraId="448C0AB1" w14:textId="77777777" w:rsidR="005D5CA7" w:rsidRPr="0002595F" w:rsidRDefault="005D5CA7" w:rsidP="005D5CA7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lastRenderedPageBreak/>
              <w:t xml:space="preserve">- odczynniki posiadają enzymatyczną ochronę przed kontaminacją – enzym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uracylo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>-N-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glizkozylaza</w:t>
            </w:r>
            <w:proofErr w:type="spellEnd"/>
          </w:p>
          <w:p w14:paraId="40EBE1F3" w14:textId="4B82FE18" w:rsidR="005D5CA7" w:rsidRPr="0002595F" w:rsidRDefault="005D5CA7" w:rsidP="005D5CA7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ind w:left="-108" w:hanging="1188"/>
              <w:outlineLvl w:val="0"/>
              <w:rPr>
                <w:rFonts w:eastAsia="Times New Roman" w:cstheme="minorHAnsi"/>
                <w:kern w:val="36"/>
                <w:sz w:val="22"/>
                <w:szCs w:val="22"/>
              </w:rPr>
            </w:pPr>
            <w:r w:rsidRPr="0002595F">
              <w:rPr>
                <w:rFonts w:cstheme="minorHAnsi"/>
                <w:sz w:val="18"/>
                <w:szCs w:val="18"/>
              </w:rPr>
              <w:t xml:space="preserve">- test posiadający certyfikat CE do diagnostyki </w:t>
            </w:r>
            <w:r w:rsidRPr="0002595F">
              <w:rPr>
                <w:rFonts w:cstheme="minorHAnsi"/>
                <w:i/>
                <w:iCs/>
                <w:sz w:val="18"/>
                <w:szCs w:val="18"/>
              </w:rPr>
              <w:t>in vitro</w:t>
            </w:r>
          </w:p>
        </w:tc>
        <w:tc>
          <w:tcPr>
            <w:tcW w:w="822" w:type="dxa"/>
            <w:vAlign w:val="center"/>
          </w:tcPr>
          <w:p w14:paraId="3447F3C8" w14:textId="79156FEA" w:rsidR="005D5CA7" w:rsidRPr="0002595F" w:rsidRDefault="005D5CA7" w:rsidP="005D5CA7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lastRenderedPageBreak/>
              <w:t>opakowanie</w:t>
            </w:r>
          </w:p>
        </w:tc>
        <w:tc>
          <w:tcPr>
            <w:tcW w:w="708" w:type="dxa"/>
            <w:vAlign w:val="center"/>
          </w:tcPr>
          <w:p w14:paraId="47601B98" w14:textId="5403CB75" w:rsidR="005D5CA7" w:rsidRPr="0002595F" w:rsidRDefault="005D5CA7" w:rsidP="005D5CA7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t>10</w:t>
            </w:r>
          </w:p>
        </w:tc>
        <w:tc>
          <w:tcPr>
            <w:tcW w:w="1418" w:type="dxa"/>
            <w:vAlign w:val="center"/>
          </w:tcPr>
          <w:p w14:paraId="4D0F6B30" w14:textId="5BA0E586" w:rsidR="005D5CA7" w:rsidRPr="00AC0FAE" w:rsidRDefault="005D5CA7" w:rsidP="005D5CA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22049D6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38FE987" w14:textId="666BD6E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58C1FA26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7423303C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745F13B7" w14:textId="04FE5B45" w:rsidTr="009A504A">
        <w:tc>
          <w:tcPr>
            <w:tcW w:w="704" w:type="dxa"/>
            <w:vAlign w:val="center"/>
          </w:tcPr>
          <w:p w14:paraId="28E75FAD" w14:textId="319EBA03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lastRenderedPageBreak/>
              <w:t>3</w:t>
            </w:r>
          </w:p>
        </w:tc>
        <w:tc>
          <w:tcPr>
            <w:tcW w:w="2977" w:type="dxa"/>
          </w:tcPr>
          <w:p w14:paraId="5263148C" w14:textId="77777777" w:rsidR="00DE2940" w:rsidRPr="0002595F" w:rsidRDefault="00DE2940" w:rsidP="00DE2940">
            <w:pPr>
              <w:spacing w:after="16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Startery – krótkie fragmenty oligonukleotydowe DNA o długości od 12 do 45 nukleotydów, zsyntetyzowane na zamówienie w zależności od matrycy RNA genomu wirusa, do której określony starter jest komplementarny.</w:t>
            </w:r>
          </w:p>
          <w:p w14:paraId="3E181A6C" w14:textId="77777777" w:rsidR="00DE2940" w:rsidRPr="0002595F" w:rsidRDefault="00DE2940" w:rsidP="00DE2940">
            <w:pPr>
              <w:spacing w:after="16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 xml:space="preserve">Syntetyczne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oligonukleotydy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DNA w klasie oczyszczania HPLC w skali 1.0 µmol.</w:t>
            </w:r>
          </w:p>
          <w:p w14:paraId="3DBA79BA" w14:textId="77777777" w:rsidR="00DE2940" w:rsidRPr="0002595F" w:rsidRDefault="00DE2940" w:rsidP="00DE2940">
            <w:pPr>
              <w:spacing w:after="16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 xml:space="preserve">Synteza </w:t>
            </w:r>
            <w:proofErr w:type="spellStart"/>
            <w:r w:rsidRPr="0002595F">
              <w:rPr>
                <w:rFonts w:cstheme="minorHAnsi"/>
                <w:sz w:val="18"/>
                <w:szCs w:val="18"/>
              </w:rPr>
              <w:t>oligonukleotydów</w:t>
            </w:r>
            <w:proofErr w:type="spellEnd"/>
            <w:r w:rsidRPr="0002595F">
              <w:rPr>
                <w:rFonts w:cstheme="minorHAnsi"/>
                <w:sz w:val="18"/>
                <w:szCs w:val="18"/>
              </w:rPr>
              <w:t xml:space="preserve"> u wytwórcy posiadającego System Zapewnienia Jakości zgodny z normą ISO 13485.</w:t>
            </w:r>
          </w:p>
          <w:p w14:paraId="35DC9BE7" w14:textId="77777777" w:rsidR="00DE2940" w:rsidRPr="0002595F" w:rsidRDefault="00DE2940" w:rsidP="00DE2940">
            <w:pPr>
              <w:numPr>
                <w:ilvl w:val="0"/>
                <w:numId w:val="28"/>
              </w:numPr>
              <w:spacing w:after="160" w:line="276" w:lineRule="auto"/>
              <w:contextualSpacing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ACTB – 6 szt.</w:t>
            </w:r>
          </w:p>
          <w:p w14:paraId="6B55C3C2" w14:textId="49A849B8" w:rsidR="00DE2940" w:rsidRPr="0002595F" w:rsidRDefault="00DE2940" w:rsidP="00DE2940">
            <w:pPr>
              <w:numPr>
                <w:ilvl w:val="0"/>
                <w:numId w:val="28"/>
              </w:numPr>
              <w:spacing w:after="160" w:line="276" w:lineRule="auto"/>
              <w:contextualSpacing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M5 – 6 szt.</w:t>
            </w:r>
          </w:p>
          <w:p w14:paraId="4F4E2EA3" w14:textId="5443D752" w:rsidR="005D5CA7" w:rsidRPr="0002595F" w:rsidRDefault="00DE2940" w:rsidP="00DE2940">
            <w:pPr>
              <w:numPr>
                <w:ilvl w:val="0"/>
                <w:numId w:val="28"/>
              </w:numPr>
              <w:spacing w:after="160" w:line="276" w:lineRule="auto"/>
              <w:contextualSpacing/>
              <w:rPr>
                <w:rFonts w:cstheme="minorHAnsi"/>
                <w:sz w:val="18"/>
                <w:szCs w:val="18"/>
              </w:rPr>
            </w:pPr>
            <w:r w:rsidRPr="0002595F">
              <w:rPr>
                <w:rFonts w:cstheme="minorHAnsi"/>
                <w:sz w:val="18"/>
                <w:szCs w:val="18"/>
              </w:rPr>
              <w:t>N27 – 6 szt.</w:t>
            </w:r>
          </w:p>
        </w:tc>
        <w:tc>
          <w:tcPr>
            <w:tcW w:w="822" w:type="dxa"/>
            <w:vAlign w:val="center"/>
          </w:tcPr>
          <w:p w14:paraId="0560054D" w14:textId="32E156D3" w:rsidR="005D5CA7" w:rsidRPr="0002595F" w:rsidRDefault="005D5CA7" w:rsidP="005D5CA7">
            <w:pPr>
              <w:jc w:val="center"/>
              <w:rPr>
                <w:rFonts w:cstheme="minorHAnsi"/>
              </w:rPr>
            </w:pPr>
            <w:proofErr w:type="spellStart"/>
            <w:r w:rsidRPr="0002595F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708" w:type="dxa"/>
            <w:vAlign w:val="center"/>
          </w:tcPr>
          <w:p w14:paraId="4FB80588" w14:textId="5407C833" w:rsidR="005D5CA7" w:rsidRPr="0002595F" w:rsidRDefault="005D5CA7" w:rsidP="005D5CA7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t>16</w:t>
            </w:r>
          </w:p>
        </w:tc>
        <w:tc>
          <w:tcPr>
            <w:tcW w:w="1418" w:type="dxa"/>
            <w:vAlign w:val="center"/>
          </w:tcPr>
          <w:p w14:paraId="61B912D6" w14:textId="46923207" w:rsidR="005D5CA7" w:rsidRPr="00AC0FAE" w:rsidRDefault="005D5CA7" w:rsidP="005D5CA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BE2B6F8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414932E" w14:textId="7597CEBA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72352FBA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2D002814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38728C5F" w14:textId="7A0E6213" w:rsidTr="009A504A">
        <w:tc>
          <w:tcPr>
            <w:tcW w:w="704" w:type="dxa"/>
            <w:vAlign w:val="center"/>
          </w:tcPr>
          <w:p w14:paraId="7E8442AC" w14:textId="3152CE72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t>4</w:t>
            </w:r>
          </w:p>
        </w:tc>
        <w:tc>
          <w:tcPr>
            <w:tcW w:w="2977" w:type="dxa"/>
          </w:tcPr>
          <w:p w14:paraId="32FEAF9B" w14:textId="12E65BE1" w:rsidR="005D5CA7" w:rsidRPr="0002595F" w:rsidRDefault="00650C20" w:rsidP="005D5CA7">
            <w:pPr>
              <w:pStyle w:val="Akapitzlist"/>
              <w:spacing w:before="100" w:beforeAutospacing="1" w:after="100" w:afterAutospacing="1"/>
              <w:ind w:left="-108"/>
              <w:outlineLvl w:val="0"/>
              <w:rPr>
                <w:rFonts w:eastAsia="Times New Roman" w:cstheme="minorHAnsi"/>
                <w:kern w:val="36"/>
                <w:sz w:val="22"/>
                <w:szCs w:val="22"/>
              </w:rPr>
            </w:pPr>
            <w:r w:rsidRPr="0002595F">
              <w:rPr>
                <w:rFonts w:eastAsia="Times New Roman" w:cstheme="minorHAnsi"/>
                <w:sz w:val="18"/>
                <w:szCs w:val="18"/>
              </w:rPr>
              <w:t xml:space="preserve">Mieszanina reakcyjna/enzymatyczna służąca do syntezy „first-strand cDNA”w optymalnej temp. </w:t>
            </w:r>
            <w:r w:rsidRPr="0002595F">
              <w:rPr>
                <w:rFonts w:cstheme="minorHAnsi"/>
                <w:sz w:val="18"/>
                <w:szCs w:val="18"/>
              </w:rPr>
              <w:t xml:space="preserve">42° C, </w:t>
            </w:r>
            <w:r w:rsidRPr="0002595F">
              <w:rPr>
                <w:rFonts w:eastAsia="Times New Roman" w:cstheme="minorHAnsi"/>
                <w:sz w:val="18"/>
                <w:szCs w:val="18"/>
              </w:rPr>
              <w:t>zawierajaca odwrotną transkryptazę</w:t>
            </w:r>
            <w:r w:rsidRPr="0002595F">
              <w:rPr>
                <w:rFonts w:cstheme="minorHAnsi"/>
                <w:sz w:val="18"/>
                <w:szCs w:val="18"/>
              </w:rPr>
              <w:t xml:space="preserve"> SuperScript III, rekombinowany inhibitor rybobuklezy RNaseOUT, białka pomocnicze, randomowe primery, dNTPs, MgCl2.</w:t>
            </w:r>
          </w:p>
        </w:tc>
        <w:tc>
          <w:tcPr>
            <w:tcW w:w="822" w:type="dxa"/>
            <w:vAlign w:val="center"/>
          </w:tcPr>
          <w:p w14:paraId="6FA38F2B" w14:textId="58BF9F12" w:rsidR="005D5CA7" w:rsidRPr="0002595F" w:rsidRDefault="005D5CA7" w:rsidP="005D5CA7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t>opakowanie</w:t>
            </w:r>
          </w:p>
        </w:tc>
        <w:tc>
          <w:tcPr>
            <w:tcW w:w="708" w:type="dxa"/>
            <w:vAlign w:val="center"/>
          </w:tcPr>
          <w:p w14:paraId="70B857DC" w14:textId="23BFD2DA" w:rsidR="005D5CA7" w:rsidRPr="0002595F" w:rsidRDefault="005D5CA7" w:rsidP="005D5CA7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t>8</w:t>
            </w:r>
          </w:p>
        </w:tc>
        <w:tc>
          <w:tcPr>
            <w:tcW w:w="1418" w:type="dxa"/>
            <w:vAlign w:val="center"/>
          </w:tcPr>
          <w:p w14:paraId="6B0F7AD8" w14:textId="7196030B" w:rsidR="005D5CA7" w:rsidRPr="00AC0FAE" w:rsidRDefault="005D5CA7" w:rsidP="005D5CA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2BF175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4BE8AE46" w14:textId="23923C9C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0AE00443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14D578CD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6DF85DE0" w14:textId="5C881ABA" w:rsidTr="009A504A">
        <w:tc>
          <w:tcPr>
            <w:tcW w:w="704" w:type="dxa"/>
            <w:vAlign w:val="center"/>
          </w:tcPr>
          <w:p w14:paraId="1D7FE34B" w14:textId="50C6BE95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lastRenderedPageBreak/>
              <w:t>5</w:t>
            </w:r>
          </w:p>
        </w:tc>
        <w:tc>
          <w:tcPr>
            <w:tcW w:w="2977" w:type="dxa"/>
          </w:tcPr>
          <w:p w14:paraId="4E3F725C" w14:textId="20F5757F" w:rsidR="005D5CA7" w:rsidRPr="0002595F" w:rsidRDefault="00650C20" w:rsidP="005D5CA7">
            <w:pPr>
              <w:pStyle w:val="Akapitzlist"/>
              <w:spacing w:after="160" w:line="256" w:lineRule="auto"/>
              <w:ind w:left="33"/>
              <w:jc w:val="both"/>
              <w:rPr>
                <w:rFonts w:cstheme="minorHAnsi"/>
                <w:sz w:val="22"/>
                <w:szCs w:val="22"/>
              </w:rPr>
            </w:pPr>
            <w:r w:rsidRPr="0002595F">
              <w:rPr>
                <w:rFonts w:cstheme="minorHAnsi"/>
                <w:sz w:val="18"/>
                <w:szCs w:val="18"/>
              </w:rPr>
              <w:t>Zestaw odczynników dedykowany do amplifikacji izotermalnej w technologii LAMP / RT-LAMP oparty na kolorymetrycznym odczycie wyniku amplifikacji. Zestaw powinien zawierać polimerazę</w:t>
            </w:r>
            <w:r w:rsidRPr="0002595F">
              <w:rPr>
                <w:rStyle w:val="jlqj4b"/>
                <w:rFonts w:cstheme="minorHAnsi"/>
                <w:sz w:val="18"/>
                <w:szCs w:val="18"/>
              </w:rPr>
              <w:t xml:space="preserve"> </w:t>
            </w:r>
            <w:r w:rsidRPr="0002595F">
              <w:rPr>
                <w:rStyle w:val="jlqj4b"/>
                <w:rFonts w:eastAsiaTheme="majorEastAsia" w:cstheme="minorHAnsi"/>
                <w:sz w:val="18"/>
                <w:szCs w:val="18"/>
              </w:rPr>
              <w:t>Bst 2.0 WarmStart DNA</w:t>
            </w:r>
            <w:r w:rsidRPr="0002595F">
              <w:rPr>
                <w:rStyle w:val="jlqj4b"/>
                <w:rFonts w:cstheme="minorHAnsi"/>
                <w:sz w:val="18"/>
                <w:szCs w:val="18"/>
              </w:rPr>
              <w:t xml:space="preserve"> </w:t>
            </w:r>
            <w:r w:rsidRPr="0002595F">
              <w:rPr>
                <w:rStyle w:val="jlqj4b"/>
                <w:rFonts w:eastAsiaTheme="majorEastAsia" w:cstheme="minorHAnsi"/>
                <w:sz w:val="18"/>
                <w:szCs w:val="18"/>
              </w:rPr>
              <w:t>i odwr</w:t>
            </w:r>
            <w:r w:rsidRPr="0002595F">
              <w:rPr>
                <w:rStyle w:val="jlqj4b"/>
                <w:rFonts w:cstheme="minorHAnsi"/>
                <w:sz w:val="18"/>
                <w:szCs w:val="18"/>
              </w:rPr>
              <w:t xml:space="preserve">otną </w:t>
            </w:r>
            <w:r w:rsidRPr="0002595F">
              <w:rPr>
                <w:rStyle w:val="jlqj4b"/>
                <w:rFonts w:eastAsiaTheme="majorEastAsia" w:cstheme="minorHAnsi"/>
                <w:sz w:val="18"/>
                <w:szCs w:val="18"/>
              </w:rPr>
              <w:t>transkryptaz</w:t>
            </w:r>
            <w:r w:rsidRPr="0002595F">
              <w:rPr>
                <w:rStyle w:val="jlqj4b"/>
                <w:rFonts w:cstheme="minorHAnsi"/>
                <w:sz w:val="18"/>
                <w:szCs w:val="18"/>
              </w:rPr>
              <w:t>ę</w:t>
            </w:r>
            <w:r w:rsidRPr="0002595F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 WarmStart RTx</w:t>
            </w:r>
            <w:r w:rsidRPr="0002595F">
              <w:rPr>
                <w:rStyle w:val="jlqj4b"/>
                <w:rFonts w:cstheme="minorHAnsi"/>
                <w:sz w:val="18"/>
                <w:szCs w:val="18"/>
              </w:rPr>
              <w:t xml:space="preserve"> </w:t>
            </w:r>
            <w:r w:rsidRPr="0002595F">
              <w:rPr>
                <w:rStyle w:val="jlqj4b"/>
                <w:rFonts w:eastAsiaTheme="majorEastAsia" w:cstheme="minorHAnsi"/>
                <w:sz w:val="18"/>
                <w:szCs w:val="18"/>
              </w:rPr>
              <w:t>w specjalnym roztworze reakcyjnym o niskiej zawartości buforu, zawierającym widoczny wskaźnik pH do szybkiego i łatwego wykrywania reakcji LAMP i RT-LAMP.</w:t>
            </w:r>
            <w:r w:rsidRPr="0002595F">
              <w:rPr>
                <w:rStyle w:val="jlqj4b"/>
                <w:rFonts w:cstheme="minorHAnsi"/>
                <w:sz w:val="18"/>
                <w:szCs w:val="18"/>
              </w:rPr>
              <w:t xml:space="preserve"> Powinien zawierać UDG - w</w:t>
            </w:r>
            <w:r w:rsidRPr="0002595F">
              <w:rPr>
                <w:rStyle w:val="jlqj4b"/>
                <w:rFonts w:eastAsiaTheme="majorEastAsia" w:cstheme="minorHAnsi"/>
                <w:sz w:val="18"/>
                <w:szCs w:val="18"/>
              </w:rPr>
              <w:t xml:space="preserve">łączenie dUTP i UDG do </w:t>
            </w:r>
            <w:r w:rsidRPr="0002595F">
              <w:rPr>
                <w:rStyle w:val="jlqj4b"/>
                <w:rFonts w:cstheme="minorHAnsi"/>
                <w:sz w:val="18"/>
                <w:szCs w:val="18"/>
              </w:rPr>
              <w:t xml:space="preserve">mieszaniny </w:t>
            </w:r>
            <w:r w:rsidRPr="0002595F">
              <w:rPr>
                <w:rStyle w:val="jlqj4b"/>
                <w:rFonts w:eastAsiaTheme="majorEastAsia" w:cstheme="minorHAnsi"/>
                <w:sz w:val="18"/>
                <w:szCs w:val="18"/>
              </w:rPr>
              <w:t>głównej zmniejsza możliwość przenoszenia zanieczyszczeń między reakcjami.</w:t>
            </w:r>
          </w:p>
        </w:tc>
        <w:tc>
          <w:tcPr>
            <w:tcW w:w="822" w:type="dxa"/>
            <w:vAlign w:val="center"/>
          </w:tcPr>
          <w:p w14:paraId="73132383" w14:textId="40F7615E" w:rsidR="005D5CA7" w:rsidRPr="0002595F" w:rsidRDefault="005D5CA7" w:rsidP="005D5CA7">
            <w:pPr>
              <w:jc w:val="center"/>
              <w:rPr>
                <w:rFonts w:cstheme="minorHAnsi"/>
              </w:rPr>
            </w:pPr>
            <w:proofErr w:type="spellStart"/>
            <w:r w:rsidRPr="0002595F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708" w:type="dxa"/>
            <w:vAlign w:val="center"/>
          </w:tcPr>
          <w:p w14:paraId="40464E9A" w14:textId="4A466927" w:rsidR="005D5CA7" w:rsidRPr="0002595F" w:rsidRDefault="005D5CA7" w:rsidP="005D5CA7">
            <w:pPr>
              <w:jc w:val="center"/>
              <w:rPr>
                <w:rFonts w:cstheme="minorHAnsi"/>
              </w:rPr>
            </w:pPr>
            <w:r w:rsidRPr="0002595F">
              <w:rPr>
                <w:rFonts w:cstheme="minorHAnsi"/>
              </w:rPr>
              <w:t>16</w:t>
            </w:r>
          </w:p>
        </w:tc>
        <w:tc>
          <w:tcPr>
            <w:tcW w:w="1418" w:type="dxa"/>
            <w:vAlign w:val="center"/>
          </w:tcPr>
          <w:p w14:paraId="64424714" w14:textId="21EB9ED0" w:rsidR="005D5CA7" w:rsidRPr="00AC0FAE" w:rsidRDefault="005D5CA7" w:rsidP="005D5CA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4A72573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5DADC200" w14:textId="7CDAE599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3DEED298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6C762BA2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2FD01263" w14:textId="0C74CC6F" w:rsidTr="009A504A">
        <w:tc>
          <w:tcPr>
            <w:tcW w:w="704" w:type="dxa"/>
            <w:vAlign w:val="center"/>
          </w:tcPr>
          <w:p w14:paraId="6C365F72" w14:textId="738A4BCB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t>6</w:t>
            </w:r>
          </w:p>
        </w:tc>
        <w:tc>
          <w:tcPr>
            <w:tcW w:w="2977" w:type="dxa"/>
          </w:tcPr>
          <w:p w14:paraId="7CF88907" w14:textId="1C49724D" w:rsidR="005D5CA7" w:rsidRPr="002C7046" w:rsidRDefault="00650C20" w:rsidP="005D5CA7">
            <w:pPr>
              <w:pStyle w:val="Nagwek1"/>
              <w:ind w:left="33" w:hanging="33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Zestaw odczynników dedykowany do amplifikacji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izotermalnej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w technologii LAMP / RT-LAMP. Zawiera on polimerazę DNA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Bst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2.0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WarmStart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i odwrotną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transkryptazę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WarmStart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RTx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w zoptymalizowanym roztworze buforowym LAMP. Zestaw z dodatkiem UDG powinien zawierać barwnik fluorescencyjny, który umożliwia pomiar fluorescencji LAMP w czasie rzeczywistym.</w:t>
            </w:r>
          </w:p>
        </w:tc>
        <w:tc>
          <w:tcPr>
            <w:tcW w:w="822" w:type="dxa"/>
            <w:vAlign w:val="center"/>
          </w:tcPr>
          <w:p w14:paraId="65ADD20B" w14:textId="304AE820" w:rsidR="005D5CA7" w:rsidRPr="002C7046" w:rsidRDefault="005D5CA7" w:rsidP="005D5CA7">
            <w:pPr>
              <w:jc w:val="center"/>
              <w:rPr>
                <w:rFonts w:cstheme="minorHAnsi"/>
              </w:rPr>
            </w:pPr>
            <w:proofErr w:type="spellStart"/>
            <w:r w:rsidRPr="002C7046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708" w:type="dxa"/>
            <w:vAlign w:val="center"/>
          </w:tcPr>
          <w:p w14:paraId="585FDD9D" w14:textId="0A3CE16D" w:rsidR="005D5CA7" w:rsidRPr="002C7046" w:rsidRDefault="005D5CA7" w:rsidP="005D5CA7">
            <w:pPr>
              <w:jc w:val="center"/>
              <w:rPr>
                <w:rFonts w:cstheme="minorHAnsi"/>
              </w:rPr>
            </w:pPr>
            <w:r w:rsidRPr="002C7046">
              <w:rPr>
                <w:rFonts w:cstheme="minorHAnsi"/>
              </w:rPr>
              <w:t>16</w:t>
            </w:r>
          </w:p>
        </w:tc>
        <w:tc>
          <w:tcPr>
            <w:tcW w:w="1418" w:type="dxa"/>
            <w:vAlign w:val="center"/>
          </w:tcPr>
          <w:p w14:paraId="70C5C645" w14:textId="67384C4E" w:rsidR="005D5CA7" w:rsidRPr="00AC0FAE" w:rsidRDefault="005D5CA7" w:rsidP="005D5CA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A37EE0A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E543708" w14:textId="4B54AB2E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60D52BB9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77D3650F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0CAB6C50" w14:textId="03D8ED22" w:rsidTr="002070F6">
        <w:tc>
          <w:tcPr>
            <w:tcW w:w="704" w:type="dxa"/>
            <w:vAlign w:val="center"/>
          </w:tcPr>
          <w:p w14:paraId="5C5E29C5" w14:textId="1BE88CEA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t>7</w:t>
            </w:r>
          </w:p>
        </w:tc>
        <w:tc>
          <w:tcPr>
            <w:tcW w:w="2977" w:type="dxa"/>
            <w:vAlign w:val="bottom"/>
          </w:tcPr>
          <w:p w14:paraId="2E7DDD08" w14:textId="77777777" w:rsidR="00650C20" w:rsidRPr="002C7046" w:rsidRDefault="00650C20" w:rsidP="00650C20">
            <w:pPr>
              <w:spacing w:line="276" w:lineRule="auto"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2C7046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Woda do analiz molekularnych, nie traktowana DEPC, pozbawiona nukleaz, dostępna w formacie 10 butelek po 50 ml każda</w:t>
            </w:r>
          </w:p>
          <w:p w14:paraId="23754130" w14:textId="2D95518D" w:rsidR="005D5CA7" w:rsidRPr="002C7046" w:rsidRDefault="00650C20" w:rsidP="00650C20">
            <w:pPr>
              <w:rPr>
                <w:rFonts w:cstheme="minorHAnsi"/>
              </w:rPr>
            </w:pPr>
            <w:r w:rsidRPr="002C7046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>Opakowanie 10 x 50 ml</w:t>
            </w:r>
          </w:p>
        </w:tc>
        <w:tc>
          <w:tcPr>
            <w:tcW w:w="822" w:type="dxa"/>
            <w:vAlign w:val="center"/>
          </w:tcPr>
          <w:p w14:paraId="64528103" w14:textId="5F4EFED8" w:rsidR="005D5CA7" w:rsidRPr="002C7046" w:rsidRDefault="005D5CA7" w:rsidP="005D5CA7">
            <w:pPr>
              <w:jc w:val="center"/>
              <w:rPr>
                <w:rFonts w:cstheme="minorHAnsi"/>
              </w:rPr>
            </w:pPr>
            <w:r w:rsidRPr="002C7046">
              <w:rPr>
                <w:rFonts w:cstheme="minorHAnsi"/>
              </w:rPr>
              <w:t>opakowanie</w:t>
            </w:r>
          </w:p>
        </w:tc>
        <w:tc>
          <w:tcPr>
            <w:tcW w:w="708" w:type="dxa"/>
            <w:vAlign w:val="center"/>
          </w:tcPr>
          <w:p w14:paraId="4C2C413B" w14:textId="1F0F5640" w:rsidR="005D5CA7" w:rsidRPr="002C7046" w:rsidRDefault="005D5CA7" w:rsidP="005D5CA7">
            <w:pPr>
              <w:jc w:val="center"/>
              <w:rPr>
                <w:rFonts w:cstheme="minorHAnsi"/>
              </w:rPr>
            </w:pPr>
            <w:r w:rsidRPr="002C7046">
              <w:rPr>
                <w:rFonts w:cstheme="minorHAnsi"/>
              </w:rPr>
              <w:t>6</w:t>
            </w:r>
          </w:p>
        </w:tc>
        <w:tc>
          <w:tcPr>
            <w:tcW w:w="1418" w:type="dxa"/>
            <w:vAlign w:val="center"/>
          </w:tcPr>
          <w:p w14:paraId="58CF58E9" w14:textId="75D435C2" w:rsidR="005D5CA7" w:rsidRPr="00AC0FAE" w:rsidRDefault="005D5CA7" w:rsidP="005D5CA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BF89986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592D2BD" w14:textId="1EB39F72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7DAA31C9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340DEE6B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1B87D221" w14:textId="15805A23" w:rsidTr="009A504A">
        <w:tc>
          <w:tcPr>
            <w:tcW w:w="704" w:type="dxa"/>
            <w:vAlign w:val="center"/>
          </w:tcPr>
          <w:p w14:paraId="2766EFC3" w14:textId="4372ADD2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lastRenderedPageBreak/>
              <w:t>8</w:t>
            </w:r>
          </w:p>
        </w:tc>
        <w:tc>
          <w:tcPr>
            <w:tcW w:w="2977" w:type="dxa"/>
          </w:tcPr>
          <w:p w14:paraId="3308D63F" w14:textId="7317B836" w:rsidR="005D5CA7" w:rsidRPr="002C7046" w:rsidRDefault="00650C20" w:rsidP="00650C20">
            <w:pPr>
              <w:spacing w:line="276" w:lineRule="auto"/>
              <w:contextualSpacing/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</w:pPr>
            <w:r w:rsidRPr="002C7046">
              <w:rPr>
                <w:rFonts w:eastAsia="Times New Roman" w:cstheme="minorHAnsi"/>
                <w:bCs/>
                <w:kern w:val="36"/>
                <w:sz w:val="18"/>
                <w:szCs w:val="18"/>
                <w:lang w:eastAsia="pl-PL"/>
              </w:rPr>
              <w:t xml:space="preserve">Zestaw odczynników </w:t>
            </w:r>
            <w:r w:rsidRPr="002C7046">
              <w:rPr>
                <w:rFonts w:cstheme="minorHAnsi"/>
                <w:sz w:val="18"/>
                <w:szCs w:val="18"/>
              </w:rPr>
              <w:t>do szybkiej lizy materiału biologicznego wraz z uwolnieniem i stabilizacją RNA – kupowane w etapie 1 projektu</w:t>
            </w:r>
          </w:p>
        </w:tc>
        <w:tc>
          <w:tcPr>
            <w:tcW w:w="822" w:type="dxa"/>
            <w:vAlign w:val="center"/>
          </w:tcPr>
          <w:p w14:paraId="750FF085" w14:textId="3D29B573" w:rsidR="005D5CA7" w:rsidRPr="002C7046" w:rsidRDefault="005D5CA7" w:rsidP="005D5CA7">
            <w:pPr>
              <w:jc w:val="center"/>
              <w:rPr>
                <w:rFonts w:cstheme="minorHAnsi"/>
              </w:rPr>
            </w:pPr>
            <w:proofErr w:type="spellStart"/>
            <w:r w:rsidRPr="002C7046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708" w:type="dxa"/>
            <w:vAlign w:val="center"/>
          </w:tcPr>
          <w:p w14:paraId="7F8B2303" w14:textId="5C1ECED0" w:rsidR="005D5CA7" w:rsidRPr="002C7046" w:rsidRDefault="005D5CA7" w:rsidP="005D5CA7">
            <w:pPr>
              <w:jc w:val="center"/>
              <w:rPr>
                <w:rFonts w:cstheme="minorHAnsi"/>
              </w:rPr>
            </w:pPr>
            <w:r w:rsidRPr="002C7046">
              <w:rPr>
                <w:rFonts w:cstheme="minorHAnsi"/>
              </w:rPr>
              <w:t>4</w:t>
            </w:r>
          </w:p>
        </w:tc>
        <w:tc>
          <w:tcPr>
            <w:tcW w:w="1418" w:type="dxa"/>
            <w:vAlign w:val="center"/>
          </w:tcPr>
          <w:p w14:paraId="17CB1E4E" w14:textId="691F431E" w:rsidR="005D5CA7" w:rsidRPr="00AC0FAE" w:rsidRDefault="005D5CA7" w:rsidP="005D5CA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6CFEFD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65AF" w14:textId="3B26A3F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3D5E3887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780EAD54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5D5CA7" w:rsidRPr="00AC0FAE" w14:paraId="7168186F" w14:textId="517DF14B" w:rsidTr="004A15F5">
        <w:tc>
          <w:tcPr>
            <w:tcW w:w="704" w:type="dxa"/>
            <w:vAlign w:val="center"/>
          </w:tcPr>
          <w:p w14:paraId="296C43C4" w14:textId="3CADCC1C" w:rsidR="005D5CA7" w:rsidRPr="00AC0FAE" w:rsidRDefault="005D5CA7" w:rsidP="005D5CA7">
            <w:pPr>
              <w:jc w:val="center"/>
              <w:rPr>
                <w:rFonts w:cstheme="minorHAnsi"/>
              </w:rPr>
            </w:pPr>
            <w:r w:rsidRPr="00AC0FAE">
              <w:rPr>
                <w:rFonts w:cstheme="minorHAnsi"/>
              </w:rPr>
              <w:t>9</w:t>
            </w:r>
          </w:p>
        </w:tc>
        <w:tc>
          <w:tcPr>
            <w:tcW w:w="2977" w:type="dxa"/>
            <w:vAlign w:val="bottom"/>
          </w:tcPr>
          <w:p w14:paraId="39707704" w14:textId="3A303A2A" w:rsidR="005D5CA7" w:rsidRPr="002C7046" w:rsidRDefault="00650C20" w:rsidP="005D5CA7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Zestaw odczynników do szybkiej, kolorymetrycznej detekcji kwasu nukleinowego SARS-CoV-2 przy użyciu techniki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Loop-Mediated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Isothermal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Amplification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(LAMP). Zestaw zawiera mieszaninę enzymatyczną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WarmStart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Colorimetric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LAMP 2X Master Mix z UDG oraz mieszaninę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primerów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komplementarnych do genu E i N wirusa SARS-CoV-2. W skład zestawu wchodzi również zestaw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primerów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dla kontroli endogennej oraz kontrola pozytywna matrycy dla wykrywanych fragmentów genomu SARS-CoV-2.</w:t>
            </w:r>
          </w:p>
        </w:tc>
        <w:tc>
          <w:tcPr>
            <w:tcW w:w="822" w:type="dxa"/>
            <w:vAlign w:val="center"/>
          </w:tcPr>
          <w:p w14:paraId="2A92B2DD" w14:textId="1D774E32" w:rsidR="005D5CA7" w:rsidRPr="002C7046" w:rsidRDefault="005D5CA7" w:rsidP="005D5CA7">
            <w:pPr>
              <w:jc w:val="center"/>
              <w:rPr>
                <w:rFonts w:cstheme="minorHAnsi"/>
              </w:rPr>
            </w:pPr>
            <w:proofErr w:type="spellStart"/>
            <w:r w:rsidRPr="002C7046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708" w:type="dxa"/>
            <w:vAlign w:val="center"/>
          </w:tcPr>
          <w:p w14:paraId="58E49D07" w14:textId="4B9B9C5C" w:rsidR="005D5CA7" w:rsidRPr="002C7046" w:rsidRDefault="005D5CA7" w:rsidP="005D5CA7">
            <w:pPr>
              <w:jc w:val="center"/>
              <w:rPr>
                <w:rFonts w:cstheme="minorHAnsi"/>
              </w:rPr>
            </w:pPr>
            <w:r w:rsidRPr="002C7046">
              <w:rPr>
                <w:rFonts w:cstheme="minorHAnsi"/>
              </w:rPr>
              <w:t>6</w:t>
            </w:r>
          </w:p>
        </w:tc>
        <w:tc>
          <w:tcPr>
            <w:tcW w:w="1418" w:type="dxa"/>
            <w:vAlign w:val="center"/>
          </w:tcPr>
          <w:p w14:paraId="55690017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06F96D7F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835576F" w14:textId="4ADC7821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46F28859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679EB4DE" w14:textId="77777777" w:rsidR="005D5CA7" w:rsidRPr="00AC0FAE" w:rsidRDefault="005D5CA7" w:rsidP="005D5CA7">
            <w:pPr>
              <w:jc w:val="center"/>
              <w:rPr>
                <w:rFonts w:cstheme="minorHAnsi"/>
                <w:b/>
              </w:rPr>
            </w:pPr>
          </w:p>
        </w:tc>
      </w:tr>
      <w:tr w:rsidR="00650C20" w:rsidRPr="00AC0FAE" w14:paraId="3240FC5A" w14:textId="77777777" w:rsidTr="00A01627">
        <w:tc>
          <w:tcPr>
            <w:tcW w:w="704" w:type="dxa"/>
            <w:vAlign w:val="center"/>
          </w:tcPr>
          <w:p w14:paraId="6F822EE1" w14:textId="4DFEA529" w:rsidR="00650C20" w:rsidRPr="00AC0FAE" w:rsidRDefault="00650C20" w:rsidP="00650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77" w:type="dxa"/>
          </w:tcPr>
          <w:p w14:paraId="7A4D995E" w14:textId="77777777" w:rsidR="00650C20" w:rsidRPr="002C7046" w:rsidRDefault="00650C20" w:rsidP="00650C20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C7046">
              <w:rPr>
                <w:rFonts w:cstheme="minorHAnsi"/>
                <w:bCs/>
                <w:sz w:val="18"/>
                <w:szCs w:val="18"/>
              </w:rPr>
              <w:t xml:space="preserve">Kontrola pozytywna </w:t>
            </w:r>
            <w:r w:rsidRPr="002C7046">
              <w:rPr>
                <w:rFonts w:cstheme="minorHAnsi"/>
                <w:sz w:val="18"/>
                <w:szCs w:val="18"/>
              </w:rPr>
              <w:t>przeznaczona do monitorowania całego procesu, od ekstrakcji kwasu nukleinowego do amplifikacji za pomocą wszystkich testów wykrywających kwas nukleinowy przeznaczonych do amplifikacji zatwierdzonych przez WHO protokołów RT-</w:t>
            </w:r>
            <w:proofErr w:type="spellStart"/>
            <w:r w:rsidRPr="002C7046">
              <w:rPr>
                <w:rFonts w:cstheme="minorHAnsi"/>
                <w:sz w:val="18"/>
                <w:szCs w:val="18"/>
              </w:rPr>
              <w:t>qPCR</w:t>
            </w:r>
            <w:proofErr w:type="spellEnd"/>
            <w:r w:rsidRPr="002C7046">
              <w:rPr>
                <w:rFonts w:cstheme="minorHAnsi"/>
                <w:sz w:val="18"/>
                <w:szCs w:val="18"/>
              </w:rPr>
              <w:t>.</w:t>
            </w:r>
          </w:p>
          <w:p w14:paraId="0E01A3C9" w14:textId="77777777" w:rsidR="00650C20" w:rsidRPr="002C7046" w:rsidRDefault="00650C20" w:rsidP="00650C20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2C7046">
              <w:rPr>
                <w:rFonts w:cstheme="minorHAnsi"/>
                <w:sz w:val="18"/>
                <w:szCs w:val="18"/>
              </w:rPr>
              <w:t xml:space="preserve">Zestaw kontroli pozytywnej SARS-CoV-2 zawiera niereplikujące się i niezakaźne cząsteczki wirusa SARS-CoV-2, które mają być przetwarzane wraz z próbkami z dróg oddechowych od osób z klinicznym podejrzeniem COVID-19. Te cząsteczki wirusowe są zaprojektowane tak, aby były </w:t>
            </w:r>
            <w:r w:rsidRPr="002C7046">
              <w:rPr>
                <w:rFonts w:cstheme="minorHAnsi"/>
                <w:sz w:val="18"/>
                <w:szCs w:val="18"/>
              </w:rPr>
              <w:lastRenderedPageBreak/>
              <w:t>kompatybilne z następującymi protokołami WHO RT-</w:t>
            </w:r>
            <w:proofErr w:type="spellStart"/>
            <w:r w:rsidRPr="002C7046">
              <w:rPr>
                <w:rFonts w:cstheme="minorHAnsi"/>
                <w:sz w:val="18"/>
                <w:szCs w:val="18"/>
              </w:rPr>
              <w:t>qPCR</w:t>
            </w:r>
            <w:proofErr w:type="spellEnd"/>
            <w:r w:rsidRPr="002C7046">
              <w:rPr>
                <w:rFonts w:cstheme="minorHAnsi"/>
                <w:sz w:val="18"/>
                <w:szCs w:val="18"/>
              </w:rPr>
              <w:t xml:space="preserve">: China CDC (Chiny), US CDC (USA), </w:t>
            </w:r>
            <w:proofErr w:type="spellStart"/>
            <w:r w:rsidRPr="002C7046">
              <w:rPr>
                <w:rFonts w:cstheme="minorHAnsi"/>
                <w:sz w:val="18"/>
                <w:szCs w:val="18"/>
              </w:rPr>
              <w:t>National</w:t>
            </w:r>
            <w:proofErr w:type="spellEnd"/>
            <w:r w:rsidRPr="002C704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cstheme="minorHAnsi"/>
                <w:sz w:val="18"/>
                <w:szCs w:val="18"/>
              </w:rPr>
              <w:t>Institute</w:t>
            </w:r>
            <w:proofErr w:type="spellEnd"/>
            <w:r w:rsidRPr="002C7046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2C7046">
              <w:rPr>
                <w:rFonts w:cstheme="minorHAnsi"/>
                <w:sz w:val="18"/>
                <w:szCs w:val="18"/>
              </w:rPr>
              <w:t>Infectious</w:t>
            </w:r>
            <w:proofErr w:type="spellEnd"/>
            <w:r w:rsidRPr="002C704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cstheme="minorHAnsi"/>
                <w:sz w:val="18"/>
                <w:szCs w:val="18"/>
              </w:rPr>
              <w:t>Diseases</w:t>
            </w:r>
            <w:proofErr w:type="spellEnd"/>
            <w:r w:rsidRPr="002C7046">
              <w:rPr>
                <w:rFonts w:cstheme="minorHAnsi"/>
                <w:sz w:val="18"/>
                <w:szCs w:val="18"/>
              </w:rPr>
              <w:t xml:space="preserve"> (Japonia), </w:t>
            </w:r>
            <w:proofErr w:type="spellStart"/>
            <w:r w:rsidRPr="002C7046">
              <w:rPr>
                <w:rFonts w:cstheme="minorHAnsi"/>
                <w:sz w:val="18"/>
                <w:szCs w:val="18"/>
              </w:rPr>
              <w:t>Charité</w:t>
            </w:r>
            <w:proofErr w:type="spellEnd"/>
            <w:r w:rsidRPr="002C7046">
              <w:rPr>
                <w:rFonts w:cstheme="minorHAnsi"/>
                <w:sz w:val="18"/>
                <w:szCs w:val="18"/>
              </w:rPr>
              <w:t xml:space="preserve"> (Niemcy), HKU (SAR Hongkong) i Narodowy Instytut Zdrowia (Tajlandia).</w:t>
            </w:r>
          </w:p>
          <w:p w14:paraId="704D6433" w14:textId="6CB313CF" w:rsidR="00650C20" w:rsidRPr="002C7046" w:rsidRDefault="00650C20" w:rsidP="00650C20">
            <w:pPr>
              <w:pStyle w:val="Nagwek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Inaktywowane cząstki wirusa. Niezakaźne i nie replikujące się. Liofilizowana postać: transportować i przechowywać w temperaturze pokojowej z terminem przydatności do użycia 24 miesiące. Format jednodawkowy do technik wykrywania kwasów nukleinowych. Końcowy zakres stężeń określony ilościowo metodą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digital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PCR: 11 000-110 000 kopii na fiolkę. Kompatybilny z większością popularnych metod ekstrakcji RNA i protokołów WHO RT-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qPCR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China CDC, US CDC (USA),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National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Institute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of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Infectious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Diseases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(Japonia),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Charité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(Niemcy), HKU (SAR Hongkong) i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National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Institute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of </w:t>
            </w:r>
            <w:proofErr w:type="spellStart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>Health</w:t>
            </w:r>
            <w:proofErr w:type="spellEnd"/>
            <w:r w:rsidRPr="002C704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(Tajlandia) </w:t>
            </w:r>
          </w:p>
        </w:tc>
        <w:tc>
          <w:tcPr>
            <w:tcW w:w="822" w:type="dxa"/>
            <w:vAlign w:val="center"/>
          </w:tcPr>
          <w:p w14:paraId="6409D91C" w14:textId="1C63D0B7" w:rsidR="00650C20" w:rsidRPr="002C7046" w:rsidRDefault="00650C20" w:rsidP="00650C20">
            <w:pPr>
              <w:jc w:val="center"/>
              <w:rPr>
                <w:rFonts w:cstheme="minorHAnsi"/>
              </w:rPr>
            </w:pPr>
            <w:proofErr w:type="spellStart"/>
            <w:r w:rsidRPr="002C7046">
              <w:rPr>
                <w:rFonts w:cstheme="minorHAnsi"/>
              </w:rPr>
              <w:lastRenderedPageBreak/>
              <w:t>szt</w:t>
            </w:r>
            <w:proofErr w:type="spellEnd"/>
          </w:p>
        </w:tc>
        <w:tc>
          <w:tcPr>
            <w:tcW w:w="708" w:type="dxa"/>
            <w:vAlign w:val="center"/>
          </w:tcPr>
          <w:p w14:paraId="68DAE641" w14:textId="3C4AC576" w:rsidR="00650C20" w:rsidRPr="002C7046" w:rsidRDefault="00650C20" w:rsidP="00650C20">
            <w:pPr>
              <w:jc w:val="center"/>
              <w:rPr>
                <w:rFonts w:cstheme="minorHAnsi"/>
              </w:rPr>
            </w:pPr>
            <w:r w:rsidRPr="002C7046">
              <w:rPr>
                <w:rFonts w:cstheme="minorHAnsi"/>
              </w:rPr>
              <w:t>4</w:t>
            </w:r>
          </w:p>
        </w:tc>
        <w:tc>
          <w:tcPr>
            <w:tcW w:w="1418" w:type="dxa"/>
            <w:vAlign w:val="center"/>
          </w:tcPr>
          <w:p w14:paraId="30C038B6" w14:textId="77777777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594C6393" w14:textId="77777777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294E6DA" w14:textId="77777777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05691AFB" w14:textId="77777777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2C3CC43C" w14:textId="77777777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</w:tr>
      <w:tr w:rsidR="00650C20" w:rsidRPr="00AC0FAE" w14:paraId="287695BC" w14:textId="2444406C" w:rsidTr="00CD4807">
        <w:tc>
          <w:tcPr>
            <w:tcW w:w="6629" w:type="dxa"/>
            <w:gridSpan w:val="5"/>
            <w:vAlign w:val="center"/>
          </w:tcPr>
          <w:p w14:paraId="397CFAF0" w14:textId="17D059A4" w:rsidR="00650C20" w:rsidRPr="00AC0FAE" w:rsidRDefault="00650C20" w:rsidP="00650C20">
            <w:pPr>
              <w:jc w:val="right"/>
              <w:rPr>
                <w:rFonts w:cstheme="minorHAnsi"/>
                <w:b/>
              </w:rPr>
            </w:pPr>
            <w:r w:rsidRPr="00AC0FAE">
              <w:rPr>
                <w:rFonts w:cstheme="minorHAnsi"/>
                <w:b/>
              </w:rPr>
              <w:t>RAZEM (PLN):</w:t>
            </w:r>
          </w:p>
        </w:tc>
        <w:tc>
          <w:tcPr>
            <w:tcW w:w="1134" w:type="dxa"/>
          </w:tcPr>
          <w:p w14:paraId="51707893" w14:textId="77777777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0AB3A2BB" w14:textId="1ABFF6EC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4" w:type="dxa"/>
          </w:tcPr>
          <w:p w14:paraId="216ACD85" w14:textId="77777777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</w:tcPr>
          <w:p w14:paraId="69683DAF" w14:textId="727E0A08" w:rsidR="00650C20" w:rsidRPr="00AC0FAE" w:rsidRDefault="00650C20" w:rsidP="00650C20">
            <w:pPr>
              <w:jc w:val="center"/>
              <w:rPr>
                <w:rFonts w:cstheme="minorHAnsi"/>
                <w:b/>
              </w:rPr>
            </w:pPr>
            <w:r w:rsidRPr="00AC0FAE">
              <w:rPr>
                <w:rFonts w:cstheme="minorHAnsi"/>
                <w:b/>
              </w:rPr>
              <w:t>XXXXXXXXXXXXXXX</w:t>
            </w:r>
          </w:p>
        </w:tc>
      </w:tr>
    </w:tbl>
    <w:p w14:paraId="4B41F1ED" w14:textId="77777777" w:rsidR="00CD48D7" w:rsidRPr="00D61441" w:rsidRDefault="00CD48D7" w:rsidP="00D61441">
      <w:pPr>
        <w:jc w:val="both"/>
        <w:rPr>
          <w:rFonts w:ascii="Calibri" w:eastAsia="Times New Roman" w:hAnsi="Calibri" w:cs="Calibri"/>
        </w:rPr>
      </w:pPr>
    </w:p>
    <w:p w14:paraId="30B397F1" w14:textId="7B66C4DB" w:rsidR="0026674E" w:rsidRPr="0026674E" w:rsidRDefault="00D61441" w:rsidP="008740E9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zh-CN"/>
        </w:rPr>
        <w:t xml:space="preserve">Podana </w:t>
      </w:r>
      <w:r w:rsidR="00292487" w:rsidRPr="0026674E">
        <w:rPr>
          <w:rFonts w:eastAsia="Times New Roman" w:cstheme="minorHAnsi"/>
          <w:lang w:eastAsia="zh-CN"/>
        </w:rPr>
        <w:t>cena</w:t>
      </w:r>
      <w:r w:rsidR="009A504A">
        <w:rPr>
          <w:rFonts w:eastAsia="Times New Roman" w:cstheme="minorHAnsi"/>
          <w:lang w:eastAsia="zh-CN"/>
        </w:rPr>
        <w:t xml:space="preserve"> </w:t>
      </w:r>
      <w:r w:rsidR="0026674E">
        <w:rPr>
          <w:rFonts w:eastAsia="Times New Roman" w:cstheme="minorHAnsi"/>
          <w:lang w:eastAsia="ar-SA"/>
        </w:rPr>
        <w:t>uwzględnia</w:t>
      </w:r>
      <w:r w:rsidR="007D087F">
        <w:rPr>
          <w:rFonts w:eastAsia="Times New Roman" w:cstheme="minorHAnsi"/>
          <w:lang w:eastAsia="ar-SA"/>
        </w:rPr>
        <w:t xml:space="preserve"> </w:t>
      </w:r>
      <w:r w:rsidR="0026674E" w:rsidRPr="0026674E">
        <w:rPr>
          <w:rFonts w:eastAsia="Times New Roman" w:cstheme="minorHAnsi"/>
          <w:lang w:eastAsia="ar-SA"/>
        </w:rPr>
        <w:t xml:space="preserve">wszystkie koszty związane z wykonaniem przedmiotu zamówienia, </w:t>
      </w:r>
      <w:r w:rsidR="0026674E" w:rsidRPr="0026674E">
        <w:rPr>
          <w:rFonts w:cstheme="minorHAnsi"/>
        </w:rPr>
        <w:t>w tym:  opłaty celne (ewentualne koszty usługi agencji celnej),</w:t>
      </w:r>
      <w:r w:rsidR="0026674E" w:rsidRPr="0026674E">
        <w:rPr>
          <w:rFonts w:cstheme="minorHAnsi"/>
          <w:color w:val="FF0000"/>
        </w:rPr>
        <w:t xml:space="preserve"> </w:t>
      </w:r>
      <w:r w:rsidR="0026674E" w:rsidRPr="0026674E">
        <w:rPr>
          <w:rFonts w:cstheme="minorHAnsi"/>
        </w:rPr>
        <w:t>koszty opakowania</w:t>
      </w:r>
      <w:r w:rsidR="005F7273">
        <w:rPr>
          <w:rFonts w:cstheme="minorHAnsi"/>
        </w:rPr>
        <w:t xml:space="preserve"> wraz z kaucją</w:t>
      </w:r>
      <w:r w:rsidR="0026674E" w:rsidRPr="0026674E">
        <w:rPr>
          <w:rFonts w:cstheme="minorHAnsi"/>
        </w:rPr>
        <w:t>, transportu</w:t>
      </w:r>
      <w:r w:rsidR="00E36FE8">
        <w:rPr>
          <w:rFonts w:cstheme="minorHAnsi"/>
        </w:rPr>
        <w:t xml:space="preserve">, wniesienia, </w:t>
      </w:r>
      <w:r w:rsidR="0026674E" w:rsidRPr="0026674E">
        <w:rPr>
          <w:rFonts w:cstheme="minorHAnsi"/>
        </w:rPr>
        <w:t xml:space="preserve">ubezpieczenia </w:t>
      </w:r>
      <w:r w:rsidR="0026674E" w:rsidRPr="0026674E">
        <w:rPr>
          <w:rFonts w:eastAsia="Times New Roman" w:cstheme="minorHAnsi"/>
          <w:lang w:eastAsia="ar-SA"/>
        </w:rPr>
        <w:t>oraz wszelkie</w:t>
      </w:r>
      <w:r w:rsidR="003B4F7D">
        <w:rPr>
          <w:rFonts w:eastAsia="Times New Roman" w:cstheme="minorHAnsi"/>
          <w:lang w:eastAsia="ar-SA"/>
        </w:rPr>
        <w:t xml:space="preserve">, możliwe do przewidzenia </w:t>
      </w:r>
      <w:r w:rsidR="0026674E" w:rsidRPr="0026674E">
        <w:rPr>
          <w:rFonts w:eastAsia="Times New Roman" w:cstheme="minorHAnsi"/>
          <w:lang w:eastAsia="ar-SA"/>
        </w:rPr>
        <w:t>warunki, przeszkody czy okoliczności, które mogą mieć wpływ na wykonanie przedmiotu  zamówienia.</w:t>
      </w:r>
    </w:p>
    <w:p w14:paraId="5A2D01E4" w14:textId="78D1DDA7" w:rsidR="00F80291" w:rsidRDefault="0026674E" w:rsidP="008740E9">
      <w:pPr>
        <w:tabs>
          <w:tab w:val="left" w:pos="1276"/>
          <w:tab w:val="right" w:leader="dot" w:pos="9356"/>
        </w:tabs>
        <w:spacing w:after="0" w:line="36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zh-CN"/>
        </w:rPr>
        <w:lastRenderedPageBreak/>
        <w:t xml:space="preserve">Cena </w:t>
      </w:r>
      <w:r w:rsidR="00E64BBB" w:rsidRPr="008740E9">
        <w:rPr>
          <w:rFonts w:eastAsia="Times New Roman" w:cstheme="minorHAnsi"/>
          <w:lang w:eastAsia="zh-CN"/>
        </w:rPr>
        <w:t xml:space="preserve">jest stała przez </w:t>
      </w:r>
      <w:r w:rsidR="00E64BBB" w:rsidRPr="0026674E">
        <w:rPr>
          <w:rFonts w:eastAsia="Times New Roman" w:cstheme="minorHAnsi"/>
          <w:lang w:eastAsia="zh-CN"/>
        </w:rPr>
        <w:t>c</w:t>
      </w:r>
      <w:r w:rsidR="00A42FCF">
        <w:rPr>
          <w:rFonts w:eastAsia="Times New Roman" w:cstheme="minorHAnsi"/>
          <w:lang w:eastAsia="zh-CN"/>
        </w:rPr>
        <w:t>ały okres realizacji zamówienia.</w:t>
      </w:r>
      <w:r w:rsidR="00AB3A6F">
        <w:rPr>
          <w:rFonts w:eastAsia="Times New Roman" w:cstheme="minorHAnsi"/>
          <w:lang w:eastAsia="ar-SA"/>
        </w:rPr>
        <w:t xml:space="preserve">  Z</w:t>
      </w:r>
      <w:r w:rsidR="00AB3A6F" w:rsidRPr="00AB3A6F">
        <w:rPr>
          <w:rFonts w:eastAsia="Times New Roman" w:cstheme="minorHAnsi"/>
          <w:lang w:eastAsia="ar-SA"/>
        </w:rPr>
        <w:t>obowiązujemy s</w:t>
      </w:r>
      <w:r w:rsidR="00AB3A6F">
        <w:rPr>
          <w:rFonts w:eastAsia="Times New Roman" w:cstheme="minorHAnsi"/>
          <w:lang w:eastAsia="ar-SA"/>
        </w:rPr>
        <w:t xml:space="preserve">ię udzielić </w:t>
      </w:r>
      <w:r w:rsidR="008A376E">
        <w:rPr>
          <w:rFonts w:eastAsia="Times New Roman" w:cstheme="minorHAnsi"/>
          <w:lang w:eastAsia="ar-SA"/>
        </w:rPr>
        <w:t xml:space="preserve"> </w:t>
      </w:r>
      <w:r w:rsidR="00AB3A6F">
        <w:rPr>
          <w:rFonts w:eastAsia="Times New Roman" w:cstheme="minorHAnsi"/>
          <w:lang w:eastAsia="ar-SA"/>
        </w:rPr>
        <w:t>Zamawiającemu rabatu w przypadku trwania akcji promocyjnych w trakcie realizacji zamówienia.</w:t>
      </w:r>
      <w:r w:rsidR="00AB3A6F" w:rsidRPr="00AB3A6F">
        <w:rPr>
          <w:rFonts w:eastAsia="Times New Roman" w:cstheme="minorHAnsi"/>
          <w:lang w:eastAsia="ar-SA"/>
        </w:rPr>
        <w:t xml:space="preserve"> </w:t>
      </w:r>
    </w:p>
    <w:p w14:paraId="0AB660E2" w14:textId="77777777" w:rsidR="006F0BE3" w:rsidRDefault="006F0BE3" w:rsidP="006F0BE3">
      <w:pPr>
        <w:suppressAutoHyphens/>
        <w:spacing w:after="0" w:line="360" w:lineRule="auto"/>
        <w:rPr>
          <w:rFonts w:cs="Calibri"/>
          <w:lang w:eastAsia="ar-SA"/>
        </w:rPr>
      </w:pPr>
    </w:p>
    <w:p w14:paraId="14B034E7" w14:textId="77777777" w:rsidR="006F0BE3" w:rsidRDefault="006F0BE3" w:rsidP="006F0BE3">
      <w:pPr>
        <w:suppressAutoHyphens/>
        <w:spacing w:after="0" w:line="360" w:lineRule="auto"/>
        <w:rPr>
          <w:rFonts w:cs="Calibri"/>
          <w:lang w:eastAsia="ar-SA"/>
        </w:rPr>
      </w:pPr>
    </w:p>
    <w:p w14:paraId="118C778C" w14:textId="3E0CA2C9" w:rsidR="006F0BE3" w:rsidRPr="002525C6" w:rsidRDefault="006F0BE3" w:rsidP="006F0BE3">
      <w:pPr>
        <w:suppressAutoHyphens/>
        <w:spacing w:after="0" w:line="360" w:lineRule="auto"/>
        <w:rPr>
          <w:rFonts w:cs="Calibri"/>
          <w:b/>
          <w:color w:val="000000"/>
          <w:lang w:eastAsia="ar-SA"/>
        </w:rPr>
      </w:pPr>
      <w:r w:rsidRPr="002525C6">
        <w:rPr>
          <w:rFonts w:cs="Calibri"/>
          <w:b/>
          <w:lang w:eastAsia="ar-SA"/>
        </w:rPr>
        <w:t>Oświadczam</w:t>
      </w:r>
      <w:r w:rsidR="00F84ACB" w:rsidRPr="002525C6">
        <w:rPr>
          <w:rFonts w:cs="Calibri"/>
          <w:b/>
          <w:lang w:eastAsia="ar-SA"/>
        </w:rPr>
        <w:t>y</w:t>
      </w:r>
      <w:r w:rsidRPr="002525C6">
        <w:rPr>
          <w:rFonts w:cs="Calibri"/>
          <w:b/>
          <w:lang w:eastAsia="ar-SA"/>
        </w:rPr>
        <w:t>, że:</w:t>
      </w:r>
    </w:p>
    <w:p w14:paraId="54D2FAA5" w14:textId="77777777" w:rsidR="006F0BE3" w:rsidRDefault="006F0BE3" w:rsidP="00F84ACB">
      <w:pPr>
        <w:spacing w:line="360" w:lineRule="auto"/>
        <w:jc w:val="both"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- nie podlegamy wykluczeniu z postępowania na podstawie art. 7 ust. 1 ustawy z dnia 13 kwietnia 2022r. o szczególnych rozwiązaniach w zakresie przeciwdziałania wspieraniu agresji na Ukrainę oraz służących ochronie bezpieczeństwa narodowego;</w:t>
      </w:r>
    </w:p>
    <w:p w14:paraId="3CE65C0A" w14:textId="77777777" w:rsidR="006F0BE3" w:rsidRDefault="006F0BE3" w:rsidP="00F84ACB">
      <w:pPr>
        <w:spacing w:line="360" w:lineRule="auto"/>
        <w:jc w:val="both"/>
        <w:rPr>
          <w:rFonts w:cs="Calibri"/>
          <w:color w:val="000000"/>
          <w:lang w:eastAsia="ar-SA"/>
        </w:rPr>
      </w:pPr>
      <w:r>
        <w:rPr>
          <w:rFonts w:cs="Calibri"/>
          <w:color w:val="000000"/>
          <w:lang w:eastAsia="ar-SA"/>
        </w:rPr>
        <w:t>- w stosunku do podwykonawców oraz podmiotu/</w:t>
      </w:r>
      <w:proofErr w:type="spellStart"/>
      <w:r>
        <w:rPr>
          <w:rFonts w:cs="Calibri"/>
          <w:color w:val="000000"/>
          <w:lang w:eastAsia="ar-SA"/>
        </w:rPr>
        <w:t>tów</w:t>
      </w:r>
      <w:proofErr w:type="spellEnd"/>
      <w:r>
        <w:rPr>
          <w:rFonts w:cs="Calibri"/>
          <w:color w:val="000000"/>
          <w:lang w:eastAsia="ar-SA"/>
        </w:rPr>
        <w:t>, na którego/</w:t>
      </w:r>
      <w:proofErr w:type="spellStart"/>
      <w:r>
        <w:rPr>
          <w:rFonts w:cs="Calibri"/>
          <w:color w:val="000000"/>
          <w:lang w:eastAsia="ar-SA"/>
        </w:rPr>
        <w:t>ych</w:t>
      </w:r>
      <w:proofErr w:type="spellEnd"/>
      <w:r>
        <w:rPr>
          <w:rFonts w:cs="Calibri"/>
          <w:color w:val="000000"/>
          <w:lang w:eastAsia="ar-SA"/>
        </w:rPr>
        <w:t xml:space="preserve"> zasoby powołuję się w niniejszym postępowaniu, nie zachodzą podstawy wykluczenia z postępowania o udzielenie zamówienia na podstawie art. 5k ust. 1 Rozporządzenia Rady (UE) 2022/576 z dnia 8 kwietnia 2022 r. w sprawie zmiany rozporządzenia (UE) nr 833/2014 dotyczącego środków ograniczających w związku z działaniami Rosji destabilizującymi sytuację na Ukrainie.</w:t>
      </w:r>
    </w:p>
    <w:p w14:paraId="4E740DFD" w14:textId="77777777" w:rsidR="0002302A" w:rsidRPr="00AB3A6F" w:rsidRDefault="0002302A" w:rsidP="008740E9">
      <w:pPr>
        <w:tabs>
          <w:tab w:val="left" w:pos="1276"/>
          <w:tab w:val="right" w:leader="dot" w:pos="9356"/>
        </w:tabs>
        <w:spacing w:after="0" w:line="360" w:lineRule="auto"/>
        <w:jc w:val="both"/>
        <w:rPr>
          <w:rFonts w:eastAsia="Times New Roman" w:cstheme="minorHAnsi"/>
          <w:color w:val="FF0000"/>
          <w:lang w:eastAsia="ar-SA"/>
        </w:rPr>
      </w:pPr>
    </w:p>
    <w:p w14:paraId="045FCB10" w14:textId="64AE61C0" w:rsidR="00292487" w:rsidRPr="00775C90" w:rsidRDefault="008A376E" w:rsidP="007D087F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color w:val="000000" w:themeColor="text1"/>
          <w:lang w:eastAsia="zh-CN"/>
        </w:rPr>
      </w:pPr>
      <w:r>
        <w:rPr>
          <w:rFonts w:eastAsia="Calibri" w:cstheme="minorHAnsi"/>
          <w:color w:val="000000" w:themeColor="text1"/>
        </w:rPr>
        <w:t xml:space="preserve">Dostawę stanowiącą przedmiot </w:t>
      </w:r>
      <w:r w:rsidR="00292487">
        <w:rPr>
          <w:rFonts w:eastAsia="Calibri" w:cstheme="minorHAnsi"/>
          <w:color w:val="000000" w:themeColor="text1"/>
        </w:rPr>
        <w:t xml:space="preserve">zamówienia zrealizujemy w </w:t>
      </w:r>
      <w:r w:rsidR="00292487" w:rsidRPr="00EC55D0">
        <w:rPr>
          <w:rFonts w:eastAsia="Calibri" w:cstheme="minorHAnsi"/>
          <w:color w:val="FF0000"/>
        </w:rPr>
        <w:t>terminie</w:t>
      </w:r>
      <w:r w:rsidR="00E36FE8" w:rsidRPr="00EC55D0">
        <w:rPr>
          <w:rFonts w:eastAsia="Calibri" w:cstheme="minorHAnsi"/>
          <w:color w:val="FF0000"/>
        </w:rPr>
        <w:t xml:space="preserve">: </w:t>
      </w:r>
      <w:r w:rsidR="00D61441" w:rsidRPr="00EC55D0">
        <w:rPr>
          <w:rFonts w:eastAsia="Calibri" w:cstheme="minorHAnsi"/>
          <w:b/>
          <w:color w:val="FF0000"/>
        </w:rPr>
        <w:t>do 14 dni</w:t>
      </w:r>
      <w:r w:rsidR="00E36FE8" w:rsidRPr="00EC55D0">
        <w:rPr>
          <w:rFonts w:eastAsia="Calibri" w:cstheme="minorHAnsi"/>
          <w:color w:val="FF0000"/>
        </w:rPr>
        <w:t xml:space="preserve"> </w:t>
      </w:r>
      <w:r w:rsidR="00E36FE8">
        <w:rPr>
          <w:rFonts w:eastAsia="Calibri" w:cstheme="minorHAnsi"/>
          <w:color w:val="000000" w:themeColor="text1"/>
        </w:rPr>
        <w:t xml:space="preserve">od </w:t>
      </w:r>
      <w:r w:rsidR="00D61441">
        <w:rPr>
          <w:rFonts w:eastAsia="Calibri" w:cstheme="minorHAnsi"/>
          <w:color w:val="000000" w:themeColor="text1"/>
        </w:rPr>
        <w:t xml:space="preserve">dnia </w:t>
      </w:r>
      <w:r w:rsidR="00E36FE8">
        <w:rPr>
          <w:rFonts w:eastAsia="Calibri" w:cstheme="minorHAnsi"/>
          <w:color w:val="000000" w:themeColor="text1"/>
        </w:rPr>
        <w:t xml:space="preserve">zawarcia umowy. </w:t>
      </w:r>
    </w:p>
    <w:p w14:paraId="7EBA0BB1" w14:textId="0605DC4B" w:rsidR="00775C90" w:rsidRPr="00775C90" w:rsidRDefault="00607C11" w:rsidP="007D087F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color w:val="000000" w:themeColor="text1"/>
          <w:lang w:eastAsia="zh-CN"/>
        </w:rPr>
      </w:pPr>
      <w:r w:rsidRPr="00775C90">
        <w:rPr>
          <w:rFonts w:eastAsia="Calibri" w:cstheme="minorHAnsi"/>
          <w:color w:val="000000" w:themeColor="text1"/>
        </w:rPr>
        <w:t>Oświadczamy, że</w:t>
      </w:r>
      <w:r w:rsidR="00775C90" w:rsidRPr="00775C90">
        <w:rPr>
          <w:rFonts w:eastAsia="Calibri" w:cstheme="minorHAnsi"/>
          <w:color w:val="000000" w:themeColor="text1"/>
        </w:rPr>
        <w:t xml:space="preserve"> oferowane </w:t>
      </w:r>
      <w:r w:rsidR="00775C90" w:rsidRPr="00775C90">
        <w:rPr>
          <w:rFonts w:cstheme="minorHAnsi"/>
        </w:rPr>
        <w:t>odczynniki posiadają wszelkie wymagane prawem atesty i świadectwa dopuszczające je do obrotu na terytorium Rzeczypospolitej Polskiej.</w:t>
      </w:r>
    </w:p>
    <w:p w14:paraId="5382F0AE" w14:textId="62AD8A83" w:rsidR="00AB3A6F" w:rsidRPr="00775C90" w:rsidRDefault="00AB3A6F" w:rsidP="00775C90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color w:val="000000" w:themeColor="text1"/>
          <w:lang w:eastAsia="zh-CN"/>
        </w:rPr>
      </w:pPr>
      <w:r w:rsidRPr="00775C90">
        <w:rPr>
          <w:rFonts w:eastAsia="Calibri" w:cstheme="minorHAnsi"/>
          <w:color w:val="000000" w:themeColor="text1"/>
        </w:rPr>
        <w:t>Zobowiązujmy się dostarczyć towar najwyższej jakości</w:t>
      </w:r>
      <w:r w:rsidR="007D087F">
        <w:rPr>
          <w:rFonts w:eastAsia="Calibri" w:cstheme="minorHAnsi"/>
          <w:color w:val="000000" w:themeColor="text1"/>
        </w:rPr>
        <w:t>,</w:t>
      </w:r>
      <w:r w:rsidRPr="00775C90">
        <w:rPr>
          <w:rFonts w:eastAsia="Calibri" w:cstheme="minorHAnsi"/>
          <w:color w:val="000000" w:themeColor="text1"/>
        </w:rPr>
        <w:t xml:space="preserve"> </w:t>
      </w:r>
      <w:r w:rsidR="007D087F" w:rsidRPr="00775C90">
        <w:rPr>
          <w:rFonts w:eastAsia="Calibri" w:cstheme="minorHAnsi"/>
          <w:color w:val="000000" w:themeColor="text1"/>
        </w:rPr>
        <w:t>pełnowartościowy, odpowiednio opakowany i oznakowany</w:t>
      </w:r>
      <w:r w:rsidR="007D087F">
        <w:rPr>
          <w:rFonts w:eastAsia="Calibri" w:cstheme="minorHAnsi"/>
          <w:color w:val="000000" w:themeColor="text1"/>
        </w:rPr>
        <w:t xml:space="preserve">, </w:t>
      </w:r>
      <w:r w:rsidRPr="00775C90">
        <w:rPr>
          <w:rFonts w:eastAsia="Calibri" w:cstheme="minorHAnsi"/>
          <w:color w:val="000000" w:themeColor="text1"/>
        </w:rPr>
        <w:t>z terminem ważności minimum 6 miesięcy od daty otrzymania przez Zamawiającego towaru i prawidłowo wystawionej faktury VAT</w:t>
      </w:r>
      <w:r w:rsidR="00A56C01">
        <w:rPr>
          <w:rFonts w:eastAsia="Calibri" w:cstheme="minorHAnsi"/>
          <w:color w:val="000000" w:themeColor="text1"/>
        </w:rPr>
        <w:t>.</w:t>
      </w:r>
    </w:p>
    <w:p w14:paraId="0C440BE0" w14:textId="24D50E79" w:rsidR="004F2D8E" w:rsidRPr="00A60B6F" w:rsidRDefault="004F2D8E" w:rsidP="008740E9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color w:val="000000" w:themeColor="text1"/>
          <w:lang w:eastAsia="zh-CN"/>
        </w:rPr>
      </w:pPr>
      <w:r>
        <w:rPr>
          <w:rFonts w:eastAsia="Calibri" w:cstheme="minorHAnsi"/>
          <w:color w:val="000000" w:themeColor="text1"/>
        </w:rPr>
        <w:t>Zobowiązujemy się, że wraz z dostawą przedmiotu zamówienia dostarczymy karty charakterystyk w języku polskim lub angielskim i ich aktualizacje, a także na żądanie Zamawiającego</w:t>
      </w:r>
      <w:r w:rsidR="008A376E">
        <w:rPr>
          <w:rFonts w:eastAsia="Calibri" w:cstheme="minorHAnsi"/>
          <w:color w:val="000000" w:themeColor="text1"/>
        </w:rPr>
        <w:t xml:space="preserve"> - </w:t>
      </w:r>
      <w:r>
        <w:rPr>
          <w:rFonts w:eastAsia="Calibri" w:cstheme="minorHAnsi"/>
          <w:color w:val="000000" w:themeColor="text1"/>
        </w:rPr>
        <w:t xml:space="preserve"> atesty i świadectwa , o ile są wymagane prawem.</w:t>
      </w:r>
    </w:p>
    <w:p w14:paraId="4CEBE332" w14:textId="038E542E" w:rsidR="00292487" w:rsidRPr="006E6279" w:rsidRDefault="00150B35" w:rsidP="008740E9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color w:val="000000" w:themeColor="text1"/>
          <w:lang w:eastAsia="zh-CN"/>
        </w:rPr>
      </w:pPr>
      <w:r w:rsidRPr="006E6279">
        <w:rPr>
          <w:rFonts w:eastAsia="Times New Roman" w:cstheme="minorHAnsi"/>
          <w:lang w:eastAsia="ar-SA"/>
        </w:rPr>
        <w:t>Z</w:t>
      </w:r>
      <w:r w:rsidR="00292487" w:rsidRPr="006E6279">
        <w:rPr>
          <w:rFonts w:eastAsia="Times New Roman" w:cstheme="minorHAnsi"/>
          <w:lang w:eastAsia="ar-SA"/>
        </w:rPr>
        <w:t>obowiązujemy się</w:t>
      </w:r>
      <w:r w:rsidRPr="006E6279">
        <w:rPr>
          <w:rFonts w:eastAsia="Times New Roman" w:cstheme="minorHAnsi"/>
          <w:lang w:eastAsia="ar-SA"/>
        </w:rPr>
        <w:t>,</w:t>
      </w:r>
      <w:r w:rsidR="00292487" w:rsidRPr="006E6279">
        <w:rPr>
          <w:rFonts w:eastAsia="Times New Roman" w:cstheme="minorHAnsi"/>
          <w:lang w:eastAsia="ar-SA"/>
        </w:rPr>
        <w:t xml:space="preserve"> w przypadku wyboru naszej oferty, do zawarcia umowy w miejscu i terminie wyznaczonym przez Zamawiającego. </w:t>
      </w:r>
    </w:p>
    <w:p w14:paraId="1077E629" w14:textId="2BFD7759" w:rsidR="00292487" w:rsidRDefault="00292487" w:rsidP="008740E9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color w:val="000000" w:themeColor="text1"/>
          <w:lang w:eastAsia="zh-CN"/>
        </w:rPr>
      </w:pPr>
      <w:r>
        <w:rPr>
          <w:rFonts w:eastAsia="Times New Roman" w:cstheme="minorHAnsi"/>
          <w:lang w:eastAsia="zh-CN"/>
        </w:rPr>
        <w:t xml:space="preserve">Oświadczamy, że jesteśmy związani ofertą </w:t>
      </w:r>
      <w:r w:rsidR="00176967">
        <w:rPr>
          <w:rFonts w:eastAsia="Times New Roman" w:cstheme="minorHAnsi"/>
          <w:lang w:eastAsia="zh-CN"/>
        </w:rPr>
        <w:t>przez okres 30 dni.</w:t>
      </w:r>
    </w:p>
    <w:p w14:paraId="62C56312" w14:textId="62A2A320" w:rsidR="00292487" w:rsidRDefault="00292487" w:rsidP="008740E9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Times New Roman" w:cstheme="minorHAnsi"/>
          <w:color w:val="000000" w:themeColor="text1"/>
          <w:lang w:eastAsia="zh-CN"/>
        </w:rPr>
      </w:pPr>
      <w:r>
        <w:rPr>
          <w:rFonts w:eastAsia="Times New Roman" w:cstheme="minorHAnsi"/>
          <w:lang w:eastAsia="zh-CN"/>
        </w:rPr>
        <w:lastRenderedPageBreak/>
        <w:t>Zobowiązujemy się</w:t>
      </w:r>
      <w:r w:rsidR="00F80291">
        <w:rPr>
          <w:rFonts w:eastAsia="Times New Roman" w:cstheme="minorHAnsi"/>
          <w:lang w:eastAsia="zh-CN"/>
        </w:rPr>
        <w:t>,</w:t>
      </w:r>
      <w:r>
        <w:rPr>
          <w:rFonts w:eastAsia="Times New Roman" w:cstheme="minorHAnsi"/>
          <w:lang w:eastAsia="zh-CN"/>
        </w:rPr>
        <w:t xml:space="preserve"> w przypadku przyznania nam zamówienia, do jego zrealizowania w ramach ceny ofertowej.</w:t>
      </w:r>
    </w:p>
    <w:p w14:paraId="1FF7E954" w14:textId="3DBFD507" w:rsidR="004E1BF8" w:rsidRPr="004E1BF8" w:rsidRDefault="00292487" w:rsidP="008740E9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eastAsia="Times New Roman" w:cstheme="minorHAnsi"/>
          <w:color w:val="000000" w:themeColor="text1"/>
          <w:sz w:val="22"/>
          <w:szCs w:val="22"/>
          <w:lang w:eastAsia="zh-CN"/>
        </w:rPr>
      </w:pPr>
      <w:r>
        <w:rPr>
          <w:rFonts w:cstheme="minorHAnsi"/>
          <w:color w:val="000000"/>
          <w:sz w:val="22"/>
          <w:szCs w:val="22"/>
        </w:rPr>
        <w:t xml:space="preserve">Akceptujemy </w:t>
      </w:r>
      <w:r w:rsidR="004E1BF8">
        <w:rPr>
          <w:rFonts w:cstheme="minorHAnsi"/>
          <w:color w:val="000000"/>
          <w:sz w:val="22"/>
          <w:szCs w:val="22"/>
        </w:rPr>
        <w:t xml:space="preserve"> warunek, </w:t>
      </w:r>
      <w:r w:rsidR="004E1BF8" w:rsidRPr="004E1BF8">
        <w:rPr>
          <w:rFonts w:cstheme="minorHAnsi"/>
          <w:color w:val="000000"/>
          <w:sz w:val="22"/>
          <w:szCs w:val="22"/>
        </w:rPr>
        <w:t xml:space="preserve"> że 100% wartości umowy zostanie opłacone w terminie do </w:t>
      </w:r>
      <w:r w:rsidR="00EC7023">
        <w:rPr>
          <w:rFonts w:cstheme="minorHAnsi"/>
          <w:color w:val="000000"/>
          <w:sz w:val="22"/>
          <w:szCs w:val="22"/>
        </w:rPr>
        <w:t>14</w:t>
      </w:r>
      <w:bookmarkStart w:id="0" w:name="_GoBack"/>
      <w:bookmarkEnd w:id="0"/>
      <w:r w:rsidR="004E1BF8" w:rsidRPr="004E1BF8">
        <w:rPr>
          <w:rFonts w:cstheme="minorHAnsi"/>
          <w:color w:val="000000"/>
          <w:sz w:val="22"/>
          <w:szCs w:val="22"/>
        </w:rPr>
        <w:t xml:space="preserve"> dni</w:t>
      </w:r>
      <w:r w:rsidR="004E1BF8">
        <w:rPr>
          <w:rFonts w:cstheme="minorHAnsi"/>
          <w:color w:val="000000"/>
          <w:sz w:val="22"/>
          <w:szCs w:val="22"/>
        </w:rPr>
        <w:t xml:space="preserve"> licząc od dnia </w:t>
      </w:r>
      <w:r w:rsidR="004E1BF8" w:rsidRPr="004E1BF8">
        <w:rPr>
          <w:rFonts w:cstheme="minorHAnsi"/>
          <w:color w:val="000000"/>
          <w:sz w:val="22"/>
          <w:szCs w:val="22"/>
        </w:rPr>
        <w:t xml:space="preserve">kompleksowej realizacji przedmiotu zamówienia i otrzymania prawidłowo wystawionej faktury VAT. </w:t>
      </w:r>
    </w:p>
    <w:p w14:paraId="672CDD46" w14:textId="5FE12347" w:rsidR="00292487" w:rsidRPr="006E6279" w:rsidRDefault="00292487" w:rsidP="008740E9">
      <w:pPr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357" w:hanging="357"/>
        <w:jc w:val="both"/>
        <w:rPr>
          <w:rFonts w:cstheme="minorHAnsi"/>
          <w:color w:val="000000"/>
          <w:lang w:eastAsia="ar-SA"/>
        </w:rPr>
      </w:pPr>
      <w:r w:rsidRPr="006E6279">
        <w:rPr>
          <w:rFonts w:eastAsia="Times New Roman" w:cstheme="minorHAnsi"/>
          <w:lang w:eastAsia="ar-SA"/>
        </w:rPr>
        <w:t>Oświadczam</w:t>
      </w:r>
      <w:r w:rsidR="00A55C65">
        <w:rPr>
          <w:rFonts w:eastAsia="Times New Roman" w:cstheme="minorHAnsi"/>
          <w:lang w:eastAsia="ar-SA"/>
        </w:rPr>
        <w:t xml:space="preserve">y, że wypełniliśmy </w:t>
      </w:r>
      <w:r w:rsidRPr="006E6279">
        <w:rPr>
          <w:rFonts w:eastAsia="Times New Roman" w:cstheme="minorHAnsi"/>
          <w:lang w:eastAsia="ar-SA"/>
        </w:rPr>
        <w:t xml:space="preserve"> obowiązki informacyjne przewidziane w art. 13 lub art. 14 RODO</w:t>
      </w:r>
      <w:r w:rsidRPr="006E6279">
        <w:rPr>
          <w:rFonts w:eastAsia="Times New Roman" w:cstheme="minorHAnsi"/>
          <w:vertAlign w:val="superscript"/>
          <w:lang w:eastAsia="ar-SA"/>
        </w:rPr>
        <w:t>1)</w:t>
      </w:r>
      <w:r w:rsidRPr="006E6279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F31AA89" w14:textId="77777777" w:rsidR="00292487" w:rsidRPr="006E6279" w:rsidRDefault="00292487" w:rsidP="008740E9">
      <w:pPr>
        <w:pStyle w:val="Tekstprzypisudolnego"/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E6279">
        <w:rPr>
          <w:rFonts w:asciiTheme="minorHAnsi" w:hAnsiTheme="minorHAnsi" w:cstheme="minorHAnsi"/>
          <w:sz w:val="22"/>
          <w:szCs w:val="22"/>
        </w:rPr>
        <w:t>Rodzaj wykonawcy**:</w:t>
      </w:r>
    </w:p>
    <w:p w14:paraId="6F681705" w14:textId="37750270" w:rsidR="00292487" w:rsidRDefault="00292487" w:rsidP="008740E9">
      <w:pPr>
        <w:tabs>
          <w:tab w:val="left" w:pos="1830"/>
          <w:tab w:val="left" w:pos="300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  <w:noProof/>
          <w:lang w:eastAsia="pl-PL"/>
        </w:rPr>
        <w:drawing>
          <wp:inline distT="0" distB="0" distL="0" distR="0" wp14:anchorId="2B97E7DA" wp14:editId="158F59CE">
            <wp:extent cx="172085" cy="1720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mikroprzedsiębiorstwo    </w:t>
      </w:r>
      <w:r>
        <w:rPr>
          <w:rFonts w:cstheme="minorHAnsi"/>
        </w:rPr>
        <w:tab/>
      </w:r>
    </w:p>
    <w:p w14:paraId="0747FF13" w14:textId="30B36538" w:rsidR="00292487" w:rsidRDefault="00292487" w:rsidP="008740E9">
      <w:pPr>
        <w:tabs>
          <w:tab w:val="left" w:pos="1830"/>
          <w:tab w:val="left" w:pos="300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  <w:noProof/>
          <w:lang w:eastAsia="pl-PL"/>
        </w:rPr>
        <w:drawing>
          <wp:inline distT="0" distB="0" distL="0" distR="0" wp14:anchorId="7DA65030" wp14:editId="5E59A8F3">
            <wp:extent cx="172085" cy="17208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małe przedsiębiorstwo</w:t>
      </w:r>
    </w:p>
    <w:p w14:paraId="701130E0" w14:textId="445BE4B6" w:rsidR="00292487" w:rsidRDefault="00292487" w:rsidP="008740E9">
      <w:pPr>
        <w:tabs>
          <w:tab w:val="left" w:pos="1830"/>
          <w:tab w:val="left" w:pos="300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  <w:noProof/>
          <w:lang w:eastAsia="pl-PL"/>
        </w:rPr>
        <w:drawing>
          <wp:inline distT="0" distB="0" distL="0" distR="0" wp14:anchorId="705F31E7" wp14:editId="245DFA66">
            <wp:extent cx="172085" cy="17208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średnie przedsiębiorstwo                                                          </w:t>
      </w:r>
    </w:p>
    <w:p w14:paraId="5E8CEB52" w14:textId="2F41164C" w:rsidR="00292487" w:rsidRDefault="00292487" w:rsidP="008740E9">
      <w:pPr>
        <w:tabs>
          <w:tab w:val="left" w:pos="96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  <w:noProof/>
          <w:lang w:eastAsia="pl-PL"/>
        </w:rPr>
        <w:drawing>
          <wp:inline distT="0" distB="0" distL="0" distR="0" wp14:anchorId="0F0A5D7D" wp14:editId="0049EE21">
            <wp:extent cx="172085" cy="1720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jednoosobowa działalność gospodarcza     </w:t>
      </w:r>
    </w:p>
    <w:p w14:paraId="5F2CA2FF" w14:textId="0D08A060" w:rsidR="00292487" w:rsidRDefault="00292487" w:rsidP="008740E9">
      <w:pPr>
        <w:tabs>
          <w:tab w:val="left" w:pos="96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  <w:noProof/>
          <w:lang w:eastAsia="pl-PL"/>
        </w:rPr>
        <w:drawing>
          <wp:inline distT="0" distB="0" distL="0" distR="0" wp14:anchorId="1BB12D8C" wp14:editId="55B14749">
            <wp:extent cx="172085" cy="1720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osoba fizyczna nieprowadząca działalności gospodarczej</w:t>
      </w:r>
    </w:p>
    <w:p w14:paraId="4E75F44A" w14:textId="5C00EF96" w:rsidR="00292487" w:rsidRDefault="00292487" w:rsidP="008740E9">
      <w:pPr>
        <w:tabs>
          <w:tab w:val="left" w:pos="96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  <w:noProof/>
          <w:lang w:eastAsia="pl-PL"/>
        </w:rPr>
        <w:drawing>
          <wp:inline distT="0" distB="0" distL="0" distR="0" wp14:anchorId="772D22FB" wp14:editId="51D463AE">
            <wp:extent cx="172085" cy="1720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inny rodzaj</w:t>
      </w:r>
    </w:p>
    <w:p w14:paraId="1E29AB0E" w14:textId="77777777" w:rsidR="00292487" w:rsidRDefault="00292487" w:rsidP="008740E9">
      <w:pPr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357" w:hanging="357"/>
        <w:jc w:val="both"/>
        <w:rPr>
          <w:rFonts w:cstheme="minorHAnsi"/>
          <w:b/>
          <w:color w:val="000000"/>
          <w:lang w:eastAsia="ar-SA"/>
        </w:rPr>
      </w:pPr>
      <w:r>
        <w:rPr>
          <w:rFonts w:eastAsia="Times New Roman" w:cstheme="minorHAnsi"/>
          <w:color w:val="000000"/>
          <w:lang w:eastAsia="zh-CN"/>
        </w:rPr>
        <w:t>Numer rachunku bankowego Wykonawcy, na który powinny zostać przelane środki za realizację przedmiotu zamówienia: ……………......................................................................</w:t>
      </w:r>
    </w:p>
    <w:p w14:paraId="3F93E857" w14:textId="77777777" w:rsidR="00292487" w:rsidRDefault="00292487" w:rsidP="008740E9">
      <w:pPr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jc w:val="both"/>
        <w:rPr>
          <w:rFonts w:cstheme="minorHAnsi"/>
          <w:b/>
          <w:color w:val="000000"/>
          <w:lang w:eastAsia="ar-SA"/>
        </w:rPr>
      </w:pPr>
      <w:r>
        <w:rPr>
          <w:rFonts w:eastAsia="Times New Roman" w:cstheme="minorHAnsi"/>
          <w:color w:val="000000" w:themeColor="text1"/>
          <w:lang w:eastAsia="zh-CN"/>
        </w:rPr>
        <w:t>Oświadczamy pod groźbą odpowiedzialności karnej, iż załączone do oferty dokumenty opisują stan faktyczny, aktualny na dzień otwarcia ofert (art. 233 k.k.).</w:t>
      </w:r>
    </w:p>
    <w:p w14:paraId="28452A8C" w14:textId="77777777" w:rsidR="00292487" w:rsidRDefault="00292487" w:rsidP="008740E9">
      <w:pPr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jc w:val="both"/>
        <w:rPr>
          <w:rFonts w:cstheme="minorHAnsi"/>
          <w:b/>
          <w:color w:val="000000"/>
          <w:lang w:eastAsia="ar-SA"/>
        </w:rPr>
      </w:pPr>
      <w:r>
        <w:rPr>
          <w:rFonts w:eastAsia="Times New Roman" w:cstheme="minorHAnsi"/>
          <w:lang w:eastAsia="zh-CN"/>
        </w:rPr>
        <w:t>Nasz numer REGON ..................................., NIP: ...........................................</w:t>
      </w:r>
    </w:p>
    <w:p w14:paraId="007E07A4" w14:textId="77777777" w:rsidR="00292487" w:rsidRDefault="00292487" w:rsidP="008740E9">
      <w:pPr>
        <w:suppressAutoHyphens/>
        <w:spacing w:after="0" w:line="360" w:lineRule="auto"/>
        <w:ind w:left="426" w:hanging="284"/>
        <w:jc w:val="both"/>
        <w:rPr>
          <w:rFonts w:eastAsia="Times New Roman" w:cstheme="minorHAnsi"/>
          <w:lang w:eastAsia="zh-CN"/>
        </w:rPr>
      </w:pPr>
      <w:r>
        <w:rPr>
          <w:rFonts w:eastAsia="Arial" w:cstheme="minorHAnsi"/>
          <w:lang w:eastAsia="zh-CN"/>
        </w:rPr>
        <w:t xml:space="preserve">   </w:t>
      </w:r>
      <w:r>
        <w:rPr>
          <w:rFonts w:eastAsia="Times New Roman" w:cstheme="minorHAnsi"/>
          <w:lang w:eastAsia="zh-CN"/>
        </w:rPr>
        <w:t>Województwo: ................................Tel.: .......................</w:t>
      </w:r>
      <w:r>
        <w:rPr>
          <w:rFonts w:eastAsia="Times New Roman" w:cstheme="minorHAnsi"/>
          <w:lang w:eastAsia="zh-CN"/>
        </w:rPr>
        <w:tab/>
        <w:t>Fax.: ............................</w:t>
      </w:r>
    </w:p>
    <w:p w14:paraId="7DF7DCB1" w14:textId="77777777" w:rsidR="00292487" w:rsidRDefault="00292487" w:rsidP="008740E9">
      <w:pPr>
        <w:suppressAutoHyphens/>
        <w:spacing w:after="0" w:line="360" w:lineRule="auto"/>
        <w:ind w:left="426" w:hanging="284"/>
        <w:jc w:val="both"/>
        <w:rPr>
          <w:rFonts w:eastAsia="Times New Roman" w:cstheme="minorHAnsi"/>
          <w:lang w:eastAsia="zh-CN"/>
        </w:rPr>
      </w:pPr>
      <w:r>
        <w:rPr>
          <w:rFonts w:eastAsia="Arial" w:cstheme="minorHAnsi"/>
          <w:lang w:eastAsia="zh-CN"/>
        </w:rPr>
        <w:t xml:space="preserve">   </w:t>
      </w:r>
      <w:r>
        <w:rPr>
          <w:rFonts w:eastAsia="Times New Roman" w:cstheme="minorHAnsi"/>
          <w:lang w:eastAsia="zh-CN"/>
        </w:rPr>
        <w:t>Adres internetowy: .............................. Strona internetowa: ...................................</w:t>
      </w:r>
    </w:p>
    <w:p w14:paraId="28DA6265" w14:textId="77777777" w:rsidR="00292487" w:rsidRDefault="00292487" w:rsidP="008740E9">
      <w:pPr>
        <w:suppressAutoHyphens/>
        <w:spacing w:after="0" w:line="360" w:lineRule="auto"/>
        <w:ind w:left="426" w:hanging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lastRenderedPageBreak/>
        <w:t xml:space="preserve">   Osoba upoważniona do koordynowania dostaw z Zamawiającym w przypadku udzielenia nam zamówienia to: .................................................................. nr tel. .................................</w:t>
      </w:r>
    </w:p>
    <w:p w14:paraId="5CFD97E1" w14:textId="77777777" w:rsidR="00292487" w:rsidRDefault="00292487" w:rsidP="008740E9">
      <w:pPr>
        <w:widowControl w:val="0"/>
        <w:tabs>
          <w:tab w:val="left" w:pos="9000"/>
        </w:tabs>
        <w:suppressAutoHyphens/>
        <w:spacing w:after="0" w:line="360" w:lineRule="auto"/>
        <w:ind w:left="142" w:hanging="426"/>
        <w:jc w:val="both"/>
        <w:rPr>
          <w:rFonts w:eastAsia="Times New Roman" w:cstheme="minorHAnsi"/>
          <w:lang w:eastAsia="zh-CN"/>
        </w:rPr>
      </w:pPr>
      <w:r>
        <w:rPr>
          <w:rFonts w:eastAsia="Arial" w:cstheme="minorHAnsi"/>
          <w:lang w:eastAsia="zh-CN"/>
        </w:rPr>
        <w:t xml:space="preserve">          </w:t>
      </w:r>
      <w:r>
        <w:rPr>
          <w:rFonts w:eastAsia="Times New Roman" w:cstheme="minorHAnsi"/>
          <w:lang w:eastAsia="zh-CN"/>
        </w:rPr>
        <w:t>Osoba uprawniona do podpisania umowy:</w:t>
      </w:r>
    </w:p>
    <w:p w14:paraId="07B86EC1" w14:textId="77777777" w:rsidR="00292487" w:rsidRDefault="00292487" w:rsidP="008740E9">
      <w:pPr>
        <w:suppressAutoHyphens/>
        <w:spacing w:after="0" w:line="360" w:lineRule="auto"/>
        <w:ind w:left="142" w:firstLine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Imię: ………………………...., Nazwisko: ……………..………..</w:t>
      </w:r>
    </w:p>
    <w:p w14:paraId="497D97B0" w14:textId="77777777" w:rsidR="00292487" w:rsidRDefault="00292487" w:rsidP="008740E9">
      <w:pPr>
        <w:suppressAutoHyphens/>
        <w:spacing w:after="0" w:line="360" w:lineRule="auto"/>
        <w:ind w:left="142" w:firstLine="284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Stanowisko: ………………….................................................…</w:t>
      </w:r>
    </w:p>
    <w:p w14:paraId="72310FE7" w14:textId="77777777" w:rsidR="00292487" w:rsidRDefault="00292487" w:rsidP="008740E9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>
        <w:rPr>
          <w:rFonts w:eastAsia="Times New Roman" w:cstheme="minorHAnsi"/>
          <w:sz w:val="22"/>
          <w:szCs w:val="22"/>
          <w:lang w:eastAsia="zh-CN"/>
        </w:rPr>
        <w:t xml:space="preserve">Integralną część oferty stanowią następujące dokumenty: </w:t>
      </w:r>
    </w:p>
    <w:p w14:paraId="5F3C105F" w14:textId="77777777" w:rsidR="00292487" w:rsidRDefault="00292487" w:rsidP="00292487">
      <w:pPr>
        <w:numPr>
          <w:ilvl w:val="0"/>
          <w:numId w:val="3"/>
        </w:numPr>
        <w:tabs>
          <w:tab w:val="clear" w:pos="0"/>
          <w:tab w:val="num" w:pos="283"/>
        </w:tabs>
        <w:suppressAutoHyphens/>
        <w:spacing w:after="0" w:line="360" w:lineRule="auto"/>
        <w:ind w:left="426" w:firstLine="141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val="cs-CZ" w:eastAsia="zh-CN"/>
        </w:rPr>
        <w:t xml:space="preserve"> </w:t>
      </w:r>
      <w:r>
        <w:rPr>
          <w:rFonts w:eastAsia="Times New Roman" w:cstheme="minorHAnsi"/>
          <w:lang w:eastAsia="zh-CN"/>
        </w:rPr>
        <w:t>.........................................................................................................................</w:t>
      </w:r>
    </w:p>
    <w:p w14:paraId="1E4CE54E" w14:textId="77777777" w:rsidR="00292487" w:rsidRDefault="00292487" w:rsidP="00292487">
      <w:pPr>
        <w:numPr>
          <w:ilvl w:val="0"/>
          <w:numId w:val="3"/>
        </w:numPr>
        <w:tabs>
          <w:tab w:val="clear" w:pos="0"/>
          <w:tab w:val="num" w:pos="283"/>
        </w:tabs>
        <w:suppressAutoHyphens/>
        <w:spacing w:after="0" w:line="360" w:lineRule="auto"/>
        <w:ind w:left="851" w:hanging="284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.........................................................................................................................</w:t>
      </w:r>
    </w:p>
    <w:p w14:paraId="07059E2E" w14:textId="77777777" w:rsidR="00292487" w:rsidRDefault="00292487" w:rsidP="00292487">
      <w:pPr>
        <w:numPr>
          <w:ilvl w:val="0"/>
          <w:numId w:val="3"/>
        </w:numPr>
        <w:tabs>
          <w:tab w:val="clear" w:pos="0"/>
          <w:tab w:val="num" w:pos="283"/>
        </w:tabs>
        <w:suppressAutoHyphens/>
        <w:spacing w:after="0" w:line="360" w:lineRule="auto"/>
        <w:ind w:left="851" w:hanging="284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.........................................................................................................................</w:t>
      </w:r>
    </w:p>
    <w:p w14:paraId="14120446" w14:textId="77777777" w:rsidR="00292487" w:rsidRDefault="00292487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  <w:r>
        <w:rPr>
          <w:rFonts w:eastAsia="Times New Roman" w:cstheme="minorHAnsi"/>
          <w:lang w:eastAsia="zh-CN"/>
        </w:rPr>
        <w:tab/>
      </w:r>
    </w:p>
    <w:p w14:paraId="26934A59" w14:textId="513CB978" w:rsidR="00E16F04" w:rsidRDefault="00E16F04" w:rsidP="00E16F04">
      <w:pPr>
        <w:pStyle w:val="Default"/>
        <w:jc w:val="both"/>
        <w:rPr>
          <w:rFonts w:eastAsia="Arial" w:cstheme="minorHAnsi"/>
          <w:i/>
          <w:lang w:eastAsia="zh-CN"/>
        </w:rPr>
      </w:pPr>
      <w:r>
        <w:rPr>
          <w:rFonts w:eastAsia="Arial" w:cstheme="minorHAnsi"/>
          <w:i/>
          <w:lang w:eastAsia="zh-CN"/>
        </w:rPr>
        <w:t>………………………………..</w:t>
      </w:r>
    </w:p>
    <w:p w14:paraId="2F290649" w14:textId="7B97FBC4" w:rsidR="006E2DEF" w:rsidRDefault="006E2DEF" w:rsidP="00E16F04">
      <w:pPr>
        <w:pStyle w:val="Defaul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czytelny podpis osób uprawnionych</w:t>
      </w:r>
    </w:p>
    <w:p w14:paraId="53E2E5C7" w14:textId="3F5F9750" w:rsidR="006E2DEF" w:rsidRDefault="006E2DEF" w:rsidP="00E16F04">
      <w:pPr>
        <w:rPr>
          <w:rFonts w:cs="Calibri"/>
        </w:rPr>
      </w:pPr>
      <w:r>
        <w:rPr>
          <w:rFonts w:cs="Calibri"/>
          <w:sz w:val="18"/>
          <w:szCs w:val="18"/>
        </w:rPr>
        <w:t xml:space="preserve">do reprezentowania </w:t>
      </w:r>
      <w:r>
        <w:rPr>
          <w:rFonts w:cs="Calibri"/>
        </w:rPr>
        <w:t>w</w:t>
      </w:r>
      <w:r>
        <w:rPr>
          <w:rFonts w:cs="Calibri"/>
          <w:sz w:val="18"/>
          <w:szCs w:val="18"/>
        </w:rPr>
        <w:t>ykonawcy</w:t>
      </w:r>
    </w:p>
    <w:p w14:paraId="123AB099" w14:textId="7FC12157" w:rsidR="00292487" w:rsidRDefault="00292487" w:rsidP="00292487">
      <w:pPr>
        <w:suppressAutoHyphens/>
        <w:spacing w:after="0" w:line="360" w:lineRule="auto"/>
        <w:rPr>
          <w:rFonts w:eastAsia="Times New Roman" w:cstheme="minorHAnsi"/>
          <w:lang w:eastAsia="zh-CN"/>
        </w:rPr>
      </w:pPr>
    </w:p>
    <w:p w14:paraId="709595C7" w14:textId="77777777" w:rsidR="00292487" w:rsidRDefault="00292487" w:rsidP="00292487">
      <w:pPr>
        <w:spacing w:after="0" w:line="360" w:lineRule="auto"/>
        <w:rPr>
          <w:rFonts w:cstheme="minorHAnsi"/>
          <w:color w:val="2E74B5"/>
        </w:rPr>
      </w:pPr>
      <w:r>
        <w:rPr>
          <w:rFonts w:cstheme="minorHAnsi"/>
          <w:color w:val="2E74B5"/>
          <w:vertAlign w:val="superscript"/>
        </w:rPr>
        <w:t xml:space="preserve">1) </w:t>
      </w:r>
      <w:r>
        <w:rPr>
          <w:rFonts w:cstheme="minorHAnsi"/>
          <w:color w:val="2E74B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59FD5F9" w14:textId="77777777" w:rsidR="00292487" w:rsidRDefault="00292487" w:rsidP="00292487">
      <w:pPr>
        <w:spacing w:after="0" w:line="360" w:lineRule="auto"/>
        <w:ind w:left="142" w:hanging="142"/>
        <w:rPr>
          <w:rFonts w:eastAsia="Arial Unicode MS" w:cstheme="minorHAnsi"/>
          <w:color w:val="2E74B5"/>
        </w:rPr>
      </w:pPr>
      <w:r>
        <w:rPr>
          <w:rFonts w:eastAsia="Arial Unicode MS" w:cstheme="minorHAnsi"/>
          <w:color w:val="2E74B5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E093D6" w14:textId="77777777" w:rsidR="00292487" w:rsidRDefault="00292487" w:rsidP="00292487">
      <w:pPr>
        <w:spacing w:after="0" w:line="360" w:lineRule="auto"/>
        <w:ind w:left="142" w:hanging="142"/>
        <w:rPr>
          <w:rFonts w:eastAsia="Arial Unicode MS" w:cstheme="minorHAnsi"/>
          <w:color w:val="2E74B5"/>
        </w:rPr>
      </w:pPr>
      <w:r>
        <w:rPr>
          <w:rFonts w:eastAsia="Arial Unicode MS" w:cstheme="minorHAnsi"/>
          <w:color w:val="2E74B5"/>
        </w:rPr>
        <w:t xml:space="preserve">** Mikro przedsiębiorstwo to przedsiębiorstwo, które zatrudnia mniej niż 10 osób i którego roczny obrót lub suma bilansowa nie przekracza   2 mln EUR. Małe przedsiębiorstwo to przedsiębiorstwo, które zatrudnia mniej niż 50 osób i którego roczny obrót lub suma bilansowa nie przekracza 10 mln EUR. </w:t>
      </w:r>
      <w:r>
        <w:rPr>
          <w:rFonts w:eastAsia="Arial Unicode MS" w:cstheme="minorHAnsi"/>
          <w:color w:val="2E74B5"/>
        </w:rPr>
        <w:lastRenderedPageBreak/>
        <w:t>Średnie przedsiębiorstwo to przedsiębiorstwo, które zatrudnia mniej niż 250 osób i którego roczny obrót nie przekracza 50 mln EUR lub suma bilansowa nie przekracza 43 mln EUR</w:t>
      </w:r>
    </w:p>
    <w:sectPr w:rsidR="00292487" w:rsidSect="00BE2A6B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26C2B" w16cex:dateUtc="2022-04-14T07:47:00Z"/>
  <w16cex:commentExtensible w16cex:durableId="26026C71" w16cex:dateUtc="2022-04-14T07:48:00Z"/>
  <w16cex:commentExtensible w16cex:durableId="2601730E" w16cex:dateUtc="2022-04-13T14:04:00Z"/>
  <w16cex:commentExtensible w16cex:durableId="2601736F" w16cex:dateUtc="2022-04-13T14:06:00Z"/>
  <w16cex:commentExtensible w16cex:durableId="26026CD1" w16cex:dateUtc="2022-04-14T07:50:00Z"/>
  <w16cex:commentExtensible w16cex:durableId="260173C5" w16cex:dateUtc="2022-04-13T14:07:00Z"/>
  <w16cex:commentExtensible w16cex:durableId="26026DC1" w16cex:dateUtc="2022-04-14T07:54:00Z"/>
  <w16cex:commentExtensible w16cex:durableId="26026E03" w16cex:dateUtc="2022-04-14T07:55:00Z"/>
  <w16cex:commentExtensible w16cex:durableId="26017415" w16cex:dateUtc="2022-04-13T14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D9C0D" w14:textId="77777777" w:rsidR="005202C4" w:rsidRDefault="005202C4" w:rsidP="00E36529">
      <w:pPr>
        <w:spacing w:after="0" w:line="240" w:lineRule="auto"/>
      </w:pPr>
      <w:r>
        <w:separator/>
      </w:r>
    </w:p>
  </w:endnote>
  <w:endnote w:type="continuationSeparator" w:id="0">
    <w:p w14:paraId="70BA3E2F" w14:textId="77777777" w:rsidR="005202C4" w:rsidRDefault="005202C4" w:rsidP="00E3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511726"/>
      <w:docPartObj>
        <w:docPartGallery w:val="Page Numbers (Bottom of Page)"/>
        <w:docPartUnique/>
      </w:docPartObj>
    </w:sdtPr>
    <w:sdtEndPr/>
    <w:sdtContent>
      <w:p w14:paraId="64C776A9" w14:textId="10E2BCE2" w:rsidR="000E3452" w:rsidRDefault="000E34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018">
          <w:rPr>
            <w:noProof/>
          </w:rPr>
          <w:t>12</w:t>
        </w:r>
        <w:r>
          <w:fldChar w:fldCharType="end"/>
        </w:r>
      </w:p>
    </w:sdtContent>
  </w:sdt>
  <w:p w14:paraId="6EA633B2" w14:textId="77777777" w:rsidR="00E36529" w:rsidRDefault="00E365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2EF7D" w14:textId="77777777" w:rsidR="005202C4" w:rsidRDefault="005202C4" w:rsidP="00E36529">
      <w:pPr>
        <w:spacing w:after="0" w:line="240" w:lineRule="auto"/>
      </w:pPr>
      <w:r>
        <w:separator/>
      </w:r>
    </w:p>
  </w:footnote>
  <w:footnote w:type="continuationSeparator" w:id="0">
    <w:p w14:paraId="20D9B6DB" w14:textId="77777777" w:rsidR="005202C4" w:rsidRDefault="005202C4" w:rsidP="00E3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47E9" w14:textId="3B9BB31B" w:rsidR="00E36529" w:rsidRDefault="00E36529">
    <w:pPr>
      <w:pStyle w:val="Nagwek"/>
    </w:pPr>
    <w:r>
      <w:rPr>
        <w:noProof/>
        <w:lang w:eastAsia="pl-PL"/>
      </w:rPr>
      <w:drawing>
        <wp:inline distT="0" distB="0" distL="0" distR="0" wp14:anchorId="7273AD72" wp14:editId="591A5AA5">
          <wp:extent cx="5760720" cy="620982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A5609D" w14:textId="77777777" w:rsidR="00E36529" w:rsidRDefault="00E365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Wingdings" w:hint="default"/>
        <w:color w:val="auto"/>
      </w:rPr>
    </w:lvl>
  </w:abstractNum>
  <w:abstractNum w:abstractNumId="1" w15:restartNumberingAfterBreak="0">
    <w:nsid w:val="00000021"/>
    <w:multiLevelType w:val="multilevel"/>
    <w:tmpl w:val="7D78D3AE"/>
    <w:name w:val="WW8Num3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3"/>
    <w:multiLevelType w:val="multilevel"/>
    <w:tmpl w:val="B58C6CD0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sz w:val="22"/>
        <w:szCs w:val="22"/>
        <w:lang w:eastAsia="ar-SA"/>
      </w:rPr>
    </w:lvl>
  </w:abstractNum>
  <w:abstractNum w:abstractNumId="4" w15:restartNumberingAfterBreak="0">
    <w:nsid w:val="06F512C8"/>
    <w:multiLevelType w:val="hybridMultilevel"/>
    <w:tmpl w:val="803E60E8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1016D"/>
    <w:multiLevelType w:val="hybridMultilevel"/>
    <w:tmpl w:val="1250FD6E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1AD2"/>
    <w:multiLevelType w:val="hybridMultilevel"/>
    <w:tmpl w:val="2A8C978A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408E3"/>
    <w:multiLevelType w:val="hybridMultilevel"/>
    <w:tmpl w:val="E4B8FB10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149A"/>
    <w:multiLevelType w:val="hybridMultilevel"/>
    <w:tmpl w:val="ABB23A36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7933"/>
    <w:multiLevelType w:val="hybridMultilevel"/>
    <w:tmpl w:val="90AC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5FD3"/>
    <w:multiLevelType w:val="hybridMultilevel"/>
    <w:tmpl w:val="98DE18CC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378F1"/>
    <w:multiLevelType w:val="hybridMultilevel"/>
    <w:tmpl w:val="0C58E57A"/>
    <w:lvl w:ilvl="0" w:tplc="670A4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55AC4"/>
    <w:multiLevelType w:val="hybridMultilevel"/>
    <w:tmpl w:val="4C26C164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72CE6"/>
    <w:multiLevelType w:val="hybridMultilevel"/>
    <w:tmpl w:val="7D5E2406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A159F"/>
    <w:multiLevelType w:val="hybridMultilevel"/>
    <w:tmpl w:val="EB20CC70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C7700"/>
    <w:multiLevelType w:val="hybridMultilevel"/>
    <w:tmpl w:val="BD0AD1B6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93EAF"/>
    <w:multiLevelType w:val="hybridMultilevel"/>
    <w:tmpl w:val="81BC6826"/>
    <w:lvl w:ilvl="0" w:tplc="0150CFD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11446"/>
    <w:multiLevelType w:val="hybridMultilevel"/>
    <w:tmpl w:val="C1927D28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32163"/>
    <w:multiLevelType w:val="hybridMultilevel"/>
    <w:tmpl w:val="842851BC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D0659"/>
    <w:multiLevelType w:val="hybridMultilevel"/>
    <w:tmpl w:val="5950B98A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136AD"/>
    <w:multiLevelType w:val="hybridMultilevel"/>
    <w:tmpl w:val="F5789D6C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D3C51"/>
    <w:multiLevelType w:val="hybridMultilevel"/>
    <w:tmpl w:val="267AA3E0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6748F"/>
    <w:multiLevelType w:val="hybridMultilevel"/>
    <w:tmpl w:val="F79E2516"/>
    <w:lvl w:ilvl="0" w:tplc="BC2A5114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0"/>
  </w:num>
  <w:num w:numId="10">
    <w:abstractNumId w:val="8"/>
  </w:num>
  <w:num w:numId="11">
    <w:abstractNumId w:val="22"/>
  </w:num>
  <w:num w:numId="12">
    <w:abstractNumId w:val="23"/>
  </w:num>
  <w:num w:numId="13">
    <w:abstractNumId w:val="17"/>
  </w:num>
  <w:num w:numId="14">
    <w:abstractNumId w:val="14"/>
  </w:num>
  <w:num w:numId="15">
    <w:abstractNumId w:val="12"/>
  </w:num>
  <w:num w:numId="16">
    <w:abstractNumId w:val="15"/>
  </w:num>
  <w:num w:numId="17">
    <w:abstractNumId w:val="5"/>
  </w:num>
  <w:num w:numId="18">
    <w:abstractNumId w:val="7"/>
  </w:num>
  <w:num w:numId="19">
    <w:abstractNumId w:val="6"/>
  </w:num>
  <w:num w:numId="20">
    <w:abstractNumId w:val="21"/>
  </w:num>
  <w:num w:numId="21">
    <w:abstractNumId w:val="13"/>
  </w:num>
  <w:num w:numId="22">
    <w:abstractNumId w:val="4"/>
  </w:num>
  <w:num w:numId="23">
    <w:abstractNumId w:val="19"/>
  </w:num>
  <w:num w:numId="24">
    <w:abstractNumId w:val="18"/>
  </w:num>
  <w:num w:numId="25">
    <w:abstractNumId w:val="2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29"/>
    <w:rsid w:val="00002D51"/>
    <w:rsid w:val="000156D0"/>
    <w:rsid w:val="00016372"/>
    <w:rsid w:val="0002302A"/>
    <w:rsid w:val="0002595F"/>
    <w:rsid w:val="000514A1"/>
    <w:rsid w:val="00077018"/>
    <w:rsid w:val="000778CE"/>
    <w:rsid w:val="00097DC3"/>
    <w:rsid w:val="000A3A41"/>
    <w:rsid w:val="000E3452"/>
    <w:rsid w:val="000E42AE"/>
    <w:rsid w:val="000E4C6A"/>
    <w:rsid w:val="000F256C"/>
    <w:rsid w:val="0010127A"/>
    <w:rsid w:val="001140E8"/>
    <w:rsid w:val="00137FEA"/>
    <w:rsid w:val="00150B35"/>
    <w:rsid w:val="00163836"/>
    <w:rsid w:val="00176967"/>
    <w:rsid w:val="001B5F6B"/>
    <w:rsid w:val="001C321F"/>
    <w:rsid w:val="001C65C1"/>
    <w:rsid w:val="001D1AE8"/>
    <w:rsid w:val="001D3FDE"/>
    <w:rsid w:val="001D63A2"/>
    <w:rsid w:val="001E7C5D"/>
    <w:rsid w:val="001F0EF6"/>
    <w:rsid w:val="001F3BD7"/>
    <w:rsid w:val="00204713"/>
    <w:rsid w:val="00211F08"/>
    <w:rsid w:val="00214E55"/>
    <w:rsid w:val="00216299"/>
    <w:rsid w:val="002208CA"/>
    <w:rsid w:val="00224EBC"/>
    <w:rsid w:val="00234B3F"/>
    <w:rsid w:val="00235923"/>
    <w:rsid w:val="0024583F"/>
    <w:rsid w:val="002525C6"/>
    <w:rsid w:val="0026674E"/>
    <w:rsid w:val="002810A5"/>
    <w:rsid w:val="00292487"/>
    <w:rsid w:val="00294297"/>
    <w:rsid w:val="002C35A5"/>
    <w:rsid w:val="002C7046"/>
    <w:rsid w:val="002E275A"/>
    <w:rsid w:val="002E3487"/>
    <w:rsid w:val="002F0357"/>
    <w:rsid w:val="0030449F"/>
    <w:rsid w:val="00352ADB"/>
    <w:rsid w:val="003544D6"/>
    <w:rsid w:val="0035672F"/>
    <w:rsid w:val="00360C70"/>
    <w:rsid w:val="00370E70"/>
    <w:rsid w:val="003725D2"/>
    <w:rsid w:val="00377DF7"/>
    <w:rsid w:val="00397933"/>
    <w:rsid w:val="003B0EF6"/>
    <w:rsid w:val="003B4F7D"/>
    <w:rsid w:val="003D668C"/>
    <w:rsid w:val="0040446B"/>
    <w:rsid w:val="00404D9C"/>
    <w:rsid w:val="00412EBA"/>
    <w:rsid w:val="00453176"/>
    <w:rsid w:val="00461985"/>
    <w:rsid w:val="00471D75"/>
    <w:rsid w:val="00476C56"/>
    <w:rsid w:val="00485244"/>
    <w:rsid w:val="004B2934"/>
    <w:rsid w:val="004B5088"/>
    <w:rsid w:val="004C43A4"/>
    <w:rsid w:val="004D33D3"/>
    <w:rsid w:val="004E1BF8"/>
    <w:rsid w:val="004E5616"/>
    <w:rsid w:val="004F2D8E"/>
    <w:rsid w:val="00501D8A"/>
    <w:rsid w:val="0050458D"/>
    <w:rsid w:val="00505122"/>
    <w:rsid w:val="00506102"/>
    <w:rsid w:val="00515F88"/>
    <w:rsid w:val="0051754C"/>
    <w:rsid w:val="005202C4"/>
    <w:rsid w:val="005238B2"/>
    <w:rsid w:val="00541647"/>
    <w:rsid w:val="00544ABC"/>
    <w:rsid w:val="00545BA7"/>
    <w:rsid w:val="00546288"/>
    <w:rsid w:val="0055652D"/>
    <w:rsid w:val="0056191D"/>
    <w:rsid w:val="00566279"/>
    <w:rsid w:val="00577F09"/>
    <w:rsid w:val="00590035"/>
    <w:rsid w:val="005C7FF3"/>
    <w:rsid w:val="005D5CA7"/>
    <w:rsid w:val="005F273D"/>
    <w:rsid w:val="005F34D2"/>
    <w:rsid w:val="005F7273"/>
    <w:rsid w:val="0060724A"/>
    <w:rsid w:val="00607C11"/>
    <w:rsid w:val="006137A2"/>
    <w:rsid w:val="0061714A"/>
    <w:rsid w:val="00634A89"/>
    <w:rsid w:val="006370A5"/>
    <w:rsid w:val="006415CA"/>
    <w:rsid w:val="00650C20"/>
    <w:rsid w:val="0065482C"/>
    <w:rsid w:val="006567A8"/>
    <w:rsid w:val="0068694A"/>
    <w:rsid w:val="00694223"/>
    <w:rsid w:val="006A4AF5"/>
    <w:rsid w:val="006B6AF1"/>
    <w:rsid w:val="006D0D96"/>
    <w:rsid w:val="006D5D96"/>
    <w:rsid w:val="006E2DEF"/>
    <w:rsid w:val="006E6279"/>
    <w:rsid w:val="006F0BE3"/>
    <w:rsid w:val="00702FD9"/>
    <w:rsid w:val="00705C91"/>
    <w:rsid w:val="007236E6"/>
    <w:rsid w:val="00736D8B"/>
    <w:rsid w:val="00775C90"/>
    <w:rsid w:val="0077691E"/>
    <w:rsid w:val="0079468A"/>
    <w:rsid w:val="007975B3"/>
    <w:rsid w:val="007A0E1F"/>
    <w:rsid w:val="007A230E"/>
    <w:rsid w:val="007B3457"/>
    <w:rsid w:val="007D087F"/>
    <w:rsid w:val="007D250D"/>
    <w:rsid w:val="007E0D96"/>
    <w:rsid w:val="007E6E0D"/>
    <w:rsid w:val="007F03EB"/>
    <w:rsid w:val="007F6ED9"/>
    <w:rsid w:val="00803D7E"/>
    <w:rsid w:val="00810B19"/>
    <w:rsid w:val="008252A8"/>
    <w:rsid w:val="00827A7B"/>
    <w:rsid w:val="0084444E"/>
    <w:rsid w:val="00863E8D"/>
    <w:rsid w:val="00873A2A"/>
    <w:rsid w:val="008740E9"/>
    <w:rsid w:val="00885EC9"/>
    <w:rsid w:val="00897C8C"/>
    <w:rsid w:val="008A376E"/>
    <w:rsid w:val="008A6B82"/>
    <w:rsid w:val="008C5221"/>
    <w:rsid w:val="008C7B7D"/>
    <w:rsid w:val="008D3A4C"/>
    <w:rsid w:val="008E22B8"/>
    <w:rsid w:val="008F64AB"/>
    <w:rsid w:val="009030E6"/>
    <w:rsid w:val="00912D43"/>
    <w:rsid w:val="00925D0A"/>
    <w:rsid w:val="0092747F"/>
    <w:rsid w:val="00942FB2"/>
    <w:rsid w:val="00947528"/>
    <w:rsid w:val="009479EF"/>
    <w:rsid w:val="00950AF6"/>
    <w:rsid w:val="009767BB"/>
    <w:rsid w:val="009967E1"/>
    <w:rsid w:val="009A504A"/>
    <w:rsid w:val="009A52CB"/>
    <w:rsid w:val="009D4FDD"/>
    <w:rsid w:val="00A02CB9"/>
    <w:rsid w:val="00A219B0"/>
    <w:rsid w:val="00A3533F"/>
    <w:rsid w:val="00A42FCF"/>
    <w:rsid w:val="00A55C65"/>
    <w:rsid w:val="00A56C01"/>
    <w:rsid w:val="00A60B6F"/>
    <w:rsid w:val="00A7182D"/>
    <w:rsid w:val="00AA0D9F"/>
    <w:rsid w:val="00AB3A6F"/>
    <w:rsid w:val="00AB45FD"/>
    <w:rsid w:val="00AC0FAE"/>
    <w:rsid w:val="00AC6CF8"/>
    <w:rsid w:val="00AD21C8"/>
    <w:rsid w:val="00AF6E74"/>
    <w:rsid w:val="00AF7B41"/>
    <w:rsid w:val="00B05F39"/>
    <w:rsid w:val="00B17830"/>
    <w:rsid w:val="00B31AB5"/>
    <w:rsid w:val="00B434F4"/>
    <w:rsid w:val="00B47ED7"/>
    <w:rsid w:val="00B709A6"/>
    <w:rsid w:val="00B94795"/>
    <w:rsid w:val="00B95322"/>
    <w:rsid w:val="00BA2D81"/>
    <w:rsid w:val="00BA5584"/>
    <w:rsid w:val="00BB1365"/>
    <w:rsid w:val="00BB7B5A"/>
    <w:rsid w:val="00BB7FBE"/>
    <w:rsid w:val="00BC3E68"/>
    <w:rsid w:val="00BE2A6B"/>
    <w:rsid w:val="00BE423F"/>
    <w:rsid w:val="00BF3FBD"/>
    <w:rsid w:val="00BF6E97"/>
    <w:rsid w:val="00BF77A2"/>
    <w:rsid w:val="00C04C6F"/>
    <w:rsid w:val="00C369F9"/>
    <w:rsid w:val="00C579C2"/>
    <w:rsid w:val="00C76399"/>
    <w:rsid w:val="00C80A19"/>
    <w:rsid w:val="00C8105E"/>
    <w:rsid w:val="00C85A96"/>
    <w:rsid w:val="00CA2577"/>
    <w:rsid w:val="00CA7E10"/>
    <w:rsid w:val="00CB4A05"/>
    <w:rsid w:val="00CC608E"/>
    <w:rsid w:val="00CC723A"/>
    <w:rsid w:val="00CD2599"/>
    <w:rsid w:val="00CD4807"/>
    <w:rsid w:val="00CD48D7"/>
    <w:rsid w:val="00CE2A6D"/>
    <w:rsid w:val="00D13816"/>
    <w:rsid w:val="00D22929"/>
    <w:rsid w:val="00D31162"/>
    <w:rsid w:val="00D332F3"/>
    <w:rsid w:val="00D4553A"/>
    <w:rsid w:val="00D5487D"/>
    <w:rsid w:val="00D5491B"/>
    <w:rsid w:val="00D61441"/>
    <w:rsid w:val="00D776F1"/>
    <w:rsid w:val="00D82C99"/>
    <w:rsid w:val="00DD10A4"/>
    <w:rsid w:val="00DD6035"/>
    <w:rsid w:val="00DE2940"/>
    <w:rsid w:val="00E03287"/>
    <w:rsid w:val="00E12275"/>
    <w:rsid w:val="00E13DEA"/>
    <w:rsid w:val="00E16839"/>
    <w:rsid w:val="00E16F04"/>
    <w:rsid w:val="00E2385A"/>
    <w:rsid w:val="00E36529"/>
    <w:rsid w:val="00E36736"/>
    <w:rsid w:val="00E36FE8"/>
    <w:rsid w:val="00E64BBB"/>
    <w:rsid w:val="00E83DB6"/>
    <w:rsid w:val="00EB0ECA"/>
    <w:rsid w:val="00EC16AB"/>
    <w:rsid w:val="00EC55D0"/>
    <w:rsid w:val="00EC7023"/>
    <w:rsid w:val="00EE6639"/>
    <w:rsid w:val="00EF1723"/>
    <w:rsid w:val="00F01428"/>
    <w:rsid w:val="00F014A2"/>
    <w:rsid w:val="00F23B09"/>
    <w:rsid w:val="00F32053"/>
    <w:rsid w:val="00F639C3"/>
    <w:rsid w:val="00F73385"/>
    <w:rsid w:val="00F80291"/>
    <w:rsid w:val="00F84ACB"/>
    <w:rsid w:val="00FA2319"/>
    <w:rsid w:val="00FA6771"/>
    <w:rsid w:val="00FC1F73"/>
    <w:rsid w:val="00FC6338"/>
    <w:rsid w:val="00FD3937"/>
    <w:rsid w:val="00FF10E4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60017"/>
  <w15:docId w15:val="{CC40F99E-2D60-4208-86D2-C0AD9C3D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4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48D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529"/>
  </w:style>
  <w:style w:type="paragraph" w:styleId="Stopka">
    <w:name w:val="footer"/>
    <w:basedOn w:val="Normalny"/>
    <w:link w:val="StopkaZnak"/>
    <w:uiPriority w:val="99"/>
    <w:unhideWhenUsed/>
    <w:rsid w:val="00E3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529"/>
  </w:style>
  <w:style w:type="paragraph" w:styleId="Tekstdymka">
    <w:name w:val="Balloon Text"/>
    <w:basedOn w:val="Normalny"/>
    <w:link w:val="TekstdymkaZnak"/>
    <w:uiPriority w:val="99"/>
    <w:semiHidden/>
    <w:unhideWhenUsed/>
    <w:rsid w:val="004C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5D0A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25D0A"/>
    <w:rPr>
      <w:i/>
      <w:iCs/>
      <w:color w:val="808080" w:themeColor="text1" w:themeTint="7F"/>
    </w:rPr>
  </w:style>
  <w:style w:type="character" w:customStyle="1" w:styleId="TekstprzypisudolnegoZnak1">
    <w:name w:val="Tekst przypisu dolnego Znak1"/>
    <w:aliases w:val="Podrozdział Znak,Footnote Znak"/>
    <w:basedOn w:val="Domylnaczcionkaakapitu"/>
    <w:link w:val="Tekstprzypisudolnego"/>
    <w:uiPriority w:val="99"/>
    <w:locked/>
    <w:rsid w:val="002924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1"/>
    <w:uiPriority w:val="99"/>
    <w:unhideWhenUsed/>
    <w:rsid w:val="002924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92487"/>
    <w:rPr>
      <w:sz w:val="20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29248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table" w:styleId="Tabela-Siatka">
    <w:name w:val="Table Grid"/>
    <w:basedOn w:val="Standardowy"/>
    <w:uiPriority w:val="59"/>
    <w:rsid w:val="007A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74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4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4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47F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48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D48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lqj4b">
    <w:name w:val="jlqj4b"/>
    <w:basedOn w:val="Domylnaczcionkaakapitu"/>
    <w:rsid w:val="00CD48D7"/>
  </w:style>
  <w:style w:type="character" w:customStyle="1" w:styleId="pdp-product-summarycatalog-number-label">
    <w:name w:val="pdp-product-summary__catalog-number-label"/>
    <w:basedOn w:val="Domylnaczcionkaakapitu"/>
    <w:rsid w:val="00CD48D7"/>
  </w:style>
  <w:style w:type="character" w:customStyle="1" w:styleId="pdp-product-summarycatalog-number-value">
    <w:name w:val="pdp-product-summary__catalog-number-value"/>
    <w:basedOn w:val="Domylnaczcionkaakapitu"/>
    <w:rsid w:val="00CD48D7"/>
  </w:style>
  <w:style w:type="character" w:customStyle="1" w:styleId="viiyi">
    <w:name w:val="viiyi"/>
    <w:basedOn w:val="Domylnaczcionkaakapitu"/>
    <w:rsid w:val="00CD48D7"/>
  </w:style>
  <w:style w:type="character" w:customStyle="1" w:styleId="product-infoconcentration">
    <w:name w:val="product-info__concentration"/>
    <w:basedOn w:val="Domylnaczcionkaakapitu"/>
    <w:rsid w:val="00CD48D7"/>
  </w:style>
  <w:style w:type="character" w:customStyle="1" w:styleId="product-infocatalognumber">
    <w:name w:val="product-info__catalognumber"/>
    <w:basedOn w:val="Domylnaczcionkaakapitu"/>
    <w:rsid w:val="00CD48D7"/>
  </w:style>
  <w:style w:type="character" w:customStyle="1" w:styleId="pdp-tablecatalog-number">
    <w:name w:val="pdp-table__catalog-number"/>
    <w:basedOn w:val="Domylnaczcionkaakapitu"/>
    <w:rsid w:val="00CD48D7"/>
  </w:style>
  <w:style w:type="character" w:customStyle="1" w:styleId="product-infosize">
    <w:name w:val="product-info__size"/>
    <w:basedOn w:val="Domylnaczcionkaakapitu"/>
    <w:rsid w:val="00CD48D7"/>
  </w:style>
  <w:style w:type="character" w:styleId="Uwydatnienie">
    <w:name w:val="Emphasis"/>
    <w:basedOn w:val="Domylnaczcionkaakapitu"/>
    <w:uiPriority w:val="20"/>
    <w:qFormat/>
    <w:rsid w:val="00CD48D7"/>
    <w:rPr>
      <w:i/>
      <w:iCs/>
    </w:rPr>
  </w:style>
  <w:style w:type="paragraph" w:styleId="Poprawka">
    <w:name w:val="Revision"/>
    <w:hidden/>
    <w:uiPriority w:val="99"/>
    <w:semiHidden/>
    <w:rsid w:val="0050458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4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f4579110contentpasted1">
    <w:name w:val="gwpf4579110_contentpasted1"/>
    <w:basedOn w:val="Domylnaczcionkaakapitu"/>
    <w:rsid w:val="00546288"/>
  </w:style>
  <w:style w:type="paragraph" w:customStyle="1" w:styleId="gwpf4579110contentpasted11">
    <w:name w:val="gwpf4579110_contentpasted11"/>
    <w:basedOn w:val="Normalny"/>
    <w:rsid w:val="0054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2B09-D868-475F-BD5A-CB52D075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1889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AODPiGM Białystok</dc:creator>
  <cp:lastModifiedBy>Jacek Domalewski</cp:lastModifiedBy>
  <cp:revision>88</cp:revision>
  <dcterms:created xsi:type="dcterms:W3CDTF">2022-04-25T11:27:00Z</dcterms:created>
  <dcterms:modified xsi:type="dcterms:W3CDTF">2022-12-29T21:58:00Z</dcterms:modified>
</cp:coreProperties>
</file>