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127D" w14:textId="42191B57" w:rsidR="00943A5E" w:rsidRPr="001C2D0A" w:rsidRDefault="00CE0DF8" w:rsidP="00692F4F">
      <w:pPr>
        <w:spacing w:line="360" w:lineRule="auto"/>
        <w:rPr>
          <w:b/>
          <w:bCs/>
        </w:rPr>
      </w:pPr>
      <w:r>
        <w:rPr>
          <w:b/>
          <w:bCs/>
        </w:rPr>
        <w:t xml:space="preserve">Załącznik </w:t>
      </w:r>
      <w:r w:rsidR="00D04F90">
        <w:rPr>
          <w:b/>
          <w:bCs/>
        </w:rPr>
        <w:t>4</w:t>
      </w:r>
      <w:r>
        <w:rPr>
          <w:b/>
          <w:bCs/>
        </w:rPr>
        <w:t xml:space="preserve"> do zapytania </w:t>
      </w:r>
      <w:r w:rsidRPr="001C2D0A">
        <w:rPr>
          <w:b/>
          <w:bCs/>
        </w:rPr>
        <w:t>ofertowego 1/2022 –</w:t>
      </w:r>
      <w:r w:rsidR="00D04F90" w:rsidRPr="001C2D0A">
        <w:rPr>
          <w:b/>
          <w:bCs/>
        </w:rPr>
        <w:t xml:space="preserve"> Opis przedmiotu zamówienia</w:t>
      </w:r>
    </w:p>
    <w:p w14:paraId="5543DE0A" w14:textId="0A9F03DF" w:rsidR="00D04F90" w:rsidRDefault="00D04F90" w:rsidP="00692F4F">
      <w:pPr>
        <w:spacing w:line="360" w:lineRule="auto"/>
      </w:pPr>
      <w:r w:rsidRPr="001C2D0A">
        <w:t>Przedmiotem niniejszego zamówienia jest:</w:t>
      </w:r>
    </w:p>
    <w:p w14:paraId="712CCE23" w14:textId="135EA83E" w:rsidR="00D04F90" w:rsidRDefault="00D04F90" w:rsidP="00692F4F">
      <w:pPr>
        <w:spacing w:line="360" w:lineRule="auto"/>
        <w:rPr>
          <w:b/>
          <w:bCs/>
        </w:rPr>
      </w:pPr>
      <w:r w:rsidRPr="00D04F90">
        <w:rPr>
          <w:b/>
          <w:bCs/>
        </w:rPr>
        <w:t>Usługa w zakresie oceny zgodności wyrobu medycznego z Rozporządzeniem 2017/745 (MDR) i sporządzenia dokumentacji technicznej wyrobu medycznego w celu wdrożenia na rynek</w:t>
      </w:r>
      <w:r>
        <w:rPr>
          <w:b/>
          <w:bCs/>
        </w:rPr>
        <w:t>.</w:t>
      </w:r>
    </w:p>
    <w:p w14:paraId="3082A3DB" w14:textId="1C3AC5F0" w:rsidR="00D04F90" w:rsidRDefault="00D04F90" w:rsidP="00692F4F">
      <w:pPr>
        <w:spacing w:line="360" w:lineRule="auto"/>
      </w:pPr>
      <w:r>
        <w:t xml:space="preserve">Usługa składa się z </w:t>
      </w:r>
      <w:r w:rsidR="002A05E5">
        <w:t>2 elementów: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D04F90" w14:paraId="52562DB6" w14:textId="77777777" w:rsidTr="00D04F90">
        <w:tc>
          <w:tcPr>
            <w:tcW w:w="1555" w:type="dxa"/>
          </w:tcPr>
          <w:p w14:paraId="188C41D0" w14:textId="3808F441" w:rsidR="00D04F90" w:rsidRDefault="00D04F90" w:rsidP="00692F4F">
            <w:pPr>
              <w:spacing w:line="360" w:lineRule="auto"/>
            </w:pPr>
            <w:r>
              <w:t>Numer</w:t>
            </w:r>
            <w:r w:rsidR="006A118D">
              <w:t xml:space="preserve"> e</w:t>
            </w:r>
            <w:r w:rsidR="002A05E5">
              <w:t>lementu</w:t>
            </w:r>
          </w:p>
        </w:tc>
        <w:tc>
          <w:tcPr>
            <w:tcW w:w="7507" w:type="dxa"/>
          </w:tcPr>
          <w:p w14:paraId="57C5979C" w14:textId="70105E47" w:rsidR="00D04F90" w:rsidRDefault="00D04F90" w:rsidP="00692F4F">
            <w:pPr>
              <w:spacing w:line="360" w:lineRule="auto"/>
            </w:pPr>
            <w:r>
              <w:t>Opis usługi</w:t>
            </w:r>
          </w:p>
        </w:tc>
      </w:tr>
      <w:tr w:rsidR="00A059DF" w14:paraId="3AEC30A7" w14:textId="77777777" w:rsidTr="00665862">
        <w:trPr>
          <w:trHeight w:val="8538"/>
        </w:trPr>
        <w:tc>
          <w:tcPr>
            <w:tcW w:w="1555" w:type="dxa"/>
          </w:tcPr>
          <w:p w14:paraId="4F248A7D" w14:textId="6DCBAB3A" w:rsidR="00A059DF" w:rsidRDefault="002A05E5" w:rsidP="00692F4F">
            <w:pPr>
              <w:spacing w:line="360" w:lineRule="auto"/>
            </w:pPr>
            <w:r>
              <w:t>Element 1</w:t>
            </w:r>
          </w:p>
        </w:tc>
        <w:tc>
          <w:tcPr>
            <w:tcW w:w="7507" w:type="dxa"/>
          </w:tcPr>
          <w:p w14:paraId="3092741A" w14:textId="77777777" w:rsidR="00A059DF" w:rsidRDefault="00A059DF" w:rsidP="00692F4F">
            <w:pPr>
              <w:spacing w:line="360" w:lineRule="auto"/>
              <w:jc w:val="both"/>
            </w:pPr>
            <w:r>
              <w:rPr>
                <w:b/>
                <w:bCs/>
              </w:rPr>
              <w:t>Przep</w:t>
            </w:r>
            <w:r w:rsidRPr="006A118D">
              <w:rPr>
                <w:b/>
                <w:bCs/>
              </w:rPr>
              <w:t>rowadzeni</w:t>
            </w:r>
            <w:r>
              <w:rPr>
                <w:b/>
                <w:bCs/>
              </w:rPr>
              <w:t>e</w:t>
            </w:r>
            <w:r w:rsidRPr="006A118D">
              <w:rPr>
                <w:b/>
                <w:bCs/>
              </w:rPr>
              <w:t xml:space="preserve"> oceny zgodności wyrobu medycznego oraz sporządzenie dokumentacji technicznej </w:t>
            </w:r>
            <w:r w:rsidRPr="006A118D">
              <w:t>zgodnie z zakresem ujętym w Rozporządzeniu 2017/745 (MDR) w Aneksie 1 (GSPR), Aneksie 2 (Dokumentacja Techniczna) oraz Załącznik 3 (Dokumentacja Techniczna po wprowadzeniu do obrotu) oraz zakresem ujętym w Normie ISO 62304. Dokumentacja Techniczna będzie również posiadać analizę ryzyka zgodnie z ISO 14971.</w:t>
            </w:r>
            <w:r w:rsidRPr="006A118D">
              <w:rPr>
                <w:b/>
                <w:bCs/>
              </w:rPr>
              <w:t xml:space="preserve">  </w:t>
            </w:r>
          </w:p>
          <w:p w14:paraId="7D7CDA97" w14:textId="77777777" w:rsidR="00A059DF" w:rsidRPr="006A118D" w:rsidRDefault="00A059DF" w:rsidP="006A118D">
            <w:pPr>
              <w:spacing w:line="360" w:lineRule="auto"/>
              <w:jc w:val="both"/>
            </w:pPr>
            <w:r w:rsidRPr="00A059DF">
              <w:rPr>
                <w:color w:val="000000" w:themeColor="text1"/>
              </w:rPr>
              <w:t>Organizacja spotkań,</w:t>
            </w:r>
            <w:r w:rsidRPr="00384474">
              <w:rPr>
                <w:b/>
                <w:bCs/>
                <w:color w:val="000000" w:themeColor="text1"/>
              </w:rPr>
              <w:t xml:space="preserve"> </w:t>
            </w:r>
            <w:r w:rsidRPr="006A118D">
              <w:t>które będzie przybliżać producentowi zakres wytycznych związanych z:</w:t>
            </w:r>
          </w:p>
          <w:p w14:paraId="39DAC832" w14:textId="77777777" w:rsidR="00A059DF" w:rsidRPr="006A118D" w:rsidRDefault="00A059DF" w:rsidP="006A118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</w:pPr>
            <w:r w:rsidRPr="006A118D">
              <w:t>Oceną zgodności</w:t>
            </w:r>
          </w:p>
          <w:p w14:paraId="193EEB07" w14:textId="77777777" w:rsidR="00A059DF" w:rsidRPr="006A118D" w:rsidRDefault="00A059DF" w:rsidP="006A118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</w:pPr>
            <w:r w:rsidRPr="006A118D">
              <w:t>Dokumentacji Technicznej</w:t>
            </w:r>
          </w:p>
          <w:p w14:paraId="1DCB1C40" w14:textId="77777777" w:rsidR="00A059DF" w:rsidRPr="006A118D" w:rsidRDefault="00A059DF" w:rsidP="006A118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</w:pPr>
            <w:r w:rsidRPr="006A118D">
              <w:t>Systemu Zarządzania Jakości</w:t>
            </w:r>
          </w:p>
          <w:p w14:paraId="14077947" w14:textId="77777777" w:rsidR="00A059DF" w:rsidRPr="006A118D" w:rsidRDefault="00A059DF" w:rsidP="006A118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</w:pPr>
            <w:r w:rsidRPr="006A118D">
              <w:t>Nadzoru nad wyrobem</w:t>
            </w:r>
          </w:p>
          <w:p w14:paraId="7DC44AD7" w14:textId="77777777" w:rsidR="00A059DF" w:rsidRPr="006A118D" w:rsidRDefault="00A059DF" w:rsidP="006A118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</w:pPr>
            <w:r w:rsidRPr="006A118D">
              <w:t>Oceny klinicznej</w:t>
            </w:r>
          </w:p>
          <w:p w14:paraId="6E782731" w14:textId="77777777" w:rsidR="00A059DF" w:rsidRPr="006A118D" w:rsidRDefault="00A059DF" w:rsidP="00692F4F">
            <w:pPr>
              <w:spacing w:line="360" w:lineRule="auto"/>
              <w:jc w:val="both"/>
              <w:rPr>
                <w:b/>
                <w:bCs/>
              </w:rPr>
            </w:pPr>
            <w:r w:rsidRPr="006A118D">
              <w:t xml:space="preserve">Producent będzie musiał wykonać walidację oprogramowania oraz raport z użyteczności. </w:t>
            </w:r>
            <w:r>
              <w:t>W</w:t>
            </w:r>
            <w:r w:rsidRPr="006A118D">
              <w:t xml:space="preserve">ytyczne do przeprowadzenia tego procesu zostaną przedstawione </w:t>
            </w:r>
            <w:r>
              <w:t>i wyjaśnione przez Wykonawcę na spotkaniach</w:t>
            </w:r>
            <w:r w:rsidRPr="006A118D">
              <w:t>.</w:t>
            </w:r>
          </w:p>
          <w:p w14:paraId="47E1C26A" w14:textId="12848434" w:rsidR="00A059DF" w:rsidRDefault="00A059DF" w:rsidP="00692F4F">
            <w:pPr>
              <w:spacing w:line="360" w:lineRule="auto"/>
              <w:jc w:val="both"/>
            </w:pPr>
            <w:r w:rsidRPr="00A059DF">
              <w:t>Sporządzenie sprawozdania z oceny klinicznej</w:t>
            </w:r>
            <w:r w:rsidRPr="006A118D">
              <w:rPr>
                <w:b/>
                <w:bCs/>
              </w:rPr>
              <w:t xml:space="preserve"> </w:t>
            </w:r>
            <w:r w:rsidRPr="006A118D">
              <w:t>zgodnie z Rozporządzeniem 2017/745 (MDR) ZAŁĄCZNIKIEM XIV OCENA KLINICZNA I OBSERWACJE KLINICZNE PO WPROWADZENIU DO OBROTU oraz wytycznymi MDCG 2020-13. Sprawozdanie obejmuje plan, oceny, raport z oceny (sprawozdanie)</w:t>
            </w:r>
            <w:r>
              <w:t>,</w:t>
            </w:r>
            <w:r w:rsidRPr="006A118D">
              <w:t xml:space="preserve"> ocenę literatury (protokół) oraz kopie literatury.</w:t>
            </w:r>
          </w:p>
        </w:tc>
      </w:tr>
      <w:tr w:rsidR="00D04F90" w14:paraId="66554BC3" w14:textId="77777777" w:rsidTr="00D04F90">
        <w:tc>
          <w:tcPr>
            <w:tcW w:w="1555" w:type="dxa"/>
          </w:tcPr>
          <w:p w14:paraId="38EEC3A0" w14:textId="0F7996FF" w:rsidR="00D04F90" w:rsidRDefault="002A05E5" w:rsidP="00692F4F">
            <w:pPr>
              <w:spacing w:line="360" w:lineRule="auto"/>
            </w:pPr>
            <w:r>
              <w:t>Element 2</w:t>
            </w:r>
          </w:p>
        </w:tc>
        <w:tc>
          <w:tcPr>
            <w:tcW w:w="7507" w:type="dxa"/>
          </w:tcPr>
          <w:p w14:paraId="034A22F1" w14:textId="57EF382A" w:rsidR="006A118D" w:rsidRPr="006A118D" w:rsidRDefault="006A118D" w:rsidP="006A118D">
            <w:pPr>
              <w:spacing w:line="360" w:lineRule="auto"/>
              <w:jc w:val="both"/>
            </w:pPr>
            <w:r w:rsidRPr="00384474">
              <w:rPr>
                <w:b/>
                <w:bCs/>
                <w:color w:val="000000" w:themeColor="text1"/>
              </w:rPr>
              <w:t xml:space="preserve">Przygotowanie </w:t>
            </w:r>
            <w:r w:rsidR="00F36A82" w:rsidRPr="00384474">
              <w:rPr>
                <w:b/>
                <w:bCs/>
                <w:color w:val="000000" w:themeColor="text1"/>
              </w:rPr>
              <w:t xml:space="preserve">dokumentacji </w:t>
            </w:r>
            <w:r w:rsidR="00F36A82">
              <w:rPr>
                <w:b/>
                <w:bCs/>
              </w:rPr>
              <w:t xml:space="preserve">do </w:t>
            </w:r>
            <w:r w:rsidRPr="006A118D">
              <w:rPr>
                <w:b/>
                <w:bCs/>
              </w:rPr>
              <w:t>systemu zarządzania jakością</w:t>
            </w:r>
            <w:r w:rsidRPr="006A118D">
              <w:t xml:space="preserve"> w oparciu o wymagania normy ISO </w:t>
            </w:r>
            <w:r w:rsidR="00A059DF">
              <w:t xml:space="preserve">13485, </w:t>
            </w:r>
            <w:r w:rsidRPr="006A118D">
              <w:t>62304 oraz Rozporządzenia 2017/745 (MDR), artykuł 10, ppkt 9 i będzie obejmował:</w:t>
            </w:r>
          </w:p>
          <w:p w14:paraId="4E2B3B96" w14:textId="77777777" w:rsidR="006A118D" w:rsidRPr="006A118D" w:rsidRDefault="006A118D" w:rsidP="006A118D">
            <w:pPr>
              <w:spacing w:line="360" w:lineRule="auto"/>
              <w:jc w:val="both"/>
            </w:pPr>
            <w:r w:rsidRPr="006A118D">
              <w:lastRenderedPageBreak/>
              <w:t>a) strategię zgodności regulacyjnej, w tym zgodności z procedurami oceny zgodności oraz procedurami zarządzania modyfikacjami w wyrobach objętych tym systemem;</w:t>
            </w:r>
          </w:p>
          <w:p w14:paraId="6B99C0A2" w14:textId="77777777" w:rsidR="006A118D" w:rsidRPr="006A118D" w:rsidRDefault="006A118D" w:rsidP="006A118D">
            <w:pPr>
              <w:spacing w:line="360" w:lineRule="auto"/>
              <w:jc w:val="both"/>
            </w:pPr>
            <w:r w:rsidRPr="006A118D">
              <w:t>b) identyfikację mających zastosowanie ogólnych wymogów dotyczących bezpieczeństwa i działania oraz analizę opcji umożliwiających spełnienie tych wymogów;</w:t>
            </w:r>
          </w:p>
          <w:p w14:paraId="04800137" w14:textId="77777777" w:rsidR="006A118D" w:rsidRPr="006A118D" w:rsidRDefault="006A118D" w:rsidP="006A118D">
            <w:pPr>
              <w:spacing w:line="360" w:lineRule="auto"/>
              <w:jc w:val="both"/>
            </w:pPr>
            <w:r w:rsidRPr="006A118D">
              <w:t>c) odpowiedzialność kadry zarządzającej;</w:t>
            </w:r>
          </w:p>
          <w:p w14:paraId="3DBB3FEC" w14:textId="77777777" w:rsidR="006A118D" w:rsidRPr="006A118D" w:rsidRDefault="006A118D" w:rsidP="006A118D">
            <w:pPr>
              <w:spacing w:line="360" w:lineRule="auto"/>
              <w:jc w:val="both"/>
            </w:pPr>
            <w:r w:rsidRPr="006A118D">
              <w:t>d) zarządzanie zasobami, w tym wybór i kontrolę dostawców i podwykonawców;</w:t>
            </w:r>
          </w:p>
          <w:p w14:paraId="53900944" w14:textId="77777777" w:rsidR="006A118D" w:rsidRPr="006A118D" w:rsidRDefault="006A118D" w:rsidP="006A118D">
            <w:pPr>
              <w:spacing w:line="360" w:lineRule="auto"/>
              <w:jc w:val="both"/>
            </w:pPr>
            <w:r w:rsidRPr="006A118D">
              <w:t>e) zarządzanie ryzykiem określone w załączniku I sekcja 3;</w:t>
            </w:r>
          </w:p>
          <w:p w14:paraId="57C048F3" w14:textId="77777777" w:rsidR="006A118D" w:rsidRPr="006A118D" w:rsidRDefault="006A118D" w:rsidP="006A118D">
            <w:pPr>
              <w:spacing w:line="360" w:lineRule="auto"/>
              <w:jc w:val="both"/>
            </w:pPr>
            <w:r w:rsidRPr="006A118D">
              <w:t>f) ocenę kliniczną zgodnie z art. 61 i załącznikiem XIV, w tym obserwacje kliniczne po wprowadzeniu do obrotu;</w:t>
            </w:r>
          </w:p>
          <w:p w14:paraId="06BB648D" w14:textId="77777777" w:rsidR="006A118D" w:rsidRPr="006A118D" w:rsidRDefault="006A118D" w:rsidP="006A118D">
            <w:pPr>
              <w:spacing w:line="360" w:lineRule="auto"/>
              <w:jc w:val="both"/>
            </w:pPr>
            <w:r w:rsidRPr="006A118D">
              <w:t>g) wykonanie produktu, w tym planowanie, projektowanie, rozwój, produkcję i świadczenie usług;</w:t>
            </w:r>
          </w:p>
          <w:p w14:paraId="5E0D39A1" w14:textId="77777777" w:rsidR="006A118D" w:rsidRPr="006A118D" w:rsidRDefault="006A118D" w:rsidP="006A118D">
            <w:pPr>
              <w:spacing w:line="360" w:lineRule="auto"/>
              <w:jc w:val="both"/>
            </w:pPr>
            <w:r w:rsidRPr="006A118D">
              <w:t>h) weryfikację nadawania kodów UDI zgodnie z art. 27 ust. 3 wszystkim stosownym wyrobom oraz zapewnienie spójności i aktualności informacji przekazywanych zgodnie z art. 29;</w:t>
            </w:r>
          </w:p>
          <w:p w14:paraId="3C68CF79" w14:textId="77777777" w:rsidR="006A118D" w:rsidRPr="006A118D" w:rsidRDefault="006A118D" w:rsidP="006A118D">
            <w:pPr>
              <w:spacing w:line="360" w:lineRule="auto"/>
              <w:jc w:val="both"/>
            </w:pPr>
            <w:r w:rsidRPr="006A118D">
              <w:t>i) ustanowienie, wdrożenie i utrzymanie systemu nadzoru po wprowadzeniu do obrotu zgodnie z art. 83;</w:t>
            </w:r>
          </w:p>
          <w:p w14:paraId="1BEC23B6" w14:textId="77777777" w:rsidR="006A118D" w:rsidRPr="006A118D" w:rsidRDefault="006A118D" w:rsidP="006A118D">
            <w:pPr>
              <w:spacing w:line="360" w:lineRule="auto"/>
              <w:jc w:val="both"/>
            </w:pPr>
            <w:r w:rsidRPr="006A118D">
              <w:t>j) prowadzenie komunikacji z właściwymi organami, jednostkami notyfikowanymi, innymi podmiotami gospodarczymi, klientami lub innymi zainteresowanymi stronami;</w:t>
            </w:r>
          </w:p>
          <w:p w14:paraId="4D22ACEC" w14:textId="77777777" w:rsidR="006A118D" w:rsidRPr="006A118D" w:rsidRDefault="006A118D" w:rsidP="006A118D">
            <w:pPr>
              <w:spacing w:line="360" w:lineRule="auto"/>
              <w:jc w:val="both"/>
            </w:pPr>
            <w:r w:rsidRPr="006A118D">
              <w:t>k) procesy zgłaszania poważnych incydentów i zewnętrznych działań korygujących dotyczących bezpieczeństwa w związku z obserwacją;</w:t>
            </w:r>
          </w:p>
          <w:p w14:paraId="4650AF3A" w14:textId="77777777" w:rsidR="006A118D" w:rsidRPr="006A118D" w:rsidRDefault="006A118D" w:rsidP="006A118D">
            <w:pPr>
              <w:spacing w:line="360" w:lineRule="auto"/>
              <w:jc w:val="both"/>
            </w:pPr>
            <w:r w:rsidRPr="006A118D">
              <w:t>l) zarządzanie działaniami korygującymi i zapobiegawczymi oraz weryfikację ich skuteczności;</w:t>
            </w:r>
          </w:p>
          <w:p w14:paraId="3AD3B1B5" w14:textId="205F2794" w:rsidR="00D04F90" w:rsidRDefault="006A118D" w:rsidP="006A118D">
            <w:pPr>
              <w:spacing w:line="360" w:lineRule="auto"/>
              <w:jc w:val="both"/>
            </w:pPr>
            <w:r w:rsidRPr="006A118D">
              <w:t>m) procesy monitorowania i pomiaru produkcji, analizę danych i doskonalenie produktu.</w:t>
            </w:r>
          </w:p>
        </w:tc>
      </w:tr>
    </w:tbl>
    <w:p w14:paraId="4C85B051" w14:textId="022DB466" w:rsidR="00D04F90" w:rsidRDefault="00D04F90" w:rsidP="00692F4F">
      <w:pPr>
        <w:spacing w:line="360" w:lineRule="auto"/>
      </w:pPr>
    </w:p>
    <w:p w14:paraId="7BE628C2" w14:textId="77777777" w:rsidR="00D04F90" w:rsidRPr="00D04F90" w:rsidRDefault="00D04F90" w:rsidP="00692F4F">
      <w:pPr>
        <w:spacing w:line="360" w:lineRule="auto"/>
        <w:rPr>
          <w:b/>
          <w:bCs/>
        </w:rPr>
      </w:pPr>
      <w:r w:rsidRPr="00D04F90">
        <w:rPr>
          <w:b/>
          <w:bCs/>
        </w:rPr>
        <w:t>Forma pracy i komunikacji:</w:t>
      </w:r>
    </w:p>
    <w:p w14:paraId="2E6E5F8F" w14:textId="2D915142" w:rsidR="00D04F90" w:rsidRPr="00D04F90" w:rsidRDefault="006A118D" w:rsidP="006A118D">
      <w:pPr>
        <w:spacing w:line="360" w:lineRule="auto"/>
        <w:jc w:val="both"/>
      </w:pPr>
      <w:r w:rsidRPr="006A118D">
        <w:t>Przygotowanie dokumentów będzie odbywało się na zasadzie spotkań projektowych – sugerowana częstotliwość co 2 tygodnie 1 h. Plan spotkań może ulegać zmianie w związku z stopniem zaawansowania projektu.</w:t>
      </w:r>
    </w:p>
    <w:sectPr w:rsidR="00D04F90" w:rsidRPr="00D04F90" w:rsidSect="00CE0DF8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FD3B" w14:textId="77777777" w:rsidR="00E8198A" w:rsidRDefault="00E8198A" w:rsidP="00CE0DF8">
      <w:pPr>
        <w:spacing w:after="0" w:line="240" w:lineRule="auto"/>
      </w:pPr>
      <w:r>
        <w:separator/>
      </w:r>
    </w:p>
  </w:endnote>
  <w:endnote w:type="continuationSeparator" w:id="0">
    <w:p w14:paraId="64EE4D67" w14:textId="77777777" w:rsidR="00E8198A" w:rsidRDefault="00E8198A" w:rsidP="00CE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912177"/>
      <w:docPartObj>
        <w:docPartGallery w:val="Page Numbers (Bottom of Page)"/>
        <w:docPartUnique/>
      </w:docPartObj>
    </w:sdtPr>
    <w:sdtContent>
      <w:p w14:paraId="0E281761" w14:textId="4CBC51DC" w:rsidR="00943A5E" w:rsidRDefault="00943A5E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7B9EE2A6" w14:textId="77777777" w:rsidR="00943A5E" w:rsidRDefault="00943A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C2D8" w14:textId="77777777" w:rsidR="00E8198A" w:rsidRDefault="00E8198A" w:rsidP="00CE0DF8">
      <w:pPr>
        <w:spacing w:after="0" w:line="240" w:lineRule="auto"/>
      </w:pPr>
      <w:r>
        <w:separator/>
      </w:r>
    </w:p>
  </w:footnote>
  <w:footnote w:type="continuationSeparator" w:id="0">
    <w:p w14:paraId="22699F1B" w14:textId="77777777" w:rsidR="00E8198A" w:rsidRDefault="00E8198A" w:rsidP="00CE0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0665" w14:textId="763DF387" w:rsidR="00CE0DF8" w:rsidRDefault="00CE0DF8">
    <w:pPr>
      <w:pStyle w:val="Nagwek"/>
    </w:pPr>
    <w:r>
      <w:rPr>
        <w:noProof/>
      </w:rPr>
      <w:drawing>
        <wp:inline distT="0" distB="0" distL="0" distR="0" wp14:anchorId="41B47DC0" wp14:editId="0E8B2A0A">
          <wp:extent cx="5760720" cy="5899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361D"/>
    <w:multiLevelType w:val="hybridMultilevel"/>
    <w:tmpl w:val="67828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7274"/>
    <w:multiLevelType w:val="hybridMultilevel"/>
    <w:tmpl w:val="CCA0D116"/>
    <w:lvl w:ilvl="0" w:tplc="FCF85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14334"/>
    <w:multiLevelType w:val="hybridMultilevel"/>
    <w:tmpl w:val="A956E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45910">
    <w:abstractNumId w:val="1"/>
  </w:num>
  <w:num w:numId="2" w16cid:durableId="693653003">
    <w:abstractNumId w:val="2"/>
  </w:num>
  <w:num w:numId="3" w16cid:durableId="158873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75"/>
    <w:rsid w:val="001C2D0A"/>
    <w:rsid w:val="00226875"/>
    <w:rsid w:val="002A05E5"/>
    <w:rsid w:val="00300B44"/>
    <w:rsid w:val="003249D2"/>
    <w:rsid w:val="00384474"/>
    <w:rsid w:val="004570A0"/>
    <w:rsid w:val="004D5AA0"/>
    <w:rsid w:val="005213C2"/>
    <w:rsid w:val="00620747"/>
    <w:rsid w:val="00692F4F"/>
    <w:rsid w:val="006A118D"/>
    <w:rsid w:val="007642C2"/>
    <w:rsid w:val="00811071"/>
    <w:rsid w:val="0086463C"/>
    <w:rsid w:val="00943A5E"/>
    <w:rsid w:val="00A059DF"/>
    <w:rsid w:val="00A75C7D"/>
    <w:rsid w:val="00BE685E"/>
    <w:rsid w:val="00C410A6"/>
    <w:rsid w:val="00CE0DF8"/>
    <w:rsid w:val="00D04F90"/>
    <w:rsid w:val="00E8198A"/>
    <w:rsid w:val="00EB50C9"/>
    <w:rsid w:val="00F36A82"/>
    <w:rsid w:val="00F4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FB97"/>
  <w15:chartTrackingRefBased/>
  <w15:docId w15:val="{138169E0-EB63-4069-A453-BED4C278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DF8"/>
  </w:style>
  <w:style w:type="paragraph" w:styleId="Stopka">
    <w:name w:val="footer"/>
    <w:basedOn w:val="Normalny"/>
    <w:link w:val="StopkaZnak"/>
    <w:uiPriority w:val="99"/>
    <w:unhideWhenUsed/>
    <w:rsid w:val="00CE0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DF8"/>
  </w:style>
  <w:style w:type="paragraph" w:styleId="Akapitzlist">
    <w:name w:val="List Paragraph"/>
    <w:basedOn w:val="Normalny"/>
    <w:uiPriority w:val="34"/>
    <w:qFormat/>
    <w:rsid w:val="00CE0DF8"/>
    <w:pPr>
      <w:ind w:left="720"/>
      <w:contextualSpacing/>
    </w:pPr>
  </w:style>
  <w:style w:type="table" w:styleId="Tabela-Siatka">
    <w:name w:val="Table Grid"/>
    <w:basedOn w:val="Standardowy"/>
    <w:uiPriority w:val="39"/>
    <w:rsid w:val="0094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0F7F-270D-4CF3-9EE9-64147C9C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kcichacz</dc:creator>
  <cp:keywords/>
  <dc:description/>
  <cp:lastModifiedBy>kcichacz</cp:lastModifiedBy>
  <cp:revision>3</cp:revision>
  <dcterms:created xsi:type="dcterms:W3CDTF">2022-11-23T09:42:00Z</dcterms:created>
  <dcterms:modified xsi:type="dcterms:W3CDTF">2022-11-23T16:07:00Z</dcterms:modified>
</cp:coreProperties>
</file>