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" w:right="-57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Zapytanie ofertowe  na dostawę</w:t>
      </w:r>
      <w:r w:rsidDel="00000000" w:rsidR="00000000" w:rsidRPr="00000000">
        <w:rPr>
          <w:b w:val="1"/>
          <w:sz w:val="24"/>
          <w:szCs w:val="24"/>
          <w:rtl w:val="0"/>
        </w:rPr>
        <w:t xml:space="preserve">-sprzedaż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b w:val="1"/>
          <w:sz w:val="24"/>
          <w:szCs w:val="24"/>
          <w:rtl w:val="0"/>
        </w:rPr>
        <w:t xml:space="preserve"> Modułu magazynowania i przechowywania roztworu rozpuszczalnika ekstrakcyjnego.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Nazwa oraz adres Zamawiającego: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NATURA EKSPERT Krzysztof Gruszczyk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[dalej zwane „Zamawiającym” ]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ul. Fryderyka Chopina 14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20-023 Lublin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NIP: 9191005609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3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REGON: 950221501</w:t>
      </w:r>
    </w:p>
    <w:p w:rsidR="00000000" w:rsidDel="00000000" w:rsidP="00000000" w:rsidRDefault="00000000" w:rsidRPr="00000000" w14:paraId="0000000A">
      <w:pPr>
        <w:widowControl w:val="0"/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Adres strony internetowej </w:t>
      </w:r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www.naturaexpert.com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Adres e-mail:</w:t>
      </w:r>
      <w:r w:rsidDel="00000000" w:rsidR="00000000" w:rsidRPr="00000000">
        <w:rPr>
          <w:rFonts w:ascii="Calibri" w:cs="Calibri" w:eastAsia="Calibri" w:hAnsi="Calibri"/>
          <w:color w:val="008000"/>
          <w:sz w:val="20"/>
          <w:szCs w:val="20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sz w:val="20"/>
            <w:szCs w:val="20"/>
            <w:u w:val="single"/>
            <w:rtl w:val="0"/>
          </w:rPr>
          <w:t xml:space="preserve">projekt@naturaexpert.com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II.         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Tryb udzielenia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Postępowanie o udzielenie zamówienia prowadzone jest zgodnie z zasadą konkurencyjności na podstawie wytycznych:   Wytyczne w zakresie kwalifikowalności wydatków w ramach Europejskiego Funduszu Rozwoju Regionalnego, Europejskiego Funduszu Społecznego oraz Funduszu Spójności na lata 2014-2020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III.        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Opis przedmiotu zamówienia.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Cel: Dostawa </w:t>
      </w:r>
      <w:r w:rsidDel="00000000" w:rsidR="00000000" w:rsidRPr="00000000">
        <w:rPr>
          <w:sz w:val="18"/>
          <w:szCs w:val="18"/>
          <w:rtl w:val="0"/>
        </w:rPr>
        <w:t xml:space="preserve">modułu magazynowania roztworu rozpuszczalnika ekstrakcyjnego,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stanowiącego zestaw urządzeń stanowiący w połączeniu integraln</w:t>
      </w:r>
      <w:r w:rsidDel="00000000" w:rsidR="00000000" w:rsidRPr="00000000">
        <w:rPr>
          <w:sz w:val="18"/>
          <w:szCs w:val="18"/>
          <w:rtl w:val="0"/>
        </w:rPr>
        <w:t xml:space="preserve">y ciąg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technologiczn</w:t>
      </w:r>
      <w:r w:rsidDel="00000000" w:rsidR="00000000" w:rsidRPr="00000000">
        <w:rPr>
          <w:sz w:val="18"/>
          <w:szCs w:val="18"/>
          <w:rtl w:val="0"/>
        </w:rPr>
        <w:t xml:space="preserve">y, przystosowany do przyjęcia, magazynowania (składowania) rozpuszczalnika. Należy uwzględnić stawiane wymagania dla rozpuszczalnika referencyjnego -  (etanol 96% C2H5OH, w odniesieniu do którego należy dostosować kompleksowy zakres projektowy, wymagania, wykonanie urządzeń zgodnie z obowiązującymi przepisami prawa: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Rozporządzenie Ministra Gospodarki, z dnia 19 sierpnia 2014 r w sprawie wymagań, którym powinny odpowiadać zbiorniki pomiarowe. Rozporządzenie Ministra Gospodarki, z dnia 18 września 2001 r. w sprawie warunków technicznych dozoru technicznego jakim powinny odpowiadać zbiorniki bezciśnieniowe i niskociśnieniowe przeznaczone do magazynowania materiałów ciekłych zapalnych.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Normy: PN-EN 10088-2:1999 Stale odporne na korozję. Warunki techniczne dostawy blach grubych,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cienkich oraz taśm ogólnego przeznaczenia. PN-EN 10088-3:1999 Stale odporne na korozję. Warunki techniczne dostawy </w:t>
      </w:r>
      <w:r w:rsidDel="00000000" w:rsidR="00000000" w:rsidRPr="00000000">
        <w:rPr>
          <w:sz w:val="18"/>
          <w:szCs w:val="18"/>
          <w:rtl w:val="0"/>
        </w:rPr>
        <w:t xml:space="preserve">półfabrykatów</w:t>
      </w:r>
      <w:r w:rsidDel="00000000" w:rsidR="00000000" w:rsidRPr="00000000">
        <w:rPr>
          <w:sz w:val="18"/>
          <w:szCs w:val="18"/>
          <w:rtl w:val="0"/>
        </w:rPr>
        <w:t xml:space="preserve">, prętów, walcówki i kształtowników ogólnego przeznaczenia. PN-EN 1011-3:2002 Spawanie. Wytyczne dotyczące spawania metali. Część 3: Spawanie łukowe stali nierdzewnych. PN-EN 1672-2:1999 Maszyny dla przemysłu spożywczego. Pojęcia podstawowe. Wymagania z zakresu higieny.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Zakres prac obejmuje na etapie projektowania i wykonania uwzględnienie wymagań środowiskowych, wytyczenie i analizę stref zagrożenia wybuchem- projekt strefy ATEX.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Zakres prac obejmuje opracowanie dokumentacji projektowej wykonawczej dla urządzeń obejmujące wymagania zgodności: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2014/68/EU PED (i dalsze zmiany)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2014/34/UE ATEX (i dalsze zmiany)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Dyrektywa maszynowa 2006/42/WE (i dalsze zmiany)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Standard dla zbiorników ciśnieniowych PED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Zaprojektowanie i wykonanie instalacji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zgodnie z wymaganiami higienicznymi dotyczącymi wyposażenia i zdolności czyszczenia ISO 22000:2018, GMP+.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Bezwzględnie wymagana zgodność materiałowa z AISI lub norm EN.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Ze względu na zastosowanie etanolu jako rozpuszczalnika, urządzenia</w:t>
      </w:r>
      <w:r w:rsidDel="00000000" w:rsidR="00000000" w:rsidRPr="00000000">
        <w:rPr>
          <w:sz w:val="18"/>
          <w:szCs w:val="18"/>
          <w:rtl w:val="0"/>
        </w:rPr>
        <w:t xml:space="preserve"> muszą wykonane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tak, aby odpowiadały niebezpiecznym warunkom środowiska, Etanol IIB T3, strefa wewnętrzna 1/strefa zewnętrzna 2 (ATEX II 2G/ ATEX II 3G).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Instrukcja obsługi wydana przez Producenta, zgodnie z powyższymi wymaganiami dotyczącymi zgodności.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Wszystkie dostarczane części mają być zgodne z europejskimi normami, jeśli nie wyspecyfikowano.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" w:right="-57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57" w:right="-57" w:firstLine="0"/>
        <w:jc w:val="left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Zakres prac obejmuje </w:t>
      </w:r>
      <w:r w:rsidDel="00000000" w:rsidR="00000000" w:rsidRPr="00000000">
        <w:rPr>
          <w:sz w:val="18"/>
          <w:szCs w:val="18"/>
          <w:rtl w:val="0"/>
        </w:rPr>
        <w:t xml:space="preserve">wykonanie magazynu rozpuszczalnika (etanolu), wyposażony w punkt odbioru, magazynowania (składowania), wydawania rozpuszczalnika spełniający wymagania składu akcyzowego, wyposażony: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7" w:hanging="360"/>
        <w:jc w:val="left"/>
        <w:rPr>
          <w:i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Zbiornik magazynowy  szt. 4,</w:t>
      </w:r>
      <w:r w:rsidDel="00000000" w:rsidR="00000000" w:rsidRPr="00000000">
        <w:rPr>
          <w:sz w:val="18"/>
          <w:szCs w:val="18"/>
          <w:rtl w:val="0"/>
        </w:rPr>
        <w:t xml:space="preserve"> o łącznej pojemności całkowitej  w zakresie Vc=(35-40m3).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57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Uwaga!</w:t>
      </w:r>
      <w:r w:rsidDel="00000000" w:rsidR="00000000" w:rsidRPr="00000000">
        <w:rPr>
          <w:sz w:val="18"/>
          <w:szCs w:val="18"/>
          <w:rtl w:val="0"/>
        </w:rPr>
        <w:t xml:space="preserve"> Zamawiający dopuszcza zmianę ilości zbiorników w zakresie szt. (1-4), z jednoczesnym zachowaniem łącznej  pojemności całkowitej zbiornika (zbiorników) Vc=(35-40m3) oraz  spełniające wymogi konstrukcyjne zbiorników (zbiornika):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Zbiornik akcyzowy- zatwierdzenie typu GUM-PLT 2065,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Zbiornik z odbiorem UDT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Zbiornik przeznaczony do magazynowania etanolu stężonego do 96%, przystosowany jako zbiornik(i) zewnętrzny(e), dwupłaszczowy(e) z płaszczem </w:t>
      </w:r>
      <w:r w:rsidDel="00000000" w:rsidR="00000000" w:rsidRPr="00000000">
        <w:rPr>
          <w:sz w:val="18"/>
          <w:szCs w:val="18"/>
          <w:rtl w:val="0"/>
        </w:rPr>
        <w:t xml:space="preserve">wychwytowym</w:t>
      </w:r>
      <w:r w:rsidDel="00000000" w:rsidR="00000000" w:rsidRPr="00000000">
        <w:rPr>
          <w:sz w:val="18"/>
          <w:szCs w:val="18"/>
          <w:rtl w:val="0"/>
        </w:rPr>
        <w:t xml:space="preserve"> ewentualnego wycieku oraz zamontowanym(i) czujnikiem(ami) obecności oparów, cieczy.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wyposażony(e) w sygnalizację powstania wycieku w zbiorniku z podłączeniem detektora z modułem alarmowym i sygnalizatorem optyczno akustycznym,plus dodatkowym wyjściem sygnału alarmowego.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zbiorniki (zbiornik) powinny(nien) posiadać legalizację pierwotną, wymagana dokumentacja.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Wykonanie: dennica dolna stożkowa wyoblona, kąt do 35 stopni, dennica dolna płaska z przestrzenią do wyłapania wycieku na dennicy dolnej, dennica dolna stożkowa wyoblona, kąt do 35 stopni z rurą spustową zakończoną zaworem. Spoiny wewnątrz zbiornika wyrównane (wyszlifowane do rodzimego materiału, polerowane, chropowatość powierzchni wewnętrznych &gt; 0,8, powierzchnia zewnętrzna – blacha zimnowalcowana 2B, spoiny zewnętrzne szlifowane i polerowane. Nogi stałe z otworami do kotwienia ilość 4 szt.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Materiał: stal 0H18N9 (SS304), materiał części gumowych: guma spożywcza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Rozmiar maksymalny dla 1 zbiornika :wysokość całkowita zbiornika H=9200 mm z barierką, średnica zewnętrzna fi 3000 mm,  wysokość od posadzki do spustu hp=350 mm (uwarunkowania zestawu pompowego).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Wyposażenie: właz górny DN 600, dolny DN 600, manometr nad lustrem cieczy, zestaw pomiaru  poziomu za pomocą taśmy pomiarowe, odpowietrzenie rurą z króćcem na dennicy górnej, króciec spustowy DN 80 z rurą DN 50 i zaworem w osi zbiornika, w rurze zamontowany króciec czujnika pomiaru np. TM411-4W(F4/101, króćce i czujniki LSH i LSL np. FTL50H-GTD2AC6G6A + FTL325N-F1E1, radarowa sonda poziomu z zaślepką np. FMR62-11UA5/0, króciec do manometru i manometr, zawór poboru próbek, króciec wahadła oparów DN50 w dennicy górnej sprowadzony w dół. Zawór nadciśnieniowo podciśnieniowy utrzymujacy opary spirytusu wewnatz zbiornika z przerywaczem płomienia deflagracji. Barierka ochronna na zbiorniku z podestem. Libell. Króciec nadciśnienia nad lustrem cieczy. Króciec pomiaru hydrostatycznego. Rurka lub koryto na zbiorniku na kable.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-57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Ciśnienie zbiornika 0,5 bar, Podciśnienie 0,06 barg. Spełniający wymagania i zastosowanie  w przestrzeni ATEX.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spacing w:after="0" w:line="240" w:lineRule="auto"/>
        <w:ind w:left="720" w:right="-57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Zestaw zbiorników przygotowania rozpuszczalnika szt 4. </w:t>
      </w:r>
      <w:r w:rsidDel="00000000" w:rsidR="00000000" w:rsidRPr="00000000">
        <w:rPr>
          <w:sz w:val="18"/>
          <w:szCs w:val="18"/>
          <w:rtl w:val="0"/>
        </w:rPr>
        <w:t xml:space="preserve"> Zbiorniki IBC 1000L UN/EX. Opis: </w:t>
      </w:r>
      <w:r w:rsidDel="00000000" w:rsidR="00000000" w:rsidRPr="00000000">
        <w:rPr>
          <w:sz w:val="18"/>
          <w:szCs w:val="18"/>
          <w:rtl w:val="0"/>
        </w:rPr>
        <w:t xml:space="preserve">Kontener antystatyczny IBC poj.1000L przeznaczony do transportu i przechowywania substancji łatwopalnych klasy 1 i 2 według ATEX. zabezpieczony przed działaniem prądu elektrostatycznego (Electrostatically save according) CLC/TR 50404:2003.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Kontener na substancje łatwopalne poddany jest odpowiedniej homologacji – UN 31HA1/Y/D/BAM – i spełnia wysokie wymagania ADR, RID oraz IMDG–Code do transportu substancji niebezpiecznych. Pojemnik</w:t>
      </w:r>
      <w:r w:rsidDel="00000000" w:rsidR="00000000" w:rsidRPr="00000000">
        <w:rPr>
          <w:sz w:val="18"/>
          <w:szCs w:val="18"/>
          <w:rtl w:val="0"/>
        </w:rPr>
        <w:t xml:space="preserve"> wykonany z HDPE – odpornego na pęknięcia, promienie UV, w wykonaniu paletopojemnik 1000L EX. Dane Techniczne: pojemność 1000L, wymiary zbliżone: ok 1200x1000x1170 mm, kolor naturalny, zawór 2”;DN 50, certyfikat UN Y, Atest spożywczy, dekiel górny: zalecany 150 mm standard. Przystosowany do przenoszenia za pomocą wózków widłowych i oraz wyposażenie uzupełniające  wanna wychwytowa.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spacing w:after="0" w:line="240" w:lineRule="auto"/>
        <w:ind w:left="720" w:right="-57" w:hanging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Instalacja odbioru  etanolu z cysterny do zbiornika (zbiorników) o poj. całkowitej Vc= 35-40m3</w:t>
      </w:r>
      <w:r w:rsidDel="00000000" w:rsidR="00000000" w:rsidRPr="00000000">
        <w:rPr>
          <w:sz w:val="18"/>
          <w:szCs w:val="18"/>
          <w:rtl w:val="0"/>
        </w:rPr>
        <w:t xml:space="preserve"> obejmująca: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line="240" w:lineRule="auto"/>
        <w:ind w:left="1440" w:right="-5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Wykonanie kompletnej dokumentacji projektowej fundamentów podłoża posadowienia zbiorników (zbiornika) i punktu rozładunku autocysterny z odprowadzeniem wycieku do studzienki </w:t>
      </w:r>
      <w:r w:rsidDel="00000000" w:rsidR="00000000" w:rsidRPr="00000000">
        <w:rPr>
          <w:sz w:val="18"/>
          <w:szCs w:val="18"/>
          <w:rtl w:val="0"/>
        </w:rPr>
        <w:t xml:space="preserve">ociekowej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line="240" w:lineRule="auto"/>
        <w:ind w:left="1440" w:right="-5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Analiza stref zagrożenia wybuchem- zaprojektowanie strefy ATEX: zaprojektowanie i wykonanie  instalacji elektrycznej i sterowania punktu odbioru i przekazu rozpuszczalnika, sterowanie PLC, panel dotykowy, moduł bezpieczeństwa.</w:t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0" w:line="240" w:lineRule="auto"/>
        <w:ind w:left="1440" w:right="-5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Złącza sucho zrywalne wraz z odbiorem ADR, Szafa sterująca składem.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line="240" w:lineRule="auto"/>
        <w:ind w:left="1440" w:right="-5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Zestaw węży elastycznych do podpięcia cysterny z wahadłem oparów, z wieszakiem na węże elastyczne.</w:t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0" w:line="240" w:lineRule="auto"/>
        <w:ind w:left="1440" w:right="-5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Rurociągi do podpięcia złącza do zbiornika razem z zaworami.</w:t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0" w:line="240" w:lineRule="auto"/>
        <w:ind w:left="1440" w:right="-5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Pompa wirowa układu rozładunku cysterny o wydajności 30m3/h wykonaniu przeciwwybuchowym, grupa II, dyrektywa 94/9/EC, kat 2G,strefa 1.  Kat 3G strefa 2. pompa Ex II2G </w:t>
      </w:r>
      <w:r w:rsidDel="00000000" w:rsidR="00000000" w:rsidRPr="00000000">
        <w:rPr>
          <w:sz w:val="18"/>
          <w:szCs w:val="18"/>
          <w:rtl w:val="0"/>
        </w:rPr>
        <w:t xml:space="preserve">c Ex</w:t>
      </w:r>
      <w:r w:rsidDel="00000000" w:rsidR="00000000" w:rsidRPr="00000000">
        <w:rPr>
          <w:sz w:val="18"/>
          <w:szCs w:val="18"/>
          <w:rtl w:val="0"/>
        </w:rPr>
        <w:t xml:space="preserve"> de IIB T4 Gb- ATEX, zabezpieczeniem przed suchobiegiem, z wymaganiami dyrektywy ATEX 94/9/WE w sprawie zasadniczych wymagań dla urządzeń i systemów ochronnych przeznaczonych do użytku w przestrzeniach zagrożonych wybuchem. (Dz. U. Nr 263 poz. 2203), przeznaczona do transportu zarówno cieczy niepalnych jak i cieczy palnych, które mogą tworzyć mieszaniny wybuchowe zaklasyfikowane do grupy wybuchowości IIB i które są klasy temperaturowej T4. Pompa przeznaczona do stosowania w przestrzeniach, w których występuje strefa 1 i/lub strefa 2 zagrożenia wybuchem mieszanin gazów palnych i/lub par cieczy palnych z powietrzem. Części metalowe pompy mające kontakt z produktem  wykonane ze stali kwasoodpornejw gatunku 1.4404 (316L), części niemetalowe uszczelnienia mechanicznego wykonane z spiekanego</w:t>
      </w:r>
    </w:p>
    <w:p w:rsidR="00000000" w:rsidDel="00000000" w:rsidP="00000000" w:rsidRDefault="00000000" w:rsidRPr="00000000" w14:paraId="00000036">
      <w:pPr>
        <w:spacing w:after="0" w:line="240" w:lineRule="auto"/>
        <w:ind w:left="1440" w:right="-5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węglika krzemu (SiC), a części gumowe pompy i uszczelnienia w gatunku EPDM. Pozostałe części pompy</w:t>
      </w:r>
    </w:p>
    <w:p w:rsidR="00000000" w:rsidDel="00000000" w:rsidP="00000000" w:rsidRDefault="00000000" w:rsidRPr="00000000" w14:paraId="00000037">
      <w:pPr>
        <w:spacing w:after="0" w:line="240" w:lineRule="auto"/>
        <w:ind w:left="1440" w:right="-57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nie mające bezpośredniego styku z pompowaną cieczą wykonane z materiałów metalowych w gatunku 1.4301 (304). Pompa przeznaczona do etanolu i innych  alkoholi, rozpuszczalników. Zakres pracy -20 do + 40 stopni Celsjusza.</w:t>
      </w:r>
    </w:p>
    <w:p w:rsidR="00000000" w:rsidDel="00000000" w:rsidP="00000000" w:rsidRDefault="00000000" w:rsidRPr="00000000" w14:paraId="00000038">
      <w:pPr>
        <w:numPr>
          <w:ilvl w:val="0"/>
          <w:numId w:val="12"/>
        </w:numPr>
        <w:spacing w:after="0" w:line="240" w:lineRule="auto"/>
        <w:ind w:left="1440" w:right="-5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Pompa wirowa układu rozładunku zbiornika (zbiorników), w wykonaniu przeciwwybuchowym zgodnym z wymaganiami dyrektywy 94/9/WE w sprawie zasadniczych wymagań dla urządzeń i systemów ochronnych przeznaczonych do użytku w przestrzeniach zagrożonych wybuchem. (Dz. U. Nr 263 poz. 2203). Pompa przeznaczona do transportu zarówno cieczy niepalnych jak i cieczy palnych, które mogą tworzyć mieszaniny wybuchowe zaklasyfikowane do grupy wybuchowości IIB i które są klasy temperaturowej T4. Pompa przeznaczona jest do stosowania w przestrzeniach, w których występuje strefa 1 i/lub strefa 2 zagrożenia wybuchem mieszanin gazów palnych i/lub par cieczy palnych z powietrzem. Części metalowe pompy mające kontakt z produktem są wykonane ze stali kwasoodpornej w gatunku 1.4404 (316L), części niemetalowe uszczelnienia mechanicznego wykonane z spiekanego węglika krzemu (SiC), a części gumowe pompy i uszczelnienia w gatunku EPDM. Pozostałe części pompy nie mające bezpośredniego styku z pompowaną cieczą wykonane z materiałów metalowych w gatunku 1.4301 (304). Pompa zakończona króćcem z przeciw złączem do obwodu wydania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spacing w:after="0" w:line="240" w:lineRule="auto"/>
        <w:ind w:left="1440" w:right="-57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Komplet dokumentacji projektowej, do wykonania uzgodnień i uzyskania dopuszczenia akcyzowego.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08" w:right="-57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08" w:right="-57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Zamawiający wymaga również świadczenia usług serwisowych w poniższym zakresie: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Wykonawca udzieli Zamawiającemu, co najmniej 12 miesięcznej gwarancji na urządzenie licząc od daty odbioru.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Naprawy gwarancyjne będą oparte na serwisie gwarancyjnym  dostawcy lub producenta;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Zamawiający wymaga, by zapewniona była naprawa lub wymiana urządzeń lub ich części, na nowe i oryginalne, zgodnie z metodyką i zaleceniami producenta, 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Usługi serwisowe typu door to door, 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sytuacji wystąpienia usterki: naprawa lub wymiana urządzenia w ciągu 3 dni roboczych – licząc od momentu otrzymania przez Wykonawcę zgłoszenia awarii, do momentu dostarczenia sprawnego urządzenia, 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Wykonawca zapewnia możliwość zgłaszania problemów telefonicznie oraz za pomocą poczty elektronicznej, 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Czas reakcji na zgłoszony problem – maks. 24 h, liczony w godzinach przyjmowania zgłoszeń, co najmniej 8 godzin przez 5 dni w tygodniu, 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Przez czas reakcji rozumiemy okres, od momentu otrzymania przez Wykonawcę zgłoszenia serwisowego, do momentu podjęcia pierwszych czynności diagnostycznych przez Wykonawcę, 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Przez rozpoczęcie czynności diagnostycznych rozumie się: - nawiązanie kontaktu telefonicznego lub za pośrednictwem e-maila z pracownikiem Zamawiającego i przekazanie mu wskazówek dalszego postępowania, </w:t>
      </w:r>
      <w:r w:rsidDel="00000000" w:rsidR="00000000" w:rsidRPr="00000000">
        <w:rPr>
          <w:sz w:val="18"/>
          <w:szCs w:val="18"/>
          <w:rtl w:val="0"/>
        </w:rPr>
        <w:t xml:space="preserve">lub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- wykonanie czynności zmierzających do usunięcia awarii/usterki przez samego Wykonawcę (osobiście albo zdalnie);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Dostęp za pośrednictwem Wykonawcy do centrum wsparcia technicznego producenta; 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Dostęp (uprawnienie do pobierania i instalowania) do wszelkich aktualizacji oferowanego produktu w zakresie drobnych poprawek jak i nowych wersji oprogramowania, pełnej dokumentacji w zakresie instalacji, konfiguracji i utrzymania środowiska, jeżeli takie istnieje.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6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Dostęp do bazy wiedzy, budowanej i utrzymywanej przez producenta w zakresie oferowanego produktu.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4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Kod przedmiotu zamówienia wg Wspólnego Słownika Zamówień (CPV):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Kod CPV: 42215200-8 - Maszyny do przetwarzania żywności.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Odbiór urządzeń nastąpi w Laboratorium Zamawiającego: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KG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NE,  21-110 Ostrów Lubelski, ul. Zachodnia 8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379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Warunki zakupu: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Ofertę można złożyć wysyłając e-mail na adres: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projekt@naturaexpert.com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Wykonanie dokumentacji technologicznej urządzeń.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Forma płatności: przelew.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Termin realizacji zlecenia: do dnia </w:t>
      </w:r>
      <w:r w:rsidDel="00000000" w:rsidR="00000000" w:rsidRPr="00000000">
        <w:rPr>
          <w:sz w:val="18"/>
          <w:szCs w:val="18"/>
          <w:rtl w:val="0"/>
        </w:rPr>
        <w:t xml:space="preserve">31.12-2022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roku, warunkowo </w:t>
      </w:r>
      <w:r w:rsidDel="00000000" w:rsidR="00000000" w:rsidRPr="00000000">
        <w:rPr>
          <w:sz w:val="18"/>
          <w:szCs w:val="18"/>
          <w:rtl w:val="0"/>
        </w:rPr>
        <w:t xml:space="preserve">istnieje możliwość wykonania w terminie nieprzekraczalnym do dnia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15-03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-202</w:t>
      </w:r>
      <w:r w:rsidDel="00000000" w:rsidR="00000000" w:rsidRPr="00000000">
        <w:rPr>
          <w:sz w:val="18"/>
          <w:szCs w:val="18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roku</w:t>
      </w:r>
      <w:r w:rsidDel="00000000" w:rsidR="00000000" w:rsidRPr="00000000">
        <w:rPr>
          <w:sz w:val="18"/>
          <w:szCs w:val="18"/>
          <w:rtl w:val="0"/>
        </w:rPr>
        <w:t xml:space="preserve">, po uzyskaniu zgody z LAWP.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Jednocześnie Zamawiający wyjaśnia</w:t>
      </w:r>
      <w:r w:rsidDel="00000000" w:rsidR="00000000" w:rsidRPr="00000000">
        <w:rPr>
          <w:sz w:val="18"/>
          <w:szCs w:val="18"/>
          <w:rtl w:val="0"/>
        </w:rPr>
        <w:t xml:space="preserve">, iż z uwagi na fakt iż termin zakończenia projektu przypada na dzień 31-12-2022, po wybraniu oferty zostanie zawarta umowa warunkowa na podstawie której Zamawiający złoży wniosek do LAWP w Lublinie o wyrażenie zgody na wydłużenie terminu realizacji projektu. Po uzyskaniu zgody z LAWP podpisana umowa stanie się wiążąca.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Warunki gwarancji minimum 12-miesięczny okres gwarancji oraz serwis gwarancyjny i pogwarancyjny.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Ważność oferty: czas związania z ofertą 30 dni od terminu składania ofert.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Miejsce dostawy: 21-110 Ostrów Lubelski, ul Zachodnia 8, Polska.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Oznakowanie i certyfikaty CE.</w:t>
      </w:r>
    </w:p>
    <w:p w:rsidR="00000000" w:rsidDel="00000000" w:rsidP="00000000" w:rsidRDefault="00000000" w:rsidRPr="00000000" w14:paraId="00000056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IV.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Termin wykonania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0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Termin realizacji zlecenia: do dnia 31.12-2022 roku, warunkowo istnieje możliwość wykonania w terminie nieprzekraczalnym do dnia 15-03-2023 roku, po uzyskaniu zgody z LAWP.  Jednocześnie Zamawiający wyjaśnia, iż z uwagi na fakt iż termin zakończenia projektu przypada na dzień 31-12-2022, po wybraniu oferty zostanie zawarta umowa warunkowa na podstawie której Zamawiający złoży wniosek do LAWP w Lublinie o wyrażenie zgody na wydłużenie terminu realizacji projektu. Po uzyskaniu zgody z LAWP podpisana umowa stanie się wiążąca.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hd w:fill="ffffff" w:val="clear"/>
        <w:tabs>
          <w:tab w:val="left" w:pos="709"/>
        </w:tabs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Wydłużenie terminu wyłącznie za zgodą Zamawiającego.</w:t>
      </w:r>
    </w:p>
    <w:p w:rsidR="00000000" w:rsidDel="00000000" w:rsidP="00000000" w:rsidRDefault="00000000" w:rsidRPr="00000000" w14:paraId="0000005A">
      <w:pPr>
        <w:widowControl w:val="0"/>
        <w:shd w:fill="ffffff" w:val="clear"/>
        <w:tabs>
          <w:tab w:val="left" w:pos="709"/>
        </w:tabs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Warunki udziału w postępowaniu oraz opis sposobu dokonywania oceny spełnienia tych warunków.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-57" w:right="-5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 udzielenie zamówienia mogą ubiegać się Wykonawcy, którzy spełniają następujący warunek:</w:t>
      </w:r>
    </w:p>
    <w:p w:rsidR="00000000" w:rsidDel="00000000" w:rsidP="00000000" w:rsidRDefault="00000000" w:rsidRPr="00000000" w14:paraId="0000005D">
      <w:pPr>
        <w:spacing w:after="0" w:line="240" w:lineRule="auto"/>
        <w:ind w:left="-57" w:right="-57" w:firstLine="0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nie występują powiązania osobowe lub kapitałowe z Zamawiającym.</w:t>
      </w:r>
    </w:p>
    <w:p w:rsidR="00000000" w:rsidDel="00000000" w:rsidP="00000000" w:rsidRDefault="00000000" w:rsidRPr="00000000" w14:paraId="0000005E">
      <w:pPr>
        <w:spacing w:after="0" w:line="240" w:lineRule="auto"/>
        <w:ind w:left="-57" w:right="-57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Przez powiązania osobowe lub kapitałowe rozumie się wzajemne powiązania </w:t>
      </w:r>
      <w:r w:rsidDel="00000000" w:rsidR="00000000" w:rsidRPr="00000000">
        <w:rPr>
          <w:sz w:val="18"/>
          <w:szCs w:val="18"/>
          <w:rtl w:val="0"/>
        </w:rPr>
        <w:t xml:space="preserve">między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000000" w:rsidDel="00000000" w:rsidP="00000000" w:rsidRDefault="00000000" w:rsidRPr="00000000" w14:paraId="0000005F">
      <w:pPr>
        <w:spacing w:after="0" w:line="240" w:lineRule="auto"/>
        <w:ind w:left="-57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a) uczestniczeniu w spółce jako wspólnik spółki cywilnej lub spółki osobowej;</w:t>
      </w:r>
    </w:p>
    <w:p w:rsidR="00000000" w:rsidDel="00000000" w:rsidP="00000000" w:rsidRDefault="00000000" w:rsidRPr="00000000" w14:paraId="00000060">
      <w:pPr>
        <w:spacing w:after="0" w:line="240" w:lineRule="auto"/>
        <w:ind w:left="-57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b) posiadaniu co najmniej 10% udziałów lub akcji;</w:t>
      </w:r>
    </w:p>
    <w:p w:rsidR="00000000" w:rsidDel="00000000" w:rsidP="00000000" w:rsidRDefault="00000000" w:rsidRPr="00000000" w14:paraId="00000061">
      <w:pPr>
        <w:spacing w:after="0" w:line="240" w:lineRule="auto"/>
        <w:ind w:left="-57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c) pełnieniu funkcji członka organu nadzorczego lub zarządzającego, prokurenta, pełnomocnika;</w:t>
      </w:r>
    </w:p>
    <w:p w:rsidR="00000000" w:rsidDel="00000000" w:rsidP="00000000" w:rsidRDefault="00000000" w:rsidRPr="00000000" w14:paraId="00000062">
      <w:pPr>
        <w:spacing w:after="0" w:line="240" w:lineRule="auto"/>
        <w:ind w:left="-57" w:right="-57" w:firstLine="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000000" w:rsidDel="00000000" w:rsidP="00000000" w:rsidRDefault="00000000" w:rsidRPr="00000000" w14:paraId="00000063">
      <w:pPr>
        <w:spacing w:after="0"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VI.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Wykaz oświadczeń lub dokumentów, potwierdzających: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76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Oświadczenie dotyczące braku powiązań osobowych i kapitałowych z Zamawiającym.</w:t>
      </w:r>
    </w:p>
    <w:p w:rsidR="00000000" w:rsidDel="00000000" w:rsidP="00000000" w:rsidRDefault="00000000" w:rsidRPr="00000000" w14:paraId="00000066">
      <w:pPr>
        <w:spacing w:after="0" w:line="276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VII.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Informacja o sposobie porozumiewania się Zamawiającego z Wykonawcami oraz przekazywania oświadczeń i dokumentów, a także wskazanie osób uprawnionych do porozumiewania się z wykonawcami</w:t>
      </w:r>
    </w:p>
    <w:p w:rsidR="00000000" w:rsidDel="00000000" w:rsidP="00000000" w:rsidRDefault="00000000" w:rsidRPr="00000000" w14:paraId="00000068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1. Oświadczenia, wnioski, zawiadomienia oraz informacje Zamawiający i Wykonawcy przekazują e-mailem. </w:t>
      </w:r>
    </w:p>
    <w:p w:rsidR="00000000" w:rsidDel="00000000" w:rsidP="00000000" w:rsidRDefault="00000000" w:rsidRPr="00000000" w14:paraId="00000069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2. Zamawiający nie przewiduje zorganizowania zebrania z Wykonawcami.</w:t>
      </w:r>
    </w:p>
    <w:p w:rsidR="00000000" w:rsidDel="00000000" w:rsidP="00000000" w:rsidRDefault="00000000" w:rsidRPr="00000000" w14:paraId="0000006A">
      <w:pPr>
        <w:spacing w:after="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3. Wskazanie osób uprawnionych do porozumiewania się z Wykonawcami jest: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Krzysztof Gruszczyk.</w:t>
      </w:r>
    </w:p>
    <w:p w:rsidR="00000000" w:rsidDel="00000000" w:rsidP="00000000" w:rsidRDefault="00000000" w:rsidRPr="00000000" w14:paraId="0000006B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VIII.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Zamawiający nie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wymaga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wniesienia wadium </w:t>
      </w:r>
    </w:p>
    <w:p w:rsidR="00000000" w:rsidDel="00000000" w:rsidP="00000000" w:rsidRDefault="00000000" w:rsidRPr="00000000" w14:paraId="0000006D">
      <w:pPr>
        <w:spacing w:after="0" w:line="276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IX.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Termin związania ofertą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Składający ofertę jest nią związany przez okres 30 dni od terminu składania ofert.</w:t>
      </w:r>
    </w:p>
    <w:p w:rsidR="00000000" w:rsidDel="00000000" w:rsidP="00000000" w:rsidRDefault="00000000" w:rsidRPr="00000000" w14:paraId="00000070">
      <w:pPr>
        <w:spacing w:after="0" w:line="276" w:lineRule="auto"/>
        <w:jc w:val="both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X. Opis sposobu przygotowania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Wykonawca składa ofertę z wykorzystaniem wzoru stanowiącego załącznik do SIWZ [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formularz ofertowy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] lub własnej oferty spełniającej wymagania stawiane w zapytaniu.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Wykonawca składa wraz z ofertą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oświadczenia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o których mowa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rozdz. VI SIWZ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</w:tabs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 ustanowienia pełnomocnika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pełnomocnictwo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reprezentowania Wykonawcy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Uwagi dotyczące przygotowania oferty oraz wymaganych oświadczeń i dokumentów.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tabs>
          <w:tab w:val="left" w:pos="360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Oferta musi być sporządzona w języku polskim lub języku angielskim, na komputerze, maszynie do pisania lub ręcznie długopisem bądź niezmywalnym atramentem, pismem czytelnym. </w:t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tabs>
          <w:tab w:val="left" w:pos="360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Koszty związane z przygotowaniem oferty ponosi Wykonawca składający ofertę.</w:t>
      </w:r>
    </w:p>
    <w:p w:rsidR="00000000" w:rsidDel="00000000" w:rsidP="00000000" w:rsidRDefault="00000000" w:rsidRPr="00000000" w14:paraId="00000078">
      <w:pPr>
        <w:numPr>
          <w:ilvl w:val="0"/>
          <w:numId w:val="13"/>
        </w:numPr>
        <w:tabs>
          <w:tab w:val="left" w:pos="360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Wykonawca może złożyć w prowadzonym postępowaniu wyłącznie jedną ofertę.</w:t>
      </w:r>
    </w:p>
    <w:p w:rsidR="00000000" w:rsidDel="00000000" w:rsidP="00000000" w:rsidRDefault="00000000" w:rsidRPr="00000000" w14:paraId="00000079">
      <w:pPr>
        <w:numPr>
          <w:ilvl w:val="0"/>
          <w:numId w:val="13"/>
        </w:numPr>
        <w:tabs>
          <w:tab w:val="left" w:pos="360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Oferta oraz wszystkie załączniki wymagają podpisu osób uprawnionych do reprezentowania wykonawcy w obrocie gospodarczym, zgodnie z aktem rejestracyjnym, wymaganiami ustawowymi oraz przepisami prawa. </w:t>
      </w:r>
    </w:p>
    <w:p w:rsidR="00000000" w:rsidDel="00000000" w:rsidP="00000000" w:rsidRDefault="00000000" w:rsidRPr="00000000" w14:paraId="0000007A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XI. Miejsce oraz termin składania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Oferta powinna być dostarczona w formie elektronicznej (skanu wypełnionego i podpisanego formularza ofertowego lub własnej oferty spełniającej wymagania stawiane w zapytaniu), wysłana na adres: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projekt@naturaexpert.</w:t>
        </w:r>
      </w:hyperlink>
      <w:r w:rsidDel="00000000" w:rsidR="00000000" w:rsidRPr="00000000">
        <w:rPr>
          <w:rFonts w:ascii="Calibri" w:cs="Calibri" w:eastAsia="Calibri" w:hAnsi="Calibri"/>
          <w:color w:val="0000ff"/>
          <w:sz w:val="18"/>
          <w:szCs w:val="18"/>
          <w:u w:val="single"/>
          <w:rtl w:val="0"/>
        </w:rPr>
        <w:t xml:space="preserve">com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 terminie do dnia </w:t>
      </w:r>
      <w:r w:rsidDel="00000000" w:rsidR="00000000" w:rsidRPr="00000000">
        <w:rPr>
          <w:b w:val="1"/>
          <w:sz w:val="18"/>
          <w:szCs w:val="18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-10-2022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 lub pisemnie  z datą wpływu oferty najpóźniej w dniu </w:t>
      </w:r>
      <w:r w:rsidDel="00000000" w:rsidR="00000000" w:rsidRPr="00000000">
        <w:rPr>
          <w:sz w:val="18"/>
          <w:szCs w:val="18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-10-2022 roku, na adres KGNE, 21-110 Ostrów Lubelski, ul. Zachodnia 8.</w:t>
      </w:r>
    </w:p>
    <w:p w:rsidR="00000000" w:rsidDel="00000000" w:rsidP="00000000" w:rsidRDefault="00000000" w:rsidRPr="00000000" w14:paraId="0000007D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Oferta może zostać złożona w języku polskim, angielskim. </w:t>
      </w:r>
    </w:p>
    <w:p w:rsidR="00000000" w:rsidDel="00000000" w:rsidP="00000000" w:rsidRDefault="00000000" w:rsidRPr="00000000" w14:paraId="0000007E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XII.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Opis sposobu obliczenia ceny oferty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Cena oferty to cena netto.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Podatek VAT zostanie ustalony zgodnie z obowiązującymi przepisami w tym zakresie.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Wszelkie rozliczenia między Zamawiającym i Wykonawcą mogą być prowadzone w PLN lub EUR, USD</w:t>
      </w:r>
    </w:p>
    <w:p w:rsidR="00000000" w:rsidDel="00000000" w:rsidP="00000000" w:rsidRDefault="00000000" w:rsidRPr="00000000" w14:paraId="00000082">
      <w:pPr>
        <w:spacing w:after="0" w:line="276" w:lineRule="auto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XIII.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Opis kryteriów, którymi Zamawiający będzie się kierował przy wyborze oferty wraz z podaniem znaczenia tych kryteriów oraz sposobu oceny ofert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.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Wybrana zostanie oferta, która uzyska największą liczbę punktów. Wybór oferty dokonany zostanie na podstawie kryteriów oceny ofert z ustaloną punktacją do 100 pkt. (100%=</w:t>
      </w:r>
      <w:r w:rsidDel="00000000" w:rsidR="00000000" w:rsidRPr="00000000">
        <w:rPr>
          <w:sz w:val="18"/>
          <w:szCs w:val="18"/>
          <w:rtl w:val="0"/>
        </w:rPr>
        <w:t xml:space="preserve">100 pkt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): 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Kryteria oceny ofert : Waga (%)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Cena netto oferty za ofertę zgodną z wymaganiami Zamawiającego:  80 %</w:t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Okres gwarancji:  </w:t>
      </w:r>
      <w:r w:rsidDel="00000000" w:rsidR="00000000" w:rsidRPr="00000000">
        <w:rPr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A. Cena oferty - 80 %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Punktacja: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Liczba punktów = (najniższa cena : cena badanej oferty) x 80 pkt.</w:t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 tym kryterium Wykonawca może otrzymać maksymalnie 80 pkt.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B. Okres gwarancji – 20%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Wartość punktowa (G) w kryterium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wyliczany będzie wg wzoru: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 = Gmin/Gn * 20</w:t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gdzie:</w:t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Gmin –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(w miesiącach) – najkrótszy wśród ocenianych ofert.</w:t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Gn –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(w miesiącach)  – ocenianej oferty;</w:t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Maksymalna ilość punktów, jaką może otrzymać oferta Wykonawcy w kryterium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wynosi 20 pkt.</w:t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(w miesiącach), określony w Formularzu ofertowym, wykonawca podaje w miesiącach.</w:t>
      </w:r>
    </w:p>
    <w:p w:rsidR="00000000" w:rsidDel="00000000" w:rsidP="00000000" w:rsidRDefault="00000000" w:rsidRPr="00000000" w14:paraId="00000094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Minimalny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Okres gwarancji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(w miesiącach)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wynosi 12 miesięcy.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Jeżeli wykonawca wskaże okres gwarancji krótszy niż 12 miesięcy, oferta zostanie odrzucona jako niezgodna z treścią Zapytania ofertowego.</w:t>
      </w:r>
    </w:p>
    <w:p w:rsidR="00000000" w:rsidDel="00000000" w:rsidP="00000000" w:rsidRDefault="00000000" w:rsidRPr="00000000" w14:paraId="00000096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Jeżeli Wykonawca nie wskaże żadnego Okres gwarancji (w miesiącach), oferta zostanie odrzucona jako niezgodna z treścią Zapytania ofertowego.</w:t>
      </w:r>
    </w:p>
    <w:p w:rsidR="00000000" w:rsidDel="00000000" w:rsidP="00000000" w:rsidRDefault="00000000" w:rsidRPr="00000000" w14:paraId="00000097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Do oceny punktowej za maksymalny okres gwarancji zamawiający przyjmuje 24 miesiące, jeżeli wykonawca wskaże okres gwarancji dłuższy niż 24 miesiące, oferta zostanie uznana i zaliczona z okresem maksymalnym przyjętym przez zamawiającego.</w:t>
      </w:r>
    </w:p>
    <w:p w:rsidR="00000000" w:rsidDel="00000000" w:rsidP="00000000" w:rsidRDefault="00000000" w:rsidRPr="00000000" w14:paraId="00000098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XIV.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Informacja o formalnościach, jakie powinny zostać dopełnione po wyborze oferty w celu zawarcia umowy w sprawie zamówienia publicznego</w:t>
      </w:r>
    </w:p>
    <w:p w:rsidR="00000000" w:rsidDel="00000000" w:rsidP="00000000" w:rsidRDefault="00000000" w:rsidRPr="00000000" w14:paraId="0000009A">
      <w:pPr>
        <w:numPr>
          <w:ilvl w:val="0"/>
          <w:numId w:val="6"/>
        </w:numPr>
        <w:tabs>
          <w:tab w:val="left" w:pos="360"/>
          <w:tab w:val="right" w:pos="9072"/>
        </w:tabs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 wyborze najkorzystniejszej oferty Zamawiający poinformuje w sposób jaki zostało upublicznione zapytanie ofertowe. 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tabs>
          <w:tab w:val="left" w:pos="360"/>
          <w:tab w:val="right" w:pos="9072"/>
        </w:tabs>
        <w:spacing w:after="0" w:line="276" w:lineRule="auto"/>
        <w:ind w:left="36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Jeżeli oferta wykonawców ubiegających się wspólnie o udzielenie zamówienia zostanie wybrana, zamawiający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przed zawarciem umowy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wymaga przedłożenia umowy regulującej współpracę tych wykonawców. </w:t>
      </w:r>
    </w:p>
    <w:p w:rsidR="00000000" w:rsidDel="00000000" w:rsidP="00000000" w:rsidRDefault="00000000" w:rsidRPr="00000000" w14:paraId="0000009C">
      <w:pPr>
        <w:numPr>
          <w:ilvl w:val="0"/>
          <w:numId w:val="6"/>
        </w:numPr>
        <w:tabs>
          <w:tab w:val="left" w:pos="360"/>
          <w:tab w:val="right" w:pos="9072"/>
        </w:tabs>
        <w:spacing w:after="0" w:line="276" w:lineRule="auto"/>
        <w:ind w:left="360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Wymagane jest podpisanie umowy po wyborze oferty Wykonawcy z Zamawiającym.</w:t>
      </w:r>
    </w:p>
    <w:p w:rsidR="00000000" w:rsidDel="00000000" w:rsidP="00000000" w:rsidRDefault="00000000" w:rsidRPr="00000000" w14:paraId="0000009D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6" w:lineRule="auto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XV.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Istotne dla stron postanowienia, które zostaną wprowadzone do treści zawieranej umowy w sprawie zamówienia publicznego</w:t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Umowa zawarta zostanie z uwzględnieniem postanowień wynikających z treści SIWZ oraz danych zawartych w ofercie.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4"/>
        </w:numPr>
        <w:spacing w:after="0" w:line="276" w:lineRule="auto"/>
        <w:ind w:left="36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Zamawiający dopuszcza zmianę istotnych postanowień umowy w stosunku do treści oferty Wykonawcy: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zakresie sposobu spełnienia świadczenia, w szczególności ze względu na:</w:t>
      </w:r>
    </w:p>
    <w:p w:rsidR="00000000" w:rsidDel="00000000" w:rsidP="00000000" w:rsidRDefault="00000000" w:rsidRPr="00000000" w14:paraId="000000A2">
      <w:pPr>
        <w:numPr>
          <w:ilvl w:val="0"/>
          <w:numId w:val="5"/>
        </w:numPr>
        <w:spacing w:after="0" w:line="276" w:lineRule="auto"/>
        <w:ind w:left="643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niedostępność na rynku urządzeń wskazanych w Zapytaniu ofertowym, spowodowaną zaprzestaniem produkcji lub wycofaniem z rynku tych materiałów lub urządzeń;</w:t>
      </w:r>
    </w:p>
    <w:p w:rsidR="00000000" w:rsidDel="00000000" w:rsidP="00000000" w:rsidRDefault="00000000" w:rsidRPr="00000000" w14:paraId="000000A3">
      <w:pPr>
        <w:numPr>
          <w:ilvl w:val="0"/>
          <w:numId w:val="5"/>
        </w:numPr>
        <w:spacing w:after="0" w:line="276" w:lineRule="auto"/>
        <w:ind w:left="643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pojawienie się na rynku części, materiałów lub urządzeń nowszej generacji, pozwalających na zaoszczędzenie kosztów realizacji przedmiotu zamówienia lub kosztów eksploatacji wykonanego przedmiotu zamówienia;</w:t>
      </w:r>
    </w:p>
    <w:p w:rsidR="00000000" w:rsidDel="00000000" w:rsidP="00000000" w:rsidRDefault="00000000" w:rsidRPr="00000000" w14:paraId="000000A4">
      <w:pPr>
        <w:numPr>
          <w:ilvl w:val="0"/>
          <w:numId w:val="5"/>
        </w:numPr>
        <w:spacing w:after="0" w:line="276" w:lineRule="auto"/>
        <w:ind w:left="643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pojawienie się nowszej technologii wykonania przedmiotu zamówienia, pozwalającej na zaoszczędzenie czasu realizacji zamówienia lub jego kosztów, jak również kosztów eksploatacji wykonanego przedmiotu zamówienia;</w:t>
      </w:r>
    </w:p>
    <w:p w:rsidR="00000000" w:rsidDel="00000000" w:rsidP="00000000" w:rsidRDefault="00000000" w:rsidRPr="00000000" w14:paraId="000000A5">
      <w:pPr>
        <w:numPr>
          <w:ilvl w:val="0"/>
          <w:numId w:val="5"/>
        </w:numPr>
        <w:spacing w:after="0" w:line="276" w:lineRule="auto"/>
        <w:ind w:left="643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konieczność zrealizowania zamówienia przy zastosowaniu innych rozwiązań technicznych lub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materiałowych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 ze względu na zmiany obowiązującego prawa;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pod warunkiem, iż zmiana ta nie spowoduje podwyższenia wynagrodzenia;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zakresie terminu w przypadku: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gdy będzie to konieczne ze względu na zapewnienie bezpieczeństwa lub zapobieżenie awarii;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gdy będzie to konieczne ze względu na zmianę przepisów prawa związanych z przedmiotem zamówienia;</w:t>
      </w:r>
    </w:p>
    <w:p w:rsidR="00000000" w:rsidDel="00000000" w:rsidP="00000000" w:rsidRDefault="00000000" w:rsidRPr="00000000" w14:paraId="000000A9">
      <w:pPr>
        <w:spacing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3) w zakresie przedmiotu zamówienia w przypadku: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gdy będzie to konieczne ze względu na zapewnienie bezpieczeństwa lub zapobieżenie awarii;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gdy będzie to konieczne ze względu na zmianę przepisów prawa związanych z przedmiotem zamówienia; pod warunkiem, iż zmiana ta nie spowoduje podwyższenia wynagrodzenia;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Ponadto Zamawiający przewiduje możliwość zmiany postanowień Umowy, w przypadku wystąpienia okoliczności </w:t>
      </w:r>
      <w:r w:rsidDel="00000000" w:rsidR="00000000" w:rsidRPr="00000000">
        <w:rPr>
          <w:sz w:val="18"/>
          <w:szCs w:val="18"/>
          <w:rtl w:val="0"/>
        </w:rPr>
        <w:t xml:space="preserve">niewynikających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z winy Wykonawcy ani Zamawiającego, których mimo zachowania należytej staranności nie można było przewidzieć przed wszczęciem postępowania o udzielenie zamówienia publicznego oraz podczas jego realizacji, skutkujących tym, że zrealizowanie założonego pierwotnie celu Umowy byłoby niemożliwe bez wprowadzenia tych zmian lub zmiany te są korzystne dla Zamawiającego.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Zmiana postanowień zawartej Umowy może nastąpić wyłącznie, za zgodą obu Stron wyrażoną na piśmie w formie Aneksu do Umowy, pod rygorem nieważności takiej zmiany.</w:t>
      </w:r>
    </w:p>
    <w:p w:rsidR="00000000" w:rsidDel="00000000" w:rsidP="00000000" w:rsidRDefault="00000000" w:rsidRPr="00000000" w14:paraId="000000AE">
      <w:pPr>
        <w:spacing w:after="0" w:line="276" w:lineRule="auto"/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XVI.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Informacje dotyczące walut obcych, w jakich mogą być prowadzone rozliczenia między zamawiającym, a wykonawcą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Zamawiający  dopuszcza rozliczenia w walutach obcych. </w:t>
      </w:r>
    </w:p>
    <w:p w:rsidR="00000000" w:rsidDel="00000000" w:rsidP="00000000" w:rsidRDefault="00000000" w:rsidRPr="00000000" w14:paraId="000000B1">
      <w:pPr>
        <w:spacing w:after="0" w:line="276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Rozliczenia mogą być prowadzone</w:t>
      </w:r>
      <w:r w:rsidDel="00000000" w:rsidR="00000000" w:rsidRPr="00000000">
        <w:rPr>
          <w:sz w:val="18"/>
          <w:szCs w:val="18"/>
          <w:rtl w:val="0"/>
        </w:rPr>
        <w:t xml:space="preserve"> w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walucie polskiej PLN, </w:t>
      </w:r>
      <w:r w:rsidDel="00000000" w:rsidR="00000000" w:rsidRPr="00000000">
        <w:rPr>
          <w:sz w:val="18"/>
          <w:szCs w:val="18"/>
          <w:rtl w:val="0"/>
        </w:rPr>
        <w:t xml:space="preserve">EUR i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XVIII.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 Koszty udziału w postępowaniu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76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Zamawiający nie przewiduje zwrotu kosztów udziału w postępowaniu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76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0" w:right="2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Zatwierdził:  Krzysztof Gruszczyk</w:t>
      </w:r>
    </w:p>
    <w:p w:rsidR="00000000" w:rsidDel="00000000" w:rsidP="00000000" w:rsidRDefault="00000000" w:rsidRPr="00000000" w14:paraId="000000B7">
      <w:pPr>
        <w:spacing w:after="0" w:line="276" w:lineRule="auto"/>
        <w:jc w:val="center"/>
        <w:rPr>
          <w:rFonts w:ascii="Calibri" w:cs="Calibri" w:eastAsia="Calibri" w:hAnsi="Calibri"/>
          <w:b w:val="1"/>
          <w:i w:val="1"/>
          <w:color w:val="1f4e79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Lublin, dnia </w:t>
      </w:r>
      <w:r w:rsidDel="00000000" w:rsidR="00000000" w:rsidRPr="00000000">
        <w:rPr>
          <w:sz w:val="20"/>
          <w:szCs w:val="20"/>
          <w:rtl w:val="0"/>
        </w:rPr>
        <w:t xml:space="preserve">20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-0</w:t>
      </w:r>
      <w:r w:rsidDel="00000000" w:rsidR="00000000" w:rsidRPr="00000000">
        <w:rPr>
          <w:sz w:val="20"/>
          <w:szCs w:val="20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-2022 r.</w:t>
      </w:r>
    </w:p>
    <w:p w:rsidR="00000000" w:rsidDel="00000000" w:rsidP="00000000" w:rsidRDefault="00000000" w:rsidRPr="00000000" w14:paraId="000000B9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76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Załączniki:</w:t>
      </w:r>
    </w:p>
    <w:p w:rsidR="00000000" w:rsidDel="00000000" w:rsidP="00000000" w:rsidRDefault="00000000" w:rsidRPr="00000000" w14:paraId="000000BB">
      <w:pPr>
        <w:spacing w:line="276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Formularz ofertowy</w:t>
      </w:r>
    </w:p>
    <w:p w:rsidR="00000000" w:rsidDel="00000000" w:rsidP="00000000" w:rsidRDefault="00000000" w:rsidRPr="00000000" w14:paraId="000000BC">
      <w:pPr>
        <w:spacing w:line="276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Oświadczenie wykonawcy o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braku</w:t>
      </w:r>
      <w:r w:rsidDel="00000000" w:rsidR="00000000" w:rsidRPr="00000000">
        <w:rPr>
          <w:rFonts w:ascii="Calibri" w:cs="Calibri" w:eastAsia="Calibri" w:hAnsi="Calibri"/>
          <w:sz w:val="20"/>
          <w:szCs w:val="20"/>
          <w:u w:val="single"/>
          <w:rtl w:val="0"/>
        </w:rPr>
        <w:t xml:space="preserve"> powiązań</w:t>
      </w:r>
    </w:p>
    <w:p w:rsidR="00000000" w:rsidDel="00000000" w:rsidP="00000000" w:rsidRDefault="00000000" w:rsidRPr="00000000" w14:paraId="000000BD">
      <w:pPr>
        <w:spacing w:line="276" w:lineRule="auto"/>
        <w:rPr>
          <w:rFonts w:ascii="Calibri" w:cs="Calibri" w:eastAsia="Calibri" w:hAnsi="Calibri"/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972810" cy="68008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2810" cy="6800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643" w:hanging="360"/>
      </w:pPr>
      <w:rPr/>
    </w:lvl>
    <w:lvl w:ilvl="1">
      <w:start w:val="1"/>
      <w:numFmt w:val="lowerLetter"/>
      <w:lvlText w:val="%2."/>
      <w:lvlJc w:val="left"/>
      <w:pPr>
        <w:ind w:left="1363" w:hanging="359.9999999999998"/>
      </w:pPr>
      <w:rPr/>
    </w:lvl>
    <w:lvl w:ilvl="2">
      <w:start w:val="1"/>
      <w:numFmt w:val="lowerRoman"/>
      <w:lvlText w:val="%3."/>
      <w:lvlJc w:val="right"/>
      <w:pPr>
        <w:ind w:left="2083" w:hanging="180"/>
      </w:pPr>
      <w:rPr/>
    </w:lvl>
    <w:lvl w:ilvl="3">
      <w:start w:val="1"/>
      <w:numFmt w:val="decimal"/>
      <w:lvlText w:val="%4."/>
      <w:lvlJc w:val="left"/>
      <w:pPr>
        <w:ind w:left="2803" w:hanging="360"/>
      </w:pPr>
      <w:rPr/>
    </w:lvl>
    <w:lvl w:ilvl="4">
      <w:start w:val="1"/>
      <w:numFmt w:val="lowerLetter"/>
      <w:lvlText w:val="%5."/>
      <w:lvlJc w:val="left"/>
      <w:pPr>
        <w:ind w:left="3523" w:hanging="360"/>
      </w:pPr>
      <w:rPr/>
    </w:lvl>
    <w:lvl w:ilvl="5">
      <w:start w:val="1"/>
      <w:numFmt w:val="lowerRoman"/>
      <w:lvlText w:val="%6."/>
      <w:lvlJc w:val="right"/>
      <w:pPr>
        <w:ind w:left="4243" w:hanging="180"/>
      </w:pPr>
      <w:rPr/>
    </w:lvl>
    <w:lvl w:ilvl="6">
      <w:start w:val="1"/>
      <w:numFmt w:val="decimal"/>
      <w:lvlText w:val="%7."/>
      <w:lvlJc w:val="left"/>
      <w:pPr>
        <w:ind w:left="4963" w:hanging="360"/>
      </w:pPr>
      <w:rPr/>
    </w:lvl>
    <w:lvl w:ilvl="7">
      <w:start w:val="1"/>
      <w:numFmt w:val="lowerLetter"/>
      <w:lvlText w:val="%8."/>
      <w:lvlJc w:val="left"/>
      <w:pPr>
        <w:ind w:left="5683" w:hanging="360"/>
      </w:pPr>
      <w:rPr/>
    </w:lvl>
    <w:lvl w:ilvl="8">
      <w:start w:val="1"/>
      <w:numFmt w:val="lowerRoman"/>
      <w:lvlText w:val="%9."/>
      <w:lvlJc w:val="right"/>
      <w:pPr>
        <w:ind w:left="6403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upperRoman"/>
      <w:lvlText w:val="%2."/>
      <w:lvlJc w:val="right"/>
      <w:pPr>
        <w:ind w:left="720" w:hanging="360"/>
      </w:pPr>
      <w:rPr/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.9999999999998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5.9999999999995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106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6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63139"/>
    <w:pPr>
      <w:suppressAutoHyphens w:val="1"/>
      <w:spacing w:line="256" w:lineRule="auto"/>
    </w:pPr>
    <w:rPr>
      <w:rFonts w:ascii="Calibri" w:cs="Times New Roman" w:eastAsia="Calibri" w:hAnsi="Calibri"/>
      <w:lang w:eastAsia="zh-C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Lista">
    <w:name w:val="List"/>
    <w:basedOn w:val="Normalny"/>
    <w:rsid w:val="00B6313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B6313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nhideWhenUsed w:val="1"/>
    <w:rsid w:val="00B6313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styleId="NagwekZnak" w:customStyle="1">
    <w:name w:val="Nagłówek Znak"/>
    <w:basedOn w:val="Domylnaczcionkaakapitu"/>
    <w:link w:val="Nagwek"/>
    <w:rsid w:val="00B63139"/>
    <w:rPr>
      <w:rFonts w:ascii="Calibri" w:cs="Times New Roman" w:eastAsia="Calibri" w:hAnsi="Calibri"/>
      <w:sz w:val="20"/>
      <w:szCs w:val="20"/>
      <w:lang w:eastAsia="zh-CN" w:val="x-none"/>
    </w:rPr>
  </w:style>
  <w:style w:type="character" w:styleId="Teksttreci" w:customStyle="1">
    <w:name w:val="Tekst treści_"/>
    <w:link w:val="Teksttreci0"/>
    <w:locked w:val="1"/>
    <w:rsid w:val="00B63139"/>
    <w:rPr>
      <w:rFonts w:ascii="Arial" w:cs="Arial" w:hAnsi="Arial"/>
      <w:shd w:color="auto" w:fill="ffffff" w:val="clear"/>
    </w:rPr>
  </w:style>
  <w:style w:type="paragraph" w:styleId="Teksttreci0" w:customStyle="1">
    <w:name w:val="Tekst treści"/>
    <w:basedOn w:val="Normalny"/>
    <w:link w:val="Teksttreci"/>
    <w:rsid w:val="00B63139"/>
    <w:pPr>
      <w:shd w:color="auto" w:fill="ffffff" w:val="clear"/>
      <w:suppressAutoHyphens w:val="0"/>
      <w:spacing w:after="0" w:before="540" w:line="250" w:lineRule="exact"/>
      <w:ind w:hanging="400"/>
      <w:jc w:val="both"/>
    </w:pPr>
    <w:rPr>
      <w:rFonts w:ascii="Arial" w:cs="Arial" w:hAnsi="Arial" w:eastAsiaTheme="minorHAnsi"/>
      <w:lang w:eastAsia="en-US"/>
    </w:rPr>
  </w:style>
  <w:style w:type="character" w:styleId="js-text-content" w:customStyle="1">
    <w:name w:val="js-text-content"/>
    <w:rsid w:val="00B63139"/>
  </w:style>
  <w:style w:type="character" w:styleId="Hipercze">
    <w:name w:val="Hyperlink"/>
    <w:unhideWhenUsed w:val="1"/>
    <w:rsid w:val="00B63139"/>
    <w:rPr>
      <w:color w:val="0000ff"/>
      <w:u w:val="single"/>
    </w:rPr>
  </w:style>
  <w:style w:type="paragraph" w:styleId="NormalnyWeb">
    <w:name w:val="Normal (Web)"/>
    <w:basedOn w:val="Normalny"/>
    <w:uiPriority w:val="99"/>
    <w:unhideWhenUsed w:val="1"/>
    <w:rsid w:val="00FA0401"/>
    <w:pPr>
      <w:suppressAutoHyphens w:val="0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rojekt@naturaexpert.com" TargetMode="External"/><Relationship Id="rId8" Type="http://schemas.openxmlformats.org/officeDocument/2006/relationships/hyperlink" Target="about:bla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1dGobKvgVZhbqRiDemgP1lsxtA==">AMUW2mV7HujH1KGuTJKE1gl1kLij2ftBflBC9VpyDesDdHzb8EVK1jiMqSN/tTJrDp/f82n+tynVcQlkocVau5mpip7d7WlE9oU32bZd2Yz7cJbNdisWO3k=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2022-09-11T17:20:00Z</dcterms:created>
  <dc:creator>Krzysztof Gruszczyk</dc:creator>
</cp:coreProperties>
</file>