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9D12" w14:textId="77777777" w:rsidR="0023135F" w:rsidRPr="00C838F9" w:rsidRDefault="0023135F" w:rsidP="00603B96">
      <w:pPr>
        <w:spacing w:after="0" w:line="240" w:lineRule="auto"/>
        <w:jc w:val="both"/>
      </w:pPr>
    </w:p>
    <w:p w14:paraId="6682CED9" w14:textId="05E67BA1" w:rsidR="0023135F" w:rsidRPr="002939F8" w:rsidRDefault="003408DA" w:rsidP="00E0242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21.09</w:t>
      </w:r>
      <w:r w:rsidR="00C24888">
        <w:rPr>
          <w:b/>
          <w:bCs/>
        </w:rPr>
        <w:t>.2022</w:t>
      </w:r>
      <w:r w:rsidR="00AC4956" w:rsidRPr="002939F8">
        <w:rPr>
          <w:b/>
          <w:bCs/>
        </w:rPr>
        <w:t xml:space="preserve"> r.</w:t>
      </w:r>
    </w:p>
    <w:p w14:paraId="434639FE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82B92F9" w14:textId="77777777" w:rsidR="00971094" w:rsidRPr="002939F8" w:rsidRDefault="00971094" w:rsidP="00BB6BCB">
      <w:pPr>
        <w:spacing w:after="0" w:line="240" w:lineRule="auto"/>
        <w:jc w:val="center"/>
        <w:rPr>
          <w:rStyle w:val="Hyperlink1"/>
        </w:rPr>
      </w:pPr>
    </w:p>
    <w:p w14:paraId="3AB24229" w14:textId="763EA44E" w:rsidR="00AA5CFD" w:rsidRPr="002939F8" w:rsidRDefault="000937D2" w:rsidP="00BB6BCB">
      <w:pPr>
        <w:spacing w:after="0" w:line="240" w:lineRule="auto"/>
        <w:jc w:val="center"/>
        <w:rPr>
          <w:rStyle w:val="Hyperlink1"/>
        </w:rPr>
      </w:pPr>
      <w:r w:rsidRPr="002939F8">
        <w:rPr>
          <w:rStyle w:val="Hyperlink1"/>
        </w:rPr>
        <w:t xml:space="preserve">Zapytanie ofertowe </w:t>
      </w:r>
      <w:r w:rsidR="00AA5CFD" w:rsidRPr="002939F8">
        <w:rPr>
          <w:rStyle w:val="Hyperlink1"/>
        </w:rPr>
        <w:t xml:space="preserve">nr </w:t>
      </w:r>
      <w:bookmarkStart w:id="0" w:name="_Hlk7189740"/>
      <w:r w:rsidR="00BB202C" w:rsidRPr="002939F8">
        <w:rPr>
          <w:rStyle w:val="Hyperlink1"/>
        </w:rPr>
        <w:t>Z204_</w:t>
      </w:r>
      <w:r w:rsidR="00CB363C">
        <w:rPr>
          <w:rStyle w:val="Hyperlink1"/>
        </w:rPr>
        <w:t>0</w:t>
      </w:r>
      <w:r w:rsidR="000C130E">
        <w:rPr>
          <w:rStyle w:val="Hyperlink1"/>
        </w:rPr>
        <w:t>1</w:t>
      </w:r>
      <w:r w:rsidR="003D3D3D" w:rsidRPr="002939F8">
        <w:rPr>
          <w:rStyle w:val="Hyperlink1"/>
        </w:rPr>
        <w:t>/</w:t>
      </w:r>
      <w:r w:rsidR="003408DA">
        <w:rPr>
          <w:rStyle w:val="Hyperlink1"/>
        </w:rPr>
        <w:t>09</w:t>
      </w:r>
      <w:r w:rsidR="00C24888">
        <w:rPr>
          <w:rStyle w:val="Hyperlink1"/>
        </w:rPr>
        <w:t>/2022</w:t>
      </w:r>
      <w:r w:rsidR="003D3D3D" w:rsidRPr="002939F8">
        <w:rPr>
          <w:rStyle w:val="Hyperlink1"/>
        </w:rPr>
        <w:t>/</w:t>
      </w:r>
      <w:r w:rsidR="000C130E">
        <w:rPr>
          <w:rStyle w:val="Hyperlink1"/>
        </w:rPr>
        <w:t>75</w:t>
      </w:r>
      <w:r w:rsidR="00516946" w:rsidRPr="002939F8">
        <w:rPr>
          <w:rStyle w:val="Hyperlink1"/>
        </w:rPr>
        <w:t>/KWC</w:t>
      </w:r>
      <w:r w:rsidR="003D3D3D" w:rsidRPr="002939F8">
        <w:rPr>
          <w:rStyle w:val="Hyperlink1"/>
        </w:rPr>
        <w:t>/Z</w:t>
      </w:r>
      <w:bookmarkEnd w:id="0"/>
    </w:p>
    <w:p w14:paraId="63A0E15B" w14:textId="77777777" w:rsidR="00AA5CFD" w:rsidRPr="002939F8" w:rsidRDefault="00AA5CFD" w:rsidP="00603B96">
      <w:pPr>
        <w:spacing w:after="0" w:line="240" w:lineRule="auto"/>
        <w:jc w:val="both"/>
        <w:rPr>
          <w:rStyle w:val="Hyperlink1"/>
        </w:rPr>
      </w:pPr>
    </w:p>
    <w:p w14:paraId="2DF23E52" w14:textId="77777777" w:rsidR="00AA5CFD" w:rsidRPr="002939F8" w:rsidRDefault="00AA5CFD" w:rsidP="0068433F">
      <w:pPr>
        <w:spacing w:after="0" w:line="240" w:lineRule="auto"/>
        <w:jc w:val="center"/>
        <w:rPr>
          <w:rStyle w:val="Hyperlink1"/>
        </w:rPr>
      </w:pPr>
    </w:p>
    <w:p w14:paraId="414D9699" w14:textId="77777777" w:rsidR="0023135F" w:rsidRPr="002939F8" w:rsidRDefault="00621B40" w:rsidP="00603B96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Zamawiający</w:t>
      </w:r>
    </w:p>
    <w:p w14:paraId="58973802" w14:textId="77777777" w:rsidR="0023135F" w:rsidRPr="002939F8" w:rsidRDefault="0023135F" w:rsidP="00603B96">
      <w:pPr>
        <w:spacing w:after="0" w:line="240" w:lineRule="auto"/>
        <w:ind w:left="567"/>
        <w:jc w:val="both"/>
        <w:rPr>
          <w:b/>
          <w:bCs/>
        </w:rPr>
      </w:pPr>
    </w:p>
    <w:p w14:paraId="3C4C890E" w14:textId="6957D12B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rPr>
          <w:rStyle w:val="Hyperlink1"/>
        </w:rPr>
        <w:t xml:space="preserve">Wyższa Szkoła Bankowa we Wrocławiu, </w:t>
      </w:r>
      <w:r w:rsidRPr="002939F8">
        <w:t xml:space="preserve">ul. Fabryczna 29-31; 53-609 Wrocław, wpisana do </w:t>
      </w:r>
      <w:r w:rsidR="00CB7D9F" w:rsidRPr="002939F8">
        <w:t>Ewidencji Uczelni Niepublicznych pod numerem 146</w:t>
      </w:r>
      <w:r w:rsidR="00CC611F" w:rsidRPr="002939F8">
        <w:t>.</w:t>
      </w:r>
      <w:r w:rsidRPr="002939F8">
        <w:t xml:space="preserve"> </w:t>
      </w:r>
    </w:p>
    <w:p w14:paraId="5F32C03E" w14:textId="77777777" w:rsidR="00026427" w:rsidRPr="002939F8" w:rsidRDefault="00026427" w:rsidP="00603B96">
      <w:pPr>
        <w:spacing w:after="0" w:line="240" w:lineRule="auto"/>
        <w:ind w:left="567"/>
        <w:jc w:val="both"/>
      </w:pPr>
    </w:p>
    <w:p w14:paraId="3905E26A" w14:textId="77777777" w:rsidR="00266065" w:rsidRPr="002939F8" w:rsidRDefault="00266065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Tryb udzielenia zamówienia</w:t>
      </w:r>
    </w:p>
    <w:p w14:paraId="31CBD8D2" w14:textId="77777777" w:rsidR="00266065" w:rsidRPr="002939F8" w:rsidRDefault="00266065" w:rsidP="00603B96">
      <w:pPr>
        <w:spacing w:after="0" w:line="240" w:lineRule="auto"/>
        <w:jc w:val="both"/>
        <w:rPr>
          <w:b/>
          <w:bCs/>
        </w:rPr>
      </w:pPr>
    </w:p>
    <w:p w14:paraId="7449C1BC" w14:textId="77777777" w:rsidR="00266065" w:rsidRPr="002939F8" w:rsidRDefault="00266065" w:rsidP="00603B96">
      <w:pPr>
        <w:pStyle w:val="Akapitzlist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t>Postępowanie o udzielenie zamówienia jest prowadzone w oparciu o zasadę konkurencyjności  określoną w „Wytycznych w zakresie kwalifikowalności wydatków w ramach Europejskiego Funduszu Rozwoju Regionalnego, Europejskiego Funduszu Społecznego oraz Funduszu</w:t>
      </w:r>
      <w:r w:rsidR="00B12D99" w:rsidRPr="002939F8">
        <w:t xml:space="preserve"> Spójności na lata 2014 – 2020”.</w:t>
      </w:r>
    </w:p>
    <w:p w14:paraId="4C9A3425" w14:textId="77777777" w:rsidR="00971094" w:rsidRPr="002939F8" w:rsidRDefault="00971094" w:rsidP="00971094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53353429" w14:textId="5020C0A7" w:rsidR="00E02422" w:rsidRPr="002939F8" w:rsidRDefault="00E02422" w:rsidP="00E02422">
      <w:pPr>
        <w:pStyle w:val="Akapitzlist"/>
        <w:spacing w:after="0" w:line="240" w:lineRule="auto"/>
        <w:ind w:left="567"/>
      </w:pPr>
      <w:r w:rsidRPr="002939F8">
        <w:rPr>
          <w:b/>
        </w:rPr>
        <w:t>2.2.</w:t>
      </w:r>
      <w:r w:rsidRPr="002939F8">
        <w:t xml:space="preserve"> Postępowanie nie jest prowadzone w oparciu o przepisy ustawy z dnia 11 września 2019 r. </w:t>
      </w:r>
    </w:p>
    <w:p w14:paraId="3B1EE73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- Prawo Zamówień Publicznych. </w:t>
      </w:r>
    </w:p>
    <w:p w14:paraId="755D9F46" w14:textId="77777777" w:rsidR="00366120" w:rsidRPr="002939F8" w:rsidRDefault="003661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23B43518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Opis przedmiotu zamówienia</w:t>
      </w:r>
    </w:p>
    <w:p w14:paraId="5365AC83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7E9812C6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  <w:highlight w:val="yellow"/>
        </w:rPr>
      </w:pPr>
      <w:r w:rsidRPr="002939F8">
        <w:rPr>
          <w:b/>
          <w:bCs/>
        </w:rPr>
        <w:t xml:space="preserve"> Cel zamówienia </w:t>
      </w:r>
    </w:p>
    <w:p w14:paraId="2B15396E" w14:textId="77777777" w:rsidR="0023135F" w:rsidRPr="002939F8" w:rsidRDefault="0023135F" w:rsidP="00603B96">
      <w:pPr>
        <w:spacing w:after="0"/>
        <w:ind w:left="567"/>
        <w:jc w:val="both"/>
      </w:pPr>
    </w:p>
    <w:p w14:paraId="4A4EB064" w14:textId="6F4BFE7D" w:rsidR="008C77FD" w:rsidRPr="002939F8" w:rsidRDefault="00516946" w:rsidP="00603B96">
      <w:pPr>
        <w:spacing w:after="0"/>
        <w:ind w:left="567"/>
        <w:jc w:val="both"/>
      </w:pPr>
      <w:r w:rsidRPr="002939F8">
        <w:t>Celem zamówienia jest umożliwieni</w:t>
      </w:r>
      <w:r w:rsidR="00B30E65" w:rsidRPr="002939F8">
        <w:t xml:space="preserve">e studentom kierunku </w:t>
      </w:r>
      <w:r w:rsidR="000C130E">
        <w:t>Prawo w biznesie</w:t>
      </w:r>
      <w:r w:rsidR="00CB363C">
        <w:t xml:space="preserve"> </w:t>
      </w:r>
      <w:r w:rsidR="00E52DA4" w:rsidRPr="002939F8">
        <w:t xml:space="preserve">dostępu do aktualnej literatury. </w:t>
      </w:r>
    </w:p>
    <w:p w14:paraId="0A11170B" w14:textId="77777777" w:rsidR="008C77FD" w:rsidRPr="002939F8" w:rsidRDefault="008C77FD" w:rsidP="00603B96">
      <w:pPr>
        <w:spacing w:after="0"/>
        <w:ind w:left="567"/>
        <w:jc w:val="both"/>
      </w:pPr>
    </w:p>
    <w:p w14:paraId="754C0D13" w14:textId="77777777" w:rsidR="0023135F" w:rsidRPr="002939F8" w:rsidRDefault="00621B40" w:rsidP="00603B96">
      <w:pPr>
        <w:spacing w:after="0"/>
        <w:ind w:left="567"/>
        <w:jc w:val="both"/>
        <w:rPr>
          <w:rStyle w:val="Hyperlink1"/>
        </w:rPr>
      </w:pPr>
      <w:r w:rsidRPr="002939F8">
        <w:t xml:space="preserve">Zamówienie będzie realizowane w ramach projektu współfinansowanego </w:t>
      </w:r>
      <w:r w:rsidR="00CC611F" w:rsidRPr="002939F8">
        <w:t xml:space="preserve">z </w:t>
      </w:r>
      <w:r w:rsidRPr="002939F8">
        <w:t xml:space="preserve">Europejskiego Funduszu Społecznego: </w:t>
      </w:r>
      <w:r w:rsidR="003E11A8" w:rsidRPr="002939F8">
        <w:rPr>
          <w:rStyle w:val="Hyperlink1"/>
        </w:rPr>
        <w:t>Nowoczesna Uczelnia będąca liderem wysokiej jakości kształcenia na potrzeby rynku pracy</w:t>
      </w:r>
      <w:r w:rsidRPr="002939F8">
        <w:rPr>
          <w:rStyle w:val="Hyperlink1"/>
        </w:rPr>
        <w:t xml:space="preserve">, </w:t>
      </w:r>
      <w:r w:rsidR="003E11A8" w:rsidRPr="002939F8">
        <w:rPr>
          <w:rStyle w:val="Hyperlink1"/>
        </w:rPr>
        <w:t>POWR.03.05.00-00-Z204/18</w:t>
      </w:r>
      <w:r w:rsidRPr="002939F8">
        <w:rPr>
          <w:rStyle w:val="Hyperlink1"/>
        </w:rPr>
        <w:t>.</w:t>
      </w:r>
    </w:p>
    <w:p w14:paraId="019E82E6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91061BC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Przedmiot zamówienia  </w:t>
      </w:r>
    </w:p>
    <w:p w14:paraId="44823B45" w14:textId="77777777" w:rsidR="0023135F" w:rsidRPr="002939F8" w:rsidRDefault="0023135F" w:rsidP="00603B96">
      <w:pPr>
        <w:spacing w:after="0"/>
        <w:ind w:left="567"/>
        <w:jc w:val="both"/>
      </w:pPr>
    </w:p>
    <w:p w14:paraId="5328A06E" w14:textId="502BF7AD" w:rsidR="00561287" w:rsidRPr="002939F8" w:rsidRDefault="002C0CB7" w:rsidP="00F425F3">
      <w:pPr>
        <w:spacing w:after="0"/>
        <w:ind w:left="567"/>
        <w:jc w:val="both"/>
      </w:pPr>
      <w:r w:rsidRPr="002939F8">
        <w:t>Przedmiotem zamówienia jest wyłonienie Wykonawcy w zakresie dostawy</w:t>
      </w:r>
      <w:r w:rsidR="001901A2" w:rsidRPr="002939F8">
        <w:t xml:space="preserve"> książek</w:t>
      </w:r>
      <w:r w:rsidRPr="002939F8">
        <w:t xml:space="preserve"> </w:t>
      </w:r>
      <w:r w:rsidR="008C77FD" w:rsidRPr="002939F8">
        <w:t xml:space="preserve">- </w:t>
      </w:r>
      <w:r w:rsidR="006240EF" w:rsidRPr="002939F8">
        <w:t>zgodnie z podaną specyfikacją.</w:t>
      </w:r>
    </w:p>
    <w:p w14:paraId="589F780C" w14:textId="26CC427E" w:rsidR="009C673C" w:rsidRPr="002939F8" w:rsidRDefault="009C673C">
      <w:pPr>
        <w:spacing w:after="0" w:line="240" w:lineRule="auto"/>
      </w:pPr>
      <w:r w:rsidRPr="002939F8">
        <w:br w:type="page"/>
      </w:r>
    </w:p>
    <w:p w14:paraId="051FAF3F" w14:textId="77777777" w:rsidR="003E11A8" w:rsidRPr="002939F8" w:rsidRDefault="003E11A8" w:rsidP="00F425F3">
      <w:pPr>
        <w:spacing w:after="0"/>
        <w:ind w:left="567"/>
        <w:jc w:val="both"/>
      </w:pPr>
    </w:p>
    <w:p w14:paraId="35BF0A9D" w14:textId="6E9366F4" w:rsidR="008C77FD" w:rsidRPr="002939F8" w:rsidRDefault="008C77FD" w:rsidP="008C77FD">
      <w:pPr>
        <w:widowControl w:val="0"/>
        <w:spacing w:after="120" w:line="240" w:lineRule="auto"/>
        <w:ind w:firstLine="567"/>
        <w:jc w:val="both"/>
      </w:pPr>
      <w:r w:rsidRPr="002939F8">
        <w:t>Charakterystyka z</w:t>
      </w:r>
      <w:r w:rsidR="00E17BA7" w:rsidRPr="002939F8">
        <w:t>amawianej literatury</w:t>
      </w:r>
      <w:r w:rsidRPr="002939F8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552"/>
        <w:gridCol w:w="2530"/>
        <w:gridCol w:w="1336"/>
      </w:tblGrid>
      <w:tr w:rsidR="000C130E" w14:paraId="170666E5" w14:textId="77777777" w:rsidTr="0033489D">
        <w:tc>
          <w:tcPr>
            <w:tcW w:w="636" w:type="dxa"/>
            <w:vAlign w:val="center"/>
          </w:tcPr>
          <w:p w14:paraId="7D6DADA4" w14:textId="77777777" w:rsidR="000C130E" w:rsidRPr="005E116E" w:rsidRDefault="000C130E" w:rsidP="002808EA">
            <w:pPr>
              <w:jc w:val="center"/>
            </w:pPr>
            <w:r w:rsidRPr="005E116E">
              <w:t>Lp.</w:t>
            </w:r>
          </w:p>
        </w:tc>
        <w:tc>
          <w:tcPr>
            <w:tcW w:w="4552" w:type="dxa"/>
            <w:vAlign w:val="center"/>
          </w:tcPr>
          <w:p w14:paraId="73AB6D61" w14:textId="77777777" w:rsidR="000C130E" w:rsidRPr="005E116E" w:rsidRDefault="000C130E" w:rsidP="002808EA">
            <w:pPr>
              <w:jc w:val="center"/>
            </w:pPr>
            <w:r w:rsidRPr="005E116E">
              <w:t>Opis bibliograficzny</w:t>
            </w:r>
          </w:p>
        </w:tc>
        <w:tc>
          <w:tcPr>
            <w:tcW w:w="2530" w:type="dxa"/>
            <w:vAlign w:val="center"/>
          </w:tcPr>
          <w:p w14:paraId="1290055F" w14:textId="77777777" w:rsidR="000C130E" w:rsidRPr="005E116E" w:rsidRDefault="000C130E" w:rsidP="002808EA">
            <w:pPr>
              <w:jc w:val="center"/>
            </w:pPr>
            <w:r>
              <w:t>ISBN</w:t>
            </w:r>
          </w:p>
        </w:tc>
        <w:tc>
          <w:tcPr>
            <w:tcW w:w="1336" w:type="dxa"/>
            <w:vAlign w:val="center"/>
          </w:tcPr>
          <w:p w14:paraId="3A2ACCFA" w14:textId="77777777" w:rsidR="000C130E" w:rsidRPr="005E116E" w:rsidRDefault="000C130E" w:rsidP="002808EA">
            <w:pPr>
              <w:jc w:val="center"/>
            </w:pPr>
            <w:r w:rsidRPr="005E116E">
              <w:t>Liczba egzemplarzy</w:t>
            </w:r>
          </w:p>
        </w:tc>
      </w:tr>
      <w:tr w:rsidR="000C130E" w14:paraId="633689AA" w14:textId="77777777" w:rsidTr="0033489D">
        <w:tc>
          <w:tcPr>
            <w:tcW w:w="636" w:type="dxa"/>
            <w:vAlign w:val="center"/>
          </w:tcPr>
          <w:p w14:paraId="6BA60B06" w14:textId="77777777" w:rsidR="000C130E" w:rsidRPr="000B6052" w:rsidRDefault="000C130E" w:rsidP="002808EA">
            <w:pPr>
              <w:jc w:val="center"/>
            </w:pPr>
            <w:r w:rsidRPr="000B6052">
              <w:t>1.</w:t>
            </w:r>
          </w:p>
        </w:tc>
        <w:tc>
          <w:tcPr>
            <w:tcW w:w="4552" w:type="dxa"/>
          </w:tcPr>
          <w:p w14:paraId="5C01C8FC" w14:textId="1212A95A" w:rsidR="000C130E" w:rsidRPr="001155BC" w:rsidRDefault="003408DA" w:rsidP="003408DA">
            <w:pPr>
              <w:rPr>
                <w:lang w:val="en-US"/>
              </w:rPr>
            </w:pPr>
            <w:proofErr w:type="spellStart"/>
            <w:r w:rsidRPr="003408DA">
              <w:rPr>
                <w:lang w:val="en-US"/>
              </w:rPr>
              <w:t>Mediacja</w:t>
            </w:r>
            <w:proofErr w:type="spellEnd"/>
            <w:r w:rsidRPr="003408DA">
              <w:rPr>
                <w:lang w:val="en-US"/>
              </w:rPr>
              <w:t xml:space="preserve"> w </w:t>
            </w:r>
            <w:proofErr w:type="spellStart"/>
            <w:r w:rsidRPr="003408DA">
              <w:rPr>
                <w:lang w:val="en-US"/>
              </w:rPr>
              <w:t>praktyce</w:t>
            </w:r>
            <w:proofErr w:type="spellEnd"/>
            <w:r w:rsidRPr="003408DA">
              <w:rPr>
                <w:lang w:val="en-US"/>
              </w:rPr>
              <w:t xml:space="preserve"> </w:t>
            </w:r>
            <w:proofErr w:type="spellStart"/>
            <w:r w:rsidRPr="003408DA">
              <w:rPr>
                <w:lang w:val="en-US"/>
              </w:rPr>
              <w:t>mediatora</w:t>
            </w:r>
            <w:proofErr w:type="spellEnd"/>
            <w:r w:rsidRPr="003408DA">
              <w:rPr>
                <w:lang w:val="en-US"/>
              </w:rPr>
              <w:t xml:space="preserve"> </w:t>
            </w:r>
            <w:proofErr w:type="spellStart"/>
            <w:r w:rsidRPr="003408DA">
              <w:rPr>
                <w:lang w:val="en-US"/>
              </w:rPr>
              <w:t>i</w:t>
            </w:r>
            <w:proofErr w:type="spellEnd"/>
            <w:r w:rsidRPr="003408DA">
              <w:rPr>
                <w:lang w:val="en-US"/>
              </w:rPr>
              <w:t xml:space="preserve"> </w:t>
            </w:r>
            <w:proofErr w:type="spellStart"/>
            <w:r w:rsidRPr="003408DA">
              <w:rPr>
                <w:lang w:val="en-US"/>
              </w:rPr>
              <w:t>pełnomocnika</w:t>
            </w:r>
            <w:proofErr w:type="spellEnd"/>
            <w:r>
              <w:rPr>
                <w:lang w:val="en-US"/>
              </w:rPr>
              <w:t xml:space="preserve">, red. </w:t>
            </w:r>
            <w:proofErr w:type="spellStart"/>
            <w:r>
              <w:rPr>
                <w:lang w:val="en-US"/>
              </w:rPr>
              <w:t>nauk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3408DA">
              <w:rPr>
                <w:lang w:val="en-US"/>
              </w:rPr>
              <w:t>Cezary</w:t>
            </w:r>
            <w:proofErr w:type="spellEnd"/>
            <w:r w:rsidRPr="003408DA">
              <w:rPr>
                <w:lang w:val="en-US"/>
              </w:rPr>
              <w:t xml:space="preserve"> </w:t>
            </w:r>
            <w:proofErr w:type="spellStart"/>
            <w:r w:rsidRPr="003408DA">
              <w:rPr>
                <w:lang w:val="en-US"/>
              </w:rPr>
              <w:t>Rogula</w:t>
            </w:r>
            <w:proofErr w:type="spellEnd"/>
            <w:r w:rsidRPr="003408DA">
              <w:rPr>
                <w:lang w:val="en-US"/>
              </w:rPr>
              <w:t xml:space="preserve">, </w:t>
            </w:r>
            <w:proofErr w:type="spellStart"/>
            <w:r w:rsidRPr="003408DA">
              <w:rPr>
                <w:lang w:val="en-US"/>
              </w:rPr>
              <w:t>Agnieszka</w:t>
            </w:r>
            <w:proofErr w:type="spellEnd"/>
            <w:r w:rsidRPr="003408DA">
              <w:rPr>
                <w:lang w:val="en-US"/>
              </w:rPr>
              <w:t xml:space="preserve"> </w:t>
            </w:r>
            <w:proofErr w:type="spellStart"/>
            <w:r w:rsidRPr="003408DA">
              <w:rPr>
                <w:lang w:val="en-US"/>
              </w:rPr>
              <w:t>Zemke-Górecka</w:t>
            </w:r>
            <w:proofErr w:type="spellEnd"/>
            <w:r>
              <w:rPr>
                <w:lang w:val="en-US"/>
              </w:rPr>
              <w:t xml:space="preserve">, </w:t>
            </w:r>
            <w:r w:rsidRPr="003408DA">
              <w:rPr>
                <w:lang w:val="en-US"/>
              </w:rPr>
              <w:t xml:space="preserve">Wolters Kluwer </w:t>
            </w:r>
            <w:proofErr w:type="spellStart"/>
            <w:r w:rsidRPr="003408DA">
              <w:rPr>
                <w:lang w:val="en-US"/>
              </w:rPr>
              <w:t>Polska</w:t>
            </w:r>
            <w:proofErr w:type="spellEnd"/>
            <w:r>
              <w:rPr>
                <w:lang w:val="en-US"/>
              </w:rPr>
              <w:t xml:space="preserve">, 2021. </w:t>
            </w:r>
          </w:p>
        </w:tc>
        <w:tc>
          <w:tcPr>
            <w:tcW w:w="2530" w:type="dxa"/>
            <w:vAlign w:val="center"/>
          </w:tcPr>
          <w:p w14:paraId="4B88434A" w14:textId="0E1DF027" w:rsidR="000C130E" w:rsidRPr="001155BC" w:rsidRDefault="003408DA" w:rsidP="002808EA">
            <w:pPr>
              <w:jc w:val="center"/>
            </w:pPr>
            <w:r w:rsidRPr="003408DA">
              <w:t>978-83-8223-809-9</w:t>
            </w:r>
          </w:p>
        </w:tc>
        <w:tc>
          <w:tcPr>
            <w:tcW w:w="1336" w:type="dxa"/>
            <w:vAlign w:val="center"/>
          </w:tcPr>
          <w:p w14:paraId="458A3C42" w14:textId="7CD13412" w:rsidR="000C130E" w:rsidRPr="001155BC" w:rsidRDefault="0033489D" w:rsidP="002808EA">
            <w:pPr>
              <w:jc w:val="center"/>
            </w:pPr>
            <w:r>
              <w:t>5</w:t>
            </w:r>
          </w:p>
        </w:tc>
      </w:tr>
      <w:tr w:rsidR="000C130E" w:rsidRPr="0041218C" w14:paraId="5B8BCD58" w14:textId="77777777" w:rsidTr="0033489D">
        <w:tc>
          <w:tcPr>
            <w:tcW w:w="636" w:type="dxa"/>
            <w:vAlign w:val="center"/>
          </w:tcPr>
          <w:p w14:paraId="3E4C28DB" w14:textId="77777777" w:rsidR="000C130E" w:rsidRPr="000B6052" w:rsidRDefault="000C130E" w:rsidP="002808EA">
            <w:pPr>
              <w:jc w:val="center"/>
            </w:pPr>
            <w:r w:rsidRPr="000B6052">
              <w:t>2.</w:t>
            </w:r>
          </w:p>
        </w:tc>
        <w:tc>
          <w:tcPr>
            <w:tcW w:w="4552" w:type="dxa"/>
          </w:tcPr>
          <w:p w14:paraId="07A6D575" w14:textId="5ABA7ABF" w:rsidR="003408DA" w:rsidRPr="003408DA" w:rsidRDefault="003408DA" w:rsidP="003408DA">
            <w:pPr>
              <w:rPr>
                <w:iCs/>
                <w:lang w:val="en-US"/>
              </w:rPr>
            </w:pPr>
            <w:proofErr w:type="spellStart"/>
            <w:r w:rsidRPr="003408DA">
              <w:rPr>
                <w:iCs/>
                <w:lang w:val="en-US"/>
              </w:rPr>
              <w:t>Mariusz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Stepaniuk</w:t>
            </w:r>
            <w:proofErr w:type="spellEnd"/>
            <w:r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Aplikacja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radcowska</w:t>
            </w:r>
            <w:proofErr w:type="spellEnd"/>
            <w:r w:rsidRPr="003408DA">
              <w:rPr>
                <w:iCs/>
                <w:lang w:val="en-US"/>
              </w:rPr>
              <w:t xml:space="preserve"> 2022. </w:t>
            </w:r>
            <w:proofErr w:type="spellStart"/>
            <w:r w:rsidRPr="003408DA">
              <w:rPr>
                <w:iCs/>
                <w:lang w:val="en-US"/>
              </w:rPr>
              <w:t>Pytania</w:t>
            </w:r>
            <w:proofErr w:type="spellEnd"/>
            <w:r w:rsidRPr="003408DA"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odpowiedzi</w:t>
            </w:r>
            <w:proofErr w:type="spellEnd"/>
            <w:r w:rsidRPr="003408DA"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tabele</w:t>
            </w:r>
            <w:proofErr w:type="spellEnd"/>
            <w:r>
              <w:rPr>
                <w:iCs/>
                <w:lang w:val="en-US"/>
              </w:rPr>
              <w:t xml:space="preserve">, C.H. Beck, 2022. </w:t>
            </w:r>
          </w:p>
          <w:p w14:paraId="3E939447" w14:textId="4755D2DB" w:rsidR="000C130E" w:rsidRPr="001155BC" w:rsidRDefault="000C130E" w:rsidP="00C24888">
            <w:pPr>
              <w:spacing w:after="0" w:line="240" w:lineRule="auto"/>
              <w:rPr>
                <w:iCs/>
                <w:lang w:val="en-US"/>
              </w:rPr>
            </w:pPr>
          </w:p>
        </w:tc>
        <w:tc>
          <w:tcPr>
            <w:tcW w:w="2530" w:type="dxa"/>
            <w:vAlign w:val="center"/>
          </w:tcPr>
          <w:p w14:paraId="3EAC3A97" w14:textId="6D6652B7" w:rsidR="000C130E" w:rsidRPr="001155BC" w:rsidRDefault="003408DA" w:rsidP="00C24888">
            <w:pPr>
              <w:tabs>
                <w:tab w:val="left" w:pos="180"/>
              </w:tabs>
              <w:jc w:val="center"/>
              <w:rPr>
                <w:lang w:val="en-US"/>
              </w:rPr>
            </w:pPr>
            <w:r w:rsidRPr="003408DA">
              <w:rPr>
                <w:lang w:val="en-US"/>
              </w:rPr>
              <w:t>978-83-8235-930-5</w:t>
            </w:r>
          </w:p>
        </w:tc>
        <w:tc>
          <w:tcPr>
            <w:tcW w:w="1336" w:type="dxa"/>
            <w:vAlign w:val="center"/>
          </w:tcPr>
          <w:p w14:paraId="705081AD" w14:textId="3D307A12" w:rsidR="000C130E" w:rsidRPr="001155BC" w:rsidRDefault="003408DA" w:rsidP="00280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08DA" w:rsidRPr="0041218C" w14:paraId="23761C52" w14:textId="77777777" w:rsidTr="0033489D">
        <w:tc>
          <w:tcPr>
            <w:tcW w:w="636" w:type="dxa"/>
            <w:vAlign w:val="center"/>
          </w:tcPr>
          <w:p w14:paraId="162C144C" w14:textId="1B9FB120" w:rsidR="003408DA" w:rsidRPr="003408DA" w:rsidRDefault="003408DA" w:rsidP="003408DA">
            <w:r w:rsidRPr="003408DA">
              <w:t>3.</w:t>
            </w:r>
            <w:r>
              <w:t xml:space="preserve"> </w:t>
            </w:r>
          </w:p>
        </w:tc>
        <w:tc>
          <w:tcPr>
            <w:tcW w:w="4552" w:type="dxa"/>
          </w:tcPr>
          <w:p w14:paraId="341352B2" w14:textId="76A4B4B6" w:rsidR="003408DA" w:rsidRPr="003408DA" w:rsidRDefault="003408DA" w:rsidP="003408DA">
            <w:pPr>
              <w:rPr>
                <w:iCs/>
                <w:lang w:val="en-US"/>
              </w:rPr>
            </w:pPr>
            <w:r w:rsidRPr="003408DA">
              <w:rPr>
                <w:iCs/>
                <w:lang w:val="en-US"/>
              </w:rPr>
              <w:t xml:space="preserve">Aleksandra </w:t>
            </w:r>
            <w:proofErr w:type="spellStart"/>
            <w:r w:rsidRPr="003408DA">
              <w:rPr>
                <w:iCs/>
                <w:lang w:val="en-US"/>
              </w:rPr>
              <w:t>Karpińska</w:t>
            </w:r>
            <w:proofErr w:type="spellEnd"/>
            <w:r w:rsidRPr="003408DA">
              <w:rPr>
                <w:iCs/>
                <w:lang w:val="en-US"/>
              </w:rPr>
              <w:t xml:space="preserve">, Paulina </w:t>
            </w:r>
            <w:proofErr w:type="spellStart"/>
            <w:r w:rsidRPr="003408DA">
              <w:rPr>
                <w:iCs/>
                <w:lang w:val="en-US"/>
              </w:rPr>
              <w:t>Jabłońska</w:t>
            </w:r>
            <w:proofErr w:type="spellEnd"/>
            <w:r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Aplikacja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sędziowska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i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prokuratorska</w:t>
            </w:r>
            <w:proofErr w:type="spellEnd"/>
            <w:r w:rsidRPr="003408DA">
              <w:rPr>
                <w:iCs/>
                <w:lang w:val="en-US"/>
              </w:rPr>
              <w:t xml:space="preserve"> 2022. Testy, </w:t>
            </w:r>
            <w:proofErr w:type="spellStart"/>
            <w:r w:rsidRPr="003408DA">
              <w:rPr>
                <w:iCs/>
                <w:lang w:val="en-US"/>
              </w:rPr>
              <w:t>kazusy</w:t>
            </w:r>
            <w:proofErr w:type="spellEnd"/>
            <w:r w:rsidRPr="003408DA"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wskazówki</w:t>
            </w:r>
            <w:proofErr w:type="spellEnd"/>
            <w:r>
              <w:rPr>
                <w:iCs/>
                <w:lang w:val="en-US"/>
              </w:rPr>
              <w:t xml:space="preserve">, C.H. Beck, 2022. </w:t>
            </w:r>
          </w:p>
        </w:tc>
        <w:tc>
          <w:tcPr>
            <w:tcW w:w="2530" w:type="dxa"/>
            <w:vAlign w:val="center"/>
          </w:tcPr>
          <w:p w14:paraId="64583B26" w14:textId="73C0EAF9" w:rsidR="003408DA" w:rsidRPr="003408DA" w:rsidRDefault="003408DA" w:rsidP="00C24888">
            <w:pPr>
              <w:tabs>
                <w:tab w:val="left" w:pos="180"/>
              </w:tabs>
              <w:jc w:val="center"/>
              <w:rPr>
                <w:lang w:val="en-US"/>
              </w:rPr>
            </w:pPr>
            <w:r w:rsidRPr="003408DA">
              <w:rPr>
                <w:lang w:val="en-US"/>
              </w:rPr>
              <w:t>978-83-8291-294-4</w:t>
            </w:r>
          </w:p>
        </w:tc>
        <w:tc>
          <w:tcPr>
            <w:tcW w:w="1336" w:type="dxa"/>
            <w:vAlign w:val="center"/>
          </w:tcPr>
          <w:p w14:paraId="27E1FB65" w14:textId="5A51EFF0" w:rsidR="003408DA" w:rsidRDefault="003408DA" w:rsidP="00280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08DA" w:rsidRPr="0041218C" w14:paraId="3B939A4E" w14:textId="77777777" w:rsidTr="0033489D">
        <w:tc>
          <w:tcPr>
            <w:tcW w:w="636" w:type="dxa"/>
            <w:vAlign w:val="center"/>
          </w:tcPr>
          <w:p w14:paraId="74535889" w14:textId="614202FB" w:rsidR="003408DA" w:rsidRPr="003408DA" w:rsidRDefault="003408DA" w:rsidP="003408DA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552" w:type="dxa"/>
          </w:tcPr>
          <w:p w14:paraId="3C788272" w14:textId="2DE92DC1" w:rsidR="003408DA" w:rsidRPr="003408DA" w:rsidRDefault="003408DA" w:rsidP="003408DA">
            <w:pPr>
              <w:rPr>
                <w:iCs/>
                <w:lang w:val="en-US"/>
              </w:rPr>
            </w:pPr>
            <w:r w:rsidRPr="003408DA">
              <w:rPr>
                <w:iCs/>
                <w:lang w:val="en-US"/>
              </w:rPr>
              <w:t xml:space="preserve">Daniel </w:t>
            </w:r>
            <w:proofErr w:type="spellStart"/>
            <w:r w:rsidRPr="003408DA">
              <w:rPr>
                <w:iCs/>
                <w:lang w:val="en-US"/>
              </w:rPr>
              <w:t>Szczegielniak</w:t>
            </w:r>
            <w:proofErr w:type="spellEnd"/>
            <w:r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Podróż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ku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pasji</w:t>
            </w:r>
            <w:proofErr w:type="spellEnd"/>
            <w:r w:rsidRPr="003408DA"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Jak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sięgnąć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po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lepszą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pracę</w:t>
            </w:r>
            <w:proofErr w:type="spellEnd"/>
            <w:r w:rsidRPr="003408DA">
              <w:rPr>
                <w:iCs/>
                <w:lang w:val="en-US"/>
              </w:rPr>
              <w:t xml:space="preserve"> w </w:t>
            </w:r>
            <w:proofErr w:type="spellStart"/>
            <w:r w:rsidRPr="003408DA">
              <w:rPr>
                <w:iCs/>
                <w:lang w:val="en-US"/>
              </w:rPr>
              <w:t>trzech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prostych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krokach</w:t>
            </w:r>
            <w:proofErr w:type="spellEnd"/>
            <w:r>
              <w:rPr>
                <w:iCs/>
                <w:lang w:val="en-US"/>
              </w:rPr>
              <w:t xml:space="preserve">, </w:t>
            </w:r>
            <w:proofErr w:type="spellStart"/>
            <w:r w:rsidRPr="003408DA">
              <w:rPr>
                <w:iCs/>
                <w:lang w:val="en-US"/>
              </w:rPr>
              <w:t>Ludowa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Spółdzielnia</w:t>
            </w:r>
            <w:proofErr w:type="spellEnd"/>
            <w:r w:rsidRPr="003408DA">
              <w:rPr>
                <w:iCs/>
                <w:lang w:val="en-US"/>
              </w:rPr>
              <w:t xml:space="preserve"> </w:t>
            </w:r>
            <w:proofErr w:type="spellStart"/>
            <w:r w:rsidRPr="003408DA">
              <w:rPr>
                <w:iCs/>
                <w:lang w:val="en-US"/>
              </w:rPr>
              <w:t>Wydawnicza</w:t>
            </w:r>
            <w:proofErr w:type="spellEnd"/>
            <w:r>
              <w:rPr>
                <w:iCs/>
                <w:lang w:val="en-US"/>
              </w:rPr>
              <w:t>, 2022.</w:t>
            </w:r>
          </w:p>
        </w:tc>
        <w:tc>
          <w:tcPr>
            <w:tcW w:w="2530" w:type="dxa"/>
            <w:vAlign w:val="center"/>
          </w:tcPr>
          <w:p w14:paraId="763120DC" w14:textId="11759F88" w:rsidR="003408DA" w:rsidRPr="003408DA" w:rsidRDefault="003408DA" w:rsidP="00C24888">
            <w:pPr>
              <w:tabs>
                <w:tab w:val="left" w:pos="180"/>
              </w:tabs>
              <w:jc w:val="center"/>
              <w:rPr>
                <w:lang w:val="en-US"/>
              </w:rPr>
            </w:pPr>
            <w:r w:rsidRPr="003408DA">
              <w:rPr>
                <w:lang w:val="en-US"/>
              </w:rPr>
              <w:t>978-83-205-5815-9</w:t>
            </w:r>
          </w:p>
        </w:tc>
        <w:tc>
          <w:tcPr>
            <w:tcW w:w="1336" w:type="dxa"/>
            <w:vAlign w:val="center"/>
          </w:tcPr>
          <w:p w14:paraId="55C682C5" w14:textId="63AD9278" w:rsidR="003408DA" w:rsidRDefault="002A0C81" w:rsidP="00280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5BE4D306" w14:textId="77777777" w:rsidR="00D87391" w:rsidRPr="002939F8" w:rsidRDefault="00D87391" w:rsidP="00D87391"/>
    <w:p w14:paraId="7633CC8C" w14:textId="77777777" w:rsidR="006240EF" w:rsidRPr="002939F8" w:rsidRDefault="006240EF" w:rsidP="006240EF">
      <w:pPr>
        <w:widowControl w:val="0"/>
        <w:spacing w:after="120" w:line="240" w:lineRule="auto"/>
        <w:jc w:val="both"/>
      </w:pPr>
    </w:p>
    <w:p w14:paraId="3D22D344" w14:textId="77777777" w:rsidR="0023135F" w:rsidRPr="002939F8" w:rsidRDefault="00621B40" w:rsidP="006240EF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Zasady ustalania wynagrodzenia za wykonanie przedmiotu zamówienia</w:t>
      </w:r>
    </w:p>
    <w:p w14:paraId="7EF0C5F3" w14:textId="42CF7D7F" w:rsidR="002A47AD" w:rsidRPr="002939F8" w:rsidRDefault="002A47AD" w:rsidP="002A47AD">
      <w:pPr>
        <w:spacing w:after="0" w:line="240" w:lineRule="auto"/>
        <w:jc w:val="both"/>
      </w:pPr>
    </w:p>
    <w:p w14:paraId="25157E19" w14:textId="3E4363BE" w:rsidR="002A47AD" w:rsidRPr="002939F8" w:rsidRDefault="002A47AD" w:rsidP="002A47AD">
      <w:pPr>
        <w:spacing w:after="0" w:line="240" w:lineRule="auto"/>
        <w:ind w:left="567"/>
        <w:jc w:val="both"/>
      </w:pPr>
      <w:r w:rsidRPr="002939F8">
        <w:t>Wynagrodzenie obejmuje wszystkie elementy składowe Zapytania Ofertowego płatne jednorazowo po podpisaniu protokołu odbioru, termin płatności 30 dni od wystawienia faktury. Koszty transportu oraz ewentualnego ubezpieczenia pokrywa Wykonawca.</w:t>
      </w:r>
    </w:p>
    <w:p w14:paraId="3A564F08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30BF0A9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>W umowie z Wykonawcą będą zawarte kary umowne za nieprawidłową realizację zamówienia.</w:t>
      </w:r>
    </w:p>
    <w:p w14:paraId="6B78DAB2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6F86339D" w14:textId="77777777" w:rsidR="00E02422" w:rsidRPr="002939F8" w:rsidRDefault="00E02422" w:rsidP="00E02422">
      <w:pPr>
        <w:shd w:val="clear" w:color="auto" w:fill="FFFFFF"/>
        <w:spacing w:after="0" w:line="240" w:lineRule="auto"/>
        <w:ind w:left="567"/>
        <w:jc w:val="both"/>
        <w:rPr>
          <w:b/>
          <w:bCs/>
        </w:rPr>
      </w:pPr>
      <w:r w:rsidRPr="002939F8">
        <w:rPr>
          <w:b/>
          <w:bCs/>
        </w:rPr>
        <w:t>Zamawiający zastrzega sobie prawo do zapłaty za wynagrodzenie Wykonawcy, który jest podatnikiem VAT:</w:t>
      </w:r>
    </w:p>
    <w:p w14:paraId="0A77021A" w14:textId="77777777" w:rsidR="00E02422" w:rsidRPr="002939F8" w:rsidRDefault="00E02422" w:rsidP="00E0242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1281" w:hanging="357"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tylko na rachunek bankowy Wykonawcy </w:t>
      </w:r>
      <w:r w:rsidRPr="002939F8">
        <w:rPr>
          <w:rFonts w:eastAsia="Times New Roman"/>
          <w:bdr w:val="none" w:sz="0" w:space="0" w:color="auto" w:frame="1"/>
        </w:rPr>
        <w:t>znajdujący się w elektronicznym wykazie podmiotów prowadzonym przez Szefa Krajowej Administracji Skarbowej w oparciu o art. 96b ustawy z dnia 11 marca 2004 r. o podatku od towarów i usług. W przypadku, gdy wskazany przez Wykonawcę 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płatności.</w:t>
      </w:r>
    </w:p>
    <w:p w14:paraId="09BF0658" w14:textId="5C7CDA37" w:rsidR="002A47AD" w:rsidRPr="002A0C81" w:rsidRDefault="00E02422" w:rsidP="00E177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E177DA">
        <w:rPr>
          <w:rFonts w:eastAsia="Times New Roman"/>
          <w:shd w:val="clear" w:color="auto" w:fill="FFFFFF"/>
        </w:rPr>
        <w:t xml:space="preserve">w ramach mechanizmu podzielonej płatności tzw. </w:t>
      </w:r>
      <w:proofErr w:type="spellStart"/>
      <w:r w:rsidRPr="00E177DA">
        <w:rPr>
          <w:rFonts w:eastAsia="Times New Roman"/>
          <w:shd w:val="clear" w:color="auto" w:fill="FFFFFF"/>
        </w:rPr>
        <w:t>split</w:t>
      </w:r>
      <w:proofErr w:type="spellEnd"/>
      <w:r w:rsidRPr="00E177DA">
        <w:rPr>
          <w:rFonts w:eastAsia="Times New Roman"/>
          <w:shd w:val="clear" w:color="auto" w:fill="FFFFFF"/>
        </w:rPr>
        <w:t xml:space="preserve"> </w:t>
      </w:r>
      <w:proofErr w:type="spellStart"/>
      <w:r w:rsidRPr="00E177DA">
        <w:rPr>
          <w:rFonts w:eastAsia="Times New Roman"/>
          <w:shd w:val="clear" w:color="auto" w:fill="FFFFFF"/>
        </w:rPr>
        <w:t>payment</w:t>
      </w:r>
      <w:proofErr w:type="spellEnd"/>
      <w:r w:rsidRPr="00E177DA">
        <w:rPr>
          <w:rFonts w:eastAsia="Times New Roman"/>
          <w:shd w:val="clear" w:color="auto" w:fill="FFFFFF"/>
        </w:rPr>
        <w:t xml:space="preserve"> o którym mowa w art. 108a ustawy z dnia 11 marca 2004 r. o podatku od towarów i usług.</w:t>
      </w:r>
    </w:p>
    <w:p w14:paraId="3CCC45EC" w14:textId="77777777" w:rsidR="002A0C81" w:rsidRDefault="002A0C81" w:rsidP="002A0C8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287"/>
        <w:jc w:val="both"/>
      </w:pPr>
    </w:p>
    <w:p w14:paraId="2C11645D" w14:textId="4586B75A" w:rsidR="005417EB" w:rsidRDefault="005417EB" w:rsidP="00603B96">
      <w:pPr>
        <w:spacing w:after="0" w:line="240" w:lineRule="auto"/>
        <w:ind w:left="567"/>
        <w:jc w:val="both"/>
      </w:pPr>
    </w:p>
    <w:p w14:paraId="5C34E2C4" w14:textId="77777777" w:rsidR="005417EB" w:rsidRPr="002939F8" w:rsidRDefault="005417EB" w:rsidP="00603B96">
      <w:pPr>
        <w:spacing w:after="0" w:line="240" w:lineRule="auto"/>
        <w:ind w:left="567"/>
        <w:jc w:val="both"/>
      </w:pPr>
    </w:p>
    <w:p w14:paraId="71DEA5D3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058C7D0E" w14:textId="71D3894C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lastRenderedPageBreak/>
        <w:t>Miejsce dostawy przedmiotu zamówienia</w:t>
      </w:r>
    </w:p>
    <w:p w14:paraId="79A62DC4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736B46E" w14:textId="78430D27" w:rsidR="00711731" w:rsidRPr="002939F8" w:rsidRDefault="005417EB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  <w:r>
        <w:rPr>
          <w:b/>
        </w:rPr>
        <w:t>Biblioteka Wyższej Szkoły Bankowej we Wrocławiu, ul. Fabryczna 29-31 53-609 Wrocław</w:t>
      </w:r>
    </w:p>
    <w:p w14:paraId="08B4E676" w14:textId="77777777" w:rsidR="00033123" w:rsidRPr="002939F8" w:rsidRDefault="00033123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</w:p>
    <w:p w14:paraId="1EF9F225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Kod CPV: </w:t>
      </w:r>
    </w:p>
    <w:p w14:paraId="0EC52759" w14:textId="1D25E58D" w:rsidR="002C0CB7" w:rsidRPr="002939F8" w:rsidRDefault="005E2711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rPr>
          <w:rStyle w:val="Hyperlink1"/>
          <w:b w:val="0"/>
        </w:rPr>
        <w:t>22110000-4 Drukowane książki</w:t>
      </w:r>
    </w:p>
    <w:p w14:paraId="51E424CB" w14:textId="77777777" w:rsidR="005E2711" w:rsidRPr="002939F8" w:rsidRDefault="005E2711" w:rsidP="00603B96">
      <w:pPr>
        <w:spacing w:after="0" w:line="240" w:lineRule="auto"/>
        <w:ind w:left="567"/>
        <w:jc w:val="both"/>
        <w:rPr>
          <w:rStyle w:val="Hyperlink1"/>
        </w:rPr>
      </w:pPr>
    </w:p>
    <w:p w14:paraId="3C833243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Dodatkowe przedmioty zamówienia </w:t>
      </w:r>
    </w:p>
    <w:p w14:paraId="102BFF45" w14:textId="77777777" w:rsidR="0023135F" w:rsidRPr="002939F8" w:rsidRDefault="00621B40" w:rsidP="00603B96">
      <w:pPr>
        <w:spacing w:after="0" w:line="240" w:lineRule="auto"/>
        <w:ind w:firstLine="567"/>
        <w:jc w:val="both"/>
      </w:pPr>
      <w:r w:rsidRPr="002939F8">
        <w:t>Zamawiający nie przewiduje dodatkowych przedmiotów zamówienia.</w:t>
      </w:r>
    </w:p>
    <w:p w14:paraId="02ECC61F" w14:textId="77777777" w:rsidR="0023135F" w:rsidRPr="002939F8" w:rsidRDefault="0023135F" w:rsidP="00603B96">
      <w:pPr>
        <w:spacing w:after="0" w:line="240" w:lineRule="auto"/>
        <w:jc w:val="both"/>
      </w:pPr>
    </w:p>
    <w:p w14:paraId="507954C0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Zamówienia uzupełniające </w:t>
      </w:r>
    </w:p>
    <w:p w14:paraId="59B51A26" w14:textId="4308007F" w:rsidR="0023135F" w:rsidRPr="002939F8" w:rsidRDefault="00621B40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t>Zamawiający nie przewiduje zamówień uzupełniających</w:t>
      </w:r>
      <w:r w:rsidRPr="002939F8">
        <w:rPr>
          <w:rStyle w:val="Hyperlink1"/>
          <w:b w:val="0"/>
        </w:rPr>
        <w:t>.</w:t>
      </w:r>
    </w:p>
    <w:p w14:paraId="2507F289" w14:textId="77777777" w:rsidR="00B30E65" w:rsidRPr="002939F8" w:rsidRDefault="00B30E65" w:rsidP="00603B96">
      <w:pPr>
        <w:spacing w:after="0" w:line="240" w:lineRule="auto"/>
        <w:ind w:left="567"/>
        <w:jc w:val="both"/>
        <w:rPr>
          <w:b/>
          <w:bCs/>
          <w:shd w:val="clear" w:color="auto" w:fill="FFFF00"/>
        </w:rPr>
      </w:pPr>
    </w:p>
    <w:p w14:paraId="13B910D4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DC75382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Terminy realizacji zamówienia </w:t>
      </w:r>
    </w:p>
    <w:p w14:paraId="22DB6870" w14:textId="77777777" w:rsidR="00AF580B" w:rsidRPr="002939F8" w:rsidRDefault="00AF580B" w:rsidP="00603B96">
      <w:pPr>
        <w:spacing w:after="0" w:line="240" w:lineRule="auto"/>
        <w:jc w:val="both"/>
      </w:pPr>
      <w:r w:rsidRPr="002939F8">
        <w:tab/>
      </w:r>
    </w:p>
    <w:p w14:paraId="56424BBB" w14:textId="77777777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t>Harmonogram realizacji zamówienia:</w:t>
      </w:r>
    </w:p>
    <w:p w14:paraId="486023DE" w14:textId="7532184C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2939F8">
        <w:t xml:space="preserve">Wykonawca musi dostarczyć przedmiot zamówienia </w:t>
      </w:r>
      <w:r w:rsidRPr="002939F8">
        <w:rPr>
          <w:b/>
          <w:bCs/>
        </w:rPr>
        <w:t>w terminie nie dłuższym niż</w:t>
      </w:r>
      <w:r w:rsidR="000C130E">
        <w:rPr>
          <w:b/>
          <w:bCs/>
        </w:rPr>
        <w:t xml:space="preserve"> </w:t>
      </w:r>
      <w:r w:rsidR="002A0C81">
        <w:rPr>
          <w:b/>
          <w:bCs/>
        </w:rPr>
        <w:t>14</w:t>
      </w:r>
      <w:r w:rsidRPr="002939F8">
        <w:rPr>
          <w:b/>
          <w:bCs/>
        </w:rPr>
        <w:t xml:space="preserve"> dni od dnia podpisania umowy.</w:t>
      </w:r>
    </w:p>
    <w:p w14:paraId="2B4CDACF" w14:textId="77777777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</w:pPr>
      <w:r w:rsidRPr="002939F8">
        <w:t>Za termin wykonania przedmiotu umowy uważa się jego dostarczenie do siedziby Zamawiającego,  potwierdzone protokołem odbioru.</w:t>
      </w:r>
    </w:p>
    <w:p w14:paraId="3E7304E6" w14:textId="77777777" w:rsidR="0023135F" w:rsidRPr="002939F8" w:rsidRDefault="0023135F" w:rsidP="00603B96">
      <w:pPr>
        <w:spacing w:after="0" w:line="240" w:lineRule="auto"/>
        <w:ind w:left="567"/>
        <w:jc w:val="both"/>
        <w:rPr>
          <w:shd w:val="clear" w:color="auto" w:fill="FFFF00"/>
        </w:rPr>
      </w:pPr>
    </w:p>
    <w:p w14:paraId="5D8FD341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Warunki udziału w postępowaniu</w:t>
      </w:r>
    </w:p>
    <w:p w14:paraId="71A84D6F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Uprawnienia do wykonania określonej działalności lub czynności</w:t>
      </w:r>
    </w:p>
    <w:p w14:paraId="60AF9FF2" w14:textId="77777777" w:rsidR="0023135F" w:rsidRPr="002939F8" w:rsidRDefault="0023135F" w:rsidP="00603B96">
      <w:pPr>
        <w:spacing w:after="0" w:line="240" w:lineRule="auto"/>
        <w:ind w:left="644"/>
        <w:jc w:val="both"/>
      </w:pPr>
    </w:p>
    <w:p w14:paraId="4C97F43C" w14:textId="77777777" w:rsidR="0023135F" w:rsidRPr="002939F8" w:rsidRDefault="00621B40" w:rsidP="00603B96">
      <w:pPr>
        <w:spacing w:after="0" w:line="240" w:lineRule="auto"/>
        <w:ind w:left="644"/>
        <w:jc w:val="both"/>
      </w:pPr>
      <w:r w:rsidRPr="002939F8">
        <w:t>W postępowaniu mogą wziąć udział Wykonawcy, którzy spełniają niżej wymienione warunki udziału w postępowaniu.</w:t>
      </w:r>
    </w:p>
    <w:p w14:paraId="7C817C28" w14:textId="77777777" w:rsidR="0023135F" w:rsidRPr="002939F8" w:rsidRDefault="0023135F" w:rsidP="00603B96">
      <w:pPr>
        <w:spacing w:after="0" w:line="240" w:lineRule="auto"/>
        <w:jc w:val="both"/>
      </w:pPr>
    </w:p>
    <w:p w14:paraId="0E850CFC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Sytuacja ekonomiczna i finansowa </w:t>
      </w:r>
    </w:p>
    <w:p w14:paraId="214FDC2B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0FBE0F14" w14:textId="77777777" w:rsidR="0023135F" w:rsidRPr="002939F8" w:rsidRDefault="00621B40" w:rsidP="00603B96">
      <w:pPr>
        <w:pStyle w:val="Akapitzlist"/>
        <w:spacing w:after="0" w:line="240" w:lineRule="auto"/>
        <w:ind w:left="644"/>
        <w:jc w:val="both"/>
      </w:pPr>
      <w:r w:rsidRPr="002939F8">
        <w:t>Wykonawca znajduje się w sytuacji ekonomicznej i finansowej zapewniającej terminowe wykonanie przedmiotu zamówienia.</w:t>
      </w:r>
    </w:p>
    <w:p w14:paraId="09552140" w14:textId="77777777" w:rsidR="0023135F" w:rsidRPr="002939F8" w:rsidRDefault="00621B40" w:rsidP="00603B96">
      <w:pPr>
        <w:pStyle w:val="Akapitzlist"/>
        <w:spacing w:after="0" w:line="259" w:lineRule="auto"/>
        <w:ind w:left="0" w:firstLine="644"/>
        <w:jc w:val="both"/>
      </w:pPr>
      <w:r w:rsidRPr="002939F8">
        <w:t xml:space="preserve">Wykonawca nie </w:t>
      </w:r>
      <w:r w:rsidR="00A61737" w:rsidRPr="002939F8">
        <w:t>znajduje</w:t>
      </w:r>
      <w:r w:rsidRPr="002939F8">
        <w:t xml:space="preserve"> się w stanie likwidacji ani nie ogłoszono </w:t>
      </w:r>
      <w:r w:rsidR="00A61737" w:rsidRPr="002939F8">
        <w:t xml:space="preserve">jego </w:t>
      </w:r>
      <w:r w:rsidRPr="002939F8">
        <w:t>upadłości.</w:t>
      </w:r>
    </w:p>
    <w:p w14:paraId="21E94375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 xml:space="preserve">Wykonawca nie zalega z uiszczeniem podatków, opłat oraz składek na ubezpieczenia </w:t>
      </w:r>
    </w:p>
    <w:p w14:paraId="0CCDA39E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>społeczne i zdrowotne.</w:t>
      </w:r>
    </w:p>
    <w:p w14:paraId="480A9C25" w14:textId="77777777" w:rsidR="0023135F" w:rsidRPr="002939F8" w:rsidRDefault="0023135F" w:rsidP="00603B96">
      <w:pPr>
        <w:pStyle w:val="Akapitzlist"/>
        <w:spacing w:after="0" w:line="259" w:lineRule="auto"/>
        <w:ind w:left="709" w:hanging="65"/>
        <w:jc w:val="both"/>
        <w:rPr>
          <w:shd w:val="clear" w:color="auto" w:fill="FFFF00"/>
        </w:rPr>
      </w:pPr>
    </w:p>
    <w:p w14:paraId="5A1516AD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Dodatkowe warunki:</w:t>
      </w:r>
    </w:p>
    <w:p w14:paraId="7613BF83" w14:textId="77777777" w:rsidR="001C07C8" w:rsidRPr="002939F8" w:rsidRDefault="00787C8F" w:rsidP="00603B96">
      <w:pPr>
        <w:pStyle w:val="Akapitzlist"/>
        <w:spacing w:after="0" w:line="240" w:lineRule="auto"/>
        <w:ind w:left="709"/>
        <w:jc w:val="both"/>
      </w:pPr>
      <w:r w:rsidRPr="002939F8">
        <w:t>Brak.</w:t>
      </w:r>
    </w:p>
    <w:p w14:paraId="6EA70E88" w14:textId="77777777" w:rsidR="00E93920" w:rsidRPr="002939F8" w:rsidRDefault="00E939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19E560AF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Sposób dokonania oceny spełnienia warunków  udziału w postępowaniu</w:t>
      </w:r>
    </w:p>
    <w:p w14:paraId="0FBAD4FF" w14:textId="77777777" w:rsidR="0023135F" w:rsidRPr="002939F8" w:rsidRDefault="0023135F" w:rsidP="00603B96">
      <w:pPr>
        <w:spacing w:after="0" w:line="240" w:lineRule="auto"/>
        <w:jc w:val="both"/>
      </w:pPr>
    </w:p>
    <w:p w14:paraId="0D89EFB0" w14:textId="77777777" w:rsidR="0023135F" w:rsidRPr="002939F8" w:rsidRDefault="00621B40" w:rsidP="00603B96">
      <w:pPr>
        <w:spacing w:after="0" w:line="240" w:lineRule="auto"/>
        <w:ind w:left="720"/>
        <w:jc w:val="both"/>
      </w:pPr>
      <w:r w:rsidRPr="002939F8">
        <w:t xml:space="preserve">Ocena spełnienia warunków udziału w postępowaniu przeprowadzona zostanie w oparciu o podpisane przez Wykonawcę oświadczenie o spełnieniu wymagań Zamawiającego określonych w załączniku nr 1 do </w:t>
      </w:r>
      <w:r w:rsidR="006D2D98" w:rsidRPr="002939F8">
        <w:t xml:space="preserve">Zapytania Ofertowego </w:t>
      </w:r>
      <w:r w:rsidRPr="002939F8">
        <w:t xml:space="preserve">oraz dokumentów wymienionych w pkt. </w:t>
      </w:r>
      <w:r w:rsidR="006D2D98" w:rsidRPr="002939F8">
        <w:t>8</w:t>
      </w:r>
      <w:r w:rsidRPr="002939F8">
        <w:t>.</w:t>
      </w:r>
    </w:p>
    <w:p w14:paraId="7FBCFD7D" w14:textId="77777777" w:rsidR="0023135F" w:rsidRPr="002939F8" w:rsidRDefault="0023135F" w:rsidP="00603B96">
      <w:pPr>
        <w:spacing w:after="0" w:line="240" w:lineRule="auto"/>
        <w:jc w:val="both"/>
      </w:pPr>
    </w:p>
    <w:p w14:paraId="10559A5A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Wykluczenia z udziału w postępowaniu</w:t>
      </w:r>
    </w:p>
    <w:p w14:paraId="3F0F1E93" w14:textId="77777777" w:rsidR="0023135F" w:rsidRPr="002939F8" w:rsidRDefault="0023135F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242F6D65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 xml:space="preserve">Z postępowania zostaną wykluczone oferty złożone przez Wykonawców, którzy są powiązani osobowo lub kapitałowo z Zamawiającym tj. z Wyższą Szkołą Bankową we Wrocławiu. Przez </w:t>
      </w:r>
      <w:r w:rsidRPr="002939F8">
        <w:lastRenderedPageBreak/>
        <w:t xml:space="preserve">powiązania kapitałowe lub osobowe rozumie się wzajemne </w:t>
      </w:r>
      <w:r w:rsidRPr="002939F8">
        <w:rPr>
          <w:rFonts w:eastAsia="Times New Roman"/>
        </w:rPr>
        <w:t xml:space="preserve">powiązania między Zamawiającym tj. </w:t>
      </w:r>
      <w:r w:rsidRPr="002939F8">
        <w:t xml:space="preserve">Wyższą Szkołą Bankową we Wrocławiu </w:t>
      </w:r>
      <w:r w:rsidRPr="002939F8">
        <w:rPr>
          <w:rFonts w:eastAsia="Times New Roman"/>
        </w:rPr>
        <w:t xml:space="preserve">lub osobami upoważnionymi do zaciągania zobowiązań w imieniu Zamawiającego tj. </w:t>
      </w:r>
      <w:r w:rsidRPr="002939F8">
        <w:t xml:space="preserve">Wyższej Szkoły Bankowej we Wrocławiu </w:t>
      </w:r>
      <w:r w:rsidRPr="002939F8">
        <w:rPr>
          <w:rFonts w:eastAsia="Times New Roman"/>
        </w:rPr>
        <w:t xml:space="preserve">lub osobami wykonującymi w imieniu Zamawiającego tj. </w:t>
      </w:r>
      <w:r w:rsidRPr="002939F8">
        <w:t xml:space="preserve">Wyższej Szkoły Bankowej we Wrocławiu </w:t>
      </w:r>
      <w:r w:rsidRPr="002939F8">
        <w:rPr>
          <w:rFonts w:eastAsia="Times New Roman"/>
        </w:rPr>
        <w:t>czynności związanych z przeprowadzeniem procedury wyboru Wykonawcy a Wykonawcą, polegające w szczególności na:</w:t>
      </w:r>
    </w:p>
    <w:p w14:paraId="4A848F76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</w:pPr>
      <w:r w:rsidRPr="002939F8">
        <w:rPr>
          <w:rFonts w:eastAsia="Times New Roman"/>
        </w:rPr>
        <w:t xml:space="preserve"> uczestniczeniu w spółce jako wspólnik spółki cywilnej lub spółki osobowej,</w:t>
      </w:r>
    </w:p>
    <w:p w14:paraId="5A807E8D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> posiadaniu co najmniej 10% udziałów lub akcji,</w:t>
      </w:r>
    </w:p>
    <w:p w14:paraId="0E83DB84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 pełnieniu funkcji członka organu nadzorczego lub zarządzającego, prokurenta, </w:t>
      </w:r>
      <w:r w:rsidRPr="002939F8">
        <w:rPr>
          <w:rFonts w:eastAsia="Times New Roman"/>
        </w:rPr>
        <w:br/>
        <w:t xml:space="preserve"> pełnomocnika, </w:t>
      </w:r>
    </w:p>
    <w:p w14:paraId="738906D4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 pozostawaniu w związku małżeńskim, w stosunku pokrewieństwa lub powinowactwa </w:t>
      </w:r>
      <w:r w:rsidRPr="002939F8">
        <w:rPr>
          <w:rFonts w:eastAsia="Times New Roman"/>
        </w:rPr>
        <w:br/>
        <w:t xml:space="preserve">w linii prostej, pokrewieństwa drugiego stopnia lub powinowactwa drugiego stopnia </w:t>
      </w:r>
      <w:r w:rsidRPr="002939F8">
        <w:rPr>
          <w:rFonts w:eastAsia="Times New Roman"/>
        </w:rPr>
        <w:br/>
        <w:t>w linii bocznej lub w stosunku przysposobienia, opieki lub kurateli.</w:t>
      </w:r>
    </w:p>
    <w:p w14:paraId="6AD7F5D7" w14:textId="77777777" w:rsidR="00E02422" w:rsidRPr="002939F8" w:rsidRDefault="00E02422" w:rsidP="00E02422">
      <w:pPr>
        <w:spacing w:after="0"/>
        <w:jc w:val="both"/>
        <w:rPr>
          <w:rFonts w:eastAsia="Times New Roman"/>
        </w:rPr>
      </w:pPr>
    </w:p>
    <w:p w14:paraId="79FF18A3" w14:textId="58BEF645" w:rsidR="00E02422" w:rsidRPr="002939F8" w:rsidRDefault="00E02422" w:rsidP="00E02422">
      <w:pPr>
        <w:pStyle w:val="Akapitzlist"/>
        <w:spacing w:after="0"/>
        <w:ind w:left="567"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Potwierdzeniem spełnienia ww. warunku będzie złożenie przez Wykonawcę podpisanego oświadczenia zawartego w załączniku nr 2 do niniejszego Zapytania Ofertowego. </w:t>
      </w:r>
    </w:p>
    <w:p w14:paraId="42F109E0" w14:textId="29DD270A" w:rsidR="0023135F" w:rsidRPr="002939F8" w:rsidRDefault="0023135F" w:rsidP="00603B96">
      <w:pPr>
        <w:spacing w:after="0" w:line="240" w:lineRule="auto"/>
        <w:ind w:left="646"/>
        <w:jc w:val="both"/>
      </w:pPr>
    </w:p>
    <w:p w14:paraId="3414B6CF" w14:textId="77777777" w:rsidR="0023135F" w:rsidRPr="002939F8" w:rsidRDefault="0023135F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B73339A" w14:textId="3B167698" w:rsid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67D07817" w14:textId="77777777" w:rsidR="002939F8" w:rsidRP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19B5F446" w14:textId="1ABE23E1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Lista Dokumentów wymaganych od Wykonawcy </w:t>
      </w:r>
    </w:p>
    <w:p w14:paraId="7468E96F" w14:textId="77777777" w:rsidR="0023135F" w:rsidRPr="002939F8" w:rsidRDefault="0023135F" w:rsidP="00603B96">
      <w:pPr>
        <w:spacing w:after="0" w:line="240" w:lineRule="auto"/>
        <w:jc w:val="both"/>
      </w:pPr>
    </w:p>
    <w:p w14:paraId="77D03684" w14:textId="7108E2F8" w:rsidR="0023135F" w:rsidRPr="002939F8" w:rsidRDefault="00CB7D9F" w:rsidP="00CB7D9F">
      <w:pPr>
        <w:spacing w:after="0" w:line="240" w:lineRule="auto"/>
        <w:ind w:left="567"/>
        <w:jc w:val="both"/>
      </w:pPr>
      <w:r w:rsidRPr="002939F8">
        <w:t xml:space="preserve">8.1. </w:t>
      </w:r>
      <w:r w:rsidR="00621B40" w:rsidRPr="002939F8">
        <w:t xml:space="preserve">Lista Dokumentów, które Wykonawca zobowiązany jest złożyć w odpowiedzi na </w:t>
      </w:r>
      <w:r w:rsidR="00A13AAF" w:rsidRPr="002939F8">
        <w:t>Zapytanie Ofertowe</w:t>
      </w:r>
      <w:r w:rsidR="00621B40" w:rsidRPr="002939F8">
        <w:t>:</w:t>
      </w:r>
    </w:p>
    <w:p w14:paraId="09C85513" w14:textId="77777777" w:rsidR="0023135F" w:rsidRPr="002939F8" w:rsidRDefault="0023135F" w:rsidP="00CB7D9F">
      <w:pPr>
        <w:spacing w:after="0" w:line="240" w:lineRule="auto"/>
        <w:jc w:val="both"/>
      </w:pPr>
    </w:p>
    <w:p w14:paraId="65747BC3" w14:textId="3E556DAF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1  do </w:t>
      </w:r>
      <w:r w:rsidR="00BC2405" w:rsidRPr="002939F8">
        <w:t xml:space="preserve">Zapytania Ofertowego </w:t>
      </w:r>
      <w:r w:rsidRPr="002939F8">
        <w:t xml:space="preserve">nr </w:t>
      </w:r>
      <w:r w:rsidR="005417EB" w:rsidRPr="002939F8">
        <w:rPr>
          <w:rStyle w:val="Hyperlink1"/>
        </w:rPr>
        <w:t>Z204_</w:t>
      </w:r>
      <w:r w:rsidR="005417EB">
        <w:rPr>
          <w:rStyle w:val="Hyperlink1"/>
        </w:rPr>
        <w:t>0</w:t>
      </w:r>
      <w:r w:rsidR="002A0C81">
        <w:rPr>
          <w:rStyle w:val="Hyperlink1"/>
        </w:rPr>
        <w:t>1/09/2022</w:t>
      </w:r>
      <w:r w:rsidR="005417EB" w:rsidRPr="002939F8">
        <w:rPr>
          <w:rStyle w:val="Hyperlink1"/>
        </w:rPr>
        <w:t>/</w:t>
      </w:r>
      <w:r w:rsidR="000C130E">
        <w:rPr>
          <w:rStyle w:val="Hyperlink1"/>
        </w:rPr>
        <w:t>75</w:t>
      </w:r>
      <w:r w:rsidR="005417EB" w:rsidRPr="002939F8">
        <w:rPr>
          <w:rStyle w:val="Hyperlink1"/>
        </w:rPr>
        <w:t xml:space="preserve">/KWC/Z </w:t>
      </w:r>
      <w:r w:rsidR="00E52DA4" w:rsidRPr="002939F8">
        <w:rPr>
          <w:rStyle w:val="Hyperlink1"/>
        </w:rPr>
        <w:t>– Formularz Oferty</w:t>
      </w:r>
      <w:r w:rsidR="00BC2405" w:rsidRPr="002939F8">
        <w:rPr>
          <w:b/>
          <w:color w:val="auto"/>
          <w:bdr w:val="none" w:sz="0" w:space="0" w:color="auto"/>
        </w:rPr>
        <w:t xml:space="preserve"> </w:t>
      </w:r>
      <w:r w:rsidRPr="002939F8">
        <w:t>– wypełniony i podpisany przez Wykonawcę lub osobę/osoby upoważnione do reprezentacji Wykonawcy.</w:t>
      </w:r>
    </w:p>
    <w:p w14:paraId="40BCDB14" w14:textId="039E3B1E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2 do </w:t>
      </w:r>
      <w:r w:rsidR="00BC2405" w:rsidRPr="002939F8">
        <w:t xml:space="preserve">Zapytania Ofertowego </w:t>
      </w:r>
      <w:r w:rsidRPr="002939F8">
        <w:t xml:space="preserve">nr </w:t>
      </w:r>
      <w:r w:rsidR="005417EB" w:rsidRPr="002939F8">
        <w:rPr>
          <w:rStyle w:val="Hyperlink1"/>
        </w:rPr>
        <w:t>Z204_</w:t>
      </w:r>
      <w:r w:rsidR="002A0C81">
        <w:rPr>
          <w:rStyle w:val="Hyperlink1"/>
        </w:rPr>
        <w:t>01/09/2022</w:t>
      </w:r>
      <w:r w:rsidR="005417EB" w:rsidRPr="002939F8">
        <w:rPr>
          <w:rStyle w:val="Hyperlink1"/>
        </w:rPr>
        <w:t>/</w:t>
      </w:r>
      <w:r w:rsidR="000C130E">
        <w:rPr>
          <w:rStyle w:val="Hyperlink1"/>
        </w:rPr>
        <w:t>7</w:t>
      </w:r>
      <w:r w:rsidR="005417EB">
        <w:rPr>
          <w:rStyle w:val="Hyperlink1"/>
        </w:rPr>
        <w:t>5</w:t>
      </w:r>
      <w:r w:rsidR="005417EB" w:rsidRPr="002939F8">
        <w:rPr>
          <w:rStyle w:val="Hyperlink1"/>
        </w:rPr>
        <w:t>/KWC/Z</w:t>
      </w:r>
      <w:r w:rsidR="005417EB" w:rsidRPr="002939F8">
        <w:t xml:space="preserve"> </w:t>
      </w:r>
      <w:r w:rsidRPr="002939F8">
        <w:t xml:space="preserve">– </w:t>
      </w:r>
      <w:r w:rsidRPr="002939F8">
        <w:rPr>
          <w:rStyle w:val="Hyperlink1"/>
        </w:rPr>
        <w:t xml:space="preserve">Oświadczenie o braku wzajemnych powiązań kapitałowych lub osobowych Wykonawcy i Zamawiającego </w:t>
      </w:r>
      <w:r w:rsidRPr="002939F8">
        <w:t>- wypełniony i podpisany przez Wykonawcę lub osobę/osoby upoważnione do reprezentacji Wykonawcy.</w:t>
      </w:r>
    </w:p>
    <w:p w14:paraId="282D760B" w14:textId="10868C36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>Dokumenty potwierdzające uprawnienia osób do podpisania oferty, jeżeli nie wynika to z dokumentów rejestrowych</w:t>
      </w:r>
      <w:r w:rsidR="00CB739F" w:rsidRPr="002939F8">
        <w:t>.</w:t>
      </w:r>
    </w:p>
    <w:p w14:paraId="14BDAFF0" w14:textId="24EFB7B1" w:rsidR="00CB7D9F" w:rsidRPr="002939F8" w:rsidRDefault="00CB7D9F" w:rsidP="00B52880">
      <w:pPr>
        <w:spacing w:after="0" w:line="240" w:lineRule="auto"/>
        <w:ind w:left="207"/>
        <w:jc w:val="both"/>
      </w:pPr>
    </w:p>
    <w:p w14:paraId="75C96C48" w14:textId="7DC0CC21" w:rsidR="00E02422" w:rsidRPr="002939F8" w:rsidRDefault="00E02422" w:rsidP="00E02422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contextualSpacing/>
        <w:jc w:val="both"/>
      </w:pPr>
      <w:r w:rsidRPr="002939F8">
        <w:t>Zamawiający wezwie Wykonawców, którzy w określonym terminie nie złożyli wymaganych przez Zamawiającego w punkcie 8.1 w podpunktach b), c), oświadczeń i dokumentów, lub którzy nie złożyli pełnomocnictw, albo, którzy złożyli wymagane oświadczenia i dokumenty zawierające błędy lub którzy złożyli wadliwe pełnomocnictwa, do ich złożenia w wyznaczonym terminie, chyba, że oferta będzie podlegała odrzuceniu lub postępowanie będzie podlegało unieważnieniu..</w:t>
      </w:r>
    </w:p>
    <w:p w14:paraId="6CE83EE3" w14:textId="17B11EDA" w:rsidR="00CB7D9F" w:rsidRPr="002939F8" w:rsidRDefault="00CB7D9F" w:rsidP="00CB7D9F">
      <w:pPr>
        <w:spacing w:after="0" w:line="240" w:lineRule="auto"/>
        <w:ind w:firstLine="708"/>
        <w:jc w:val="both"/>
      </w:pPr>
    </w:p>
    <w:p w14:paraId="24C16F2C" w14:textId="77777777" w:rsidR="00CB7D9F" w:rsidRPr="002939F8" w:rsidRDefault="00CB7D9F" w:rsidP="00CB7D9F">
      <w:pPr>
        <w:spacing w:after="0" w:line="240" w:lineRule="auto"/>
        <w:jc w:val="both"/>
      </w:pPr>
    </w:p>
    <w:p w14:paraId="73164D6C" w14:textId="77777777" w:rsidR="0023135F" w:rsidRPr="002939F8" w:rsidRDefault="0023135F" w:rsidP="00603B96">
      <w:pPr>
        <w:spacing w:after="0" w:line="240" w:lineRule="auto"/>
        <w:ind w:left="720"/>
        <w:jc w:val="both"/>
      </w:pPr>
    </w:p>
    <w:p w14:paraId="39A528BD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Sposób przygotowania i składania ofert</w:t>
      </w:r>
    </w:p>
    <w:p w14:paraId="1018A1EC" w14:textId="77777777" w:rsidR="0007570B" w:rsidRPr="002939F8" w:rsidRDefault="0007570B" w:rsidP="00603B96">
      <w:pPr>
        <w:spacing w:after="0" w:line="240" w:lineRule="auto"/>
        <w:jc w:val="both"/>
        <w:rPr>
          <w:b/>
          <w:bCs/>
        </w:rPr>
      </w:pPr>
    </w:p>
    <w:p w14:paraId="2723A9F9" w14:textId="0AA19E6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lastRenderedPageBreak/>
        <w:t xml:space="preserve">Językiem obowiązującym podczas całego przebiegu postępowania jest wyłącznie język polski.  Oferta oraz wszelkie oświadczenia lub dokumenty składane przez Wykonawców muszą być sporządzone w języku polskim lub przetłumaczone przez Wykonawcę na język polski. Jeśli Wykonawca składa oświadczenia lub dokumenty sporządzone w języku obcym, musi załączyć je w oryginalnym brzmieniu wraz z ich tłumaczeniem na język polski. W razie wątpliwości pomiędzy wersją obcojęzyczną i wersją polskojęzyczną uznaje się, iż wersja polskojęzyczna jest wersją wiążącą. </w:t>
      </w:r>
    </w:p>
    <w:p w14:paraId="1E3C6CD5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0F27EF47" w14:textId="65D7128E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Oferta oraz każdy inny dokument lub oświadczenie składane w postępowaniu muszą być czytelne i zapisane techniką nieścieralną. W przypadku, gdy oświadczenie lub dokument będą nieczytelne Zamawiający wezwie Wykonawcę do ich uzupełnienia lub złożenia wyjaśnień co do ich treści.</w:t>
      </w:r>
    </w:p>
    <w:p w14:paraId="0A1321FE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720"/>
        <w:jc w:val="both"/>
      </w:pPr>
    </w:p>
    <w:p w14:paraId="1B0BC908" w14:textId="1DEA3B93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Wykonawca może wskazać w treści oferty informacje stanowiące tajemnice przedsiębiorstwa w rozumieniu przepisów Ustawy o zwalczaniu nieuczciwej konkurencji. W tym celu zobowiązany jest do złożenia dodatkowego oświadczenia wskazującego, które informacje w ofercie stanowią tajemnice przedsiębiorstwa. Wykonawca nie może zastrzec tajemnicą przedsiębiorstwa informacji zawartych w formularzu oferty.</w:t>
      </w:r>
    </w:p>
    <w:p w14:paraId="2E2BF922" w14:textId="77777777" w:rsidR="00E02422" w:rsidRPr="002939F8" w:rsidRDefault="00E02422" w:rsidP="00E02422">
      <w:pPr>
        <w:spacing w:after="0" w:line="240" w:lineRule="auto"/>
        <w:ind w:left="360"/>
        <w:jc w:val="both"/>
      </w:pPr>
    </w:p>
    <w:p w14:paraId="6801588A" w14:textId="2D1C021D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Wykonawca może złożyć tylko jedną ofertę z ceną, wypełnioną w języku polskim w postaci Dokumentów wskazanych w punkcie 8. Zapytania ofertowego. Dokumenty należy wydrukować w kolorze.</w:t>
      </w:r>
    </w:p>
    <w:p w14:paraId="16AE9DC2" w14:textId="77777777" w:rsidR="00E02422" w:rsidRPr="002939F8" w:rsidRDefault="00E02422" w:rsidP="00E02422">
      <w:pPr>
        <w:spacing w:after="0" w:line="240" w:lineRule="auto"/>
        <w:ind w:left="720"/>
        <w:jc w:val="both"/>
      </w:pPr>
    </w:p>
    <w:p w14:paraId="43E6E1C2" w14:textId="56A569BC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Cena oferty musi uwzględniać wszystkie wymagania niniejszego zapytania ofertowego oraz obejmować wszelkie koszty, jakie poniesie Wykonawca z tytułu należytej oraz zgodnej z obowiązującymi przepisami realizacji przedmiotu zamówienia (w tym </w:t>
      </w:r>
      <w:r w:rsidRPr="002939F8">
        <w:rPr>
          <w:spacing w:val="-4"/>
        </w:rPr>
        <w:t>koszty uzyskania odbioru dźwigu przez Urząd Dozoru Technicznego i dopuszczenia do użytkowania)</w:t>
      </w:r>
      <w:r w:rsidRPr="002939F8">
        <w:t>, choćby zmieniły się koszty poszczególnych jego składników. Oznacza to, że Wykonawca skalkulował wszystkie potencjalne ryzyka, jakie mogą wystąpić przy realizacji przedmiotu umowy oraz że przewidział właściwą organizację dla bezpiecznego, poprawnego i terminowego zrealizowania przez Wykonawcę zakresu rzeczowego przedmiotu umowy. </w:t>
      </w:r>
    </w:p>
    <w:p w14:paraId="0B6FB7DB" w14:textId="77777777" w:rsidR="00E02422" w:rsidRPr="002939F8" w:rsidRDefault="00E02422" w:rsidP="00E02422">
      <w:pPr>
        <w:pStyle w:val="Akapitzlist"/>
        <w:spacing w:after="0" w:line="240" w:lineRule="auto"/>
      </w:pPr>
    </w:p>
    <w:p w14:paraId="57ED0102" w14:textId="6B7991D0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Cena podana w ofercie ma charakter ryczałtowy. Musi być ona ceną kompletną, jednoznaczną i ostateczną oraz musi stanowić całkowite wynagrodzenie Wykonawcy za wykonywanie obowiązków umownych w pełnym zakresie. Podana w ofercie cena musi uwzględniać wszystkie wymagania niniejszego zapytania ofertowego i pełen zakres prac i usług określonych w dokumentacji projektowej oraz obejmować wszelkie koszty, jakie poniesie Wykonawca z tytułu należytej oraz zgodnej z obowiązującymi przepisami realizacji przedmiotu zamówienia. Podstawą obliczenia ceny jest dokumentacja projektowa i inne wytyczne określone w zapytaniu ofertowym oraz ustalenia Wykonawcy wynikające z wizji lokalnej obiektu. </w:t>
      </w:r>
    </w:p>
    <w:p w14:paraId="3A4C8943" w14:textId="77777777" w:rsidR="00E02422" w:rsidRPr="002939F8" w:rsidRDefault="00E02422" w:rsidP="00E02422">
      <w:pPr>
        <w:shd w:val="clear" w:color="auto" w:fill="FFFFFF"/>
        <w:spacing w:after="0" w:line="240" w:lineRule="auto"/>
        <w:ind w:left="360"/>
        <w:jc w:val="both"/>
      </w:pPr>
    </w:p>
    <w:p w14:paraId="253A9985" w14:textId="7E988161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Wszystkie wartości cenowe w ramach niniejszego postępowania mają być określone w złotych polskich (PLN) z dokładnością do dwóch miejsc po przecinku, jeżeli obliczana cena ma więcej miejsc po przecinku należy ją zaokrąglić w ten sposób, że cyfry od 1 do 4 należy zaokrąglić w dół, natomiast cyfry od 5 do 9 należy zaokrąglić w górę.</w:t>
      </w:r>
    </w:p>
    <w:p w14:paraId="54205669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779FE4D7" w14:textId="21DED70F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Ceny oferty muszą być podane cyfrowo. Ceny jednostkowe wskazane przez Wykonawcę w Formularzu oferty muszą być podane cyfrowo.</w:t>
      </w:r>
    </w:p>
    <w:p w14:paraId="4C1AFF1F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42BA1B35" w14:textId="3BF5B316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Jeżeli cena oferty, w tym również cena jednostkowa, wydaje się rażąco niska w stosunku do przedmiotu zamówienia i budzi wątpliwości Zamawiającego co do możliwości wykonania </w:t>
      </w:r>
      <w:r w:rsidRPr="002939F8">
        <w:lastRenderedPageBreak/>
        <w:t>przedmiotu zamówienia zgodnie z wymaganiami określonymi przez Zamawiającego lub wynikającymi z odrębnych przepisów, Zamawiający może zwrócić się do Wykonawcy o udzielenie wyjaśnień, w tym złożenie dowodów, dotyczących elementów oferty mających wpływ na wysokość ceny.</w:t>
      </w:r>
    </w:p>
    <w:p w14:paraId="78B29D03" w14:textId="77777777" w:rsidR="00E02422" w:rsidRPr="002939F8" w:rsidRDefault="00E02422" w:rsidP="00E02422">
      <w:pPr>
        <w:spacing w:after="0" w:line="240" w:lineRule="auto"/>
        <w:jc w:val="both"/>
      </w:pPr>
    </w:p>
    <w:p w14:paraId="773E7758" w14:textId="6A396C7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Wykonawca ponosi wszelkie koszty związane z przygotowaniem i złożeniem oferty. Zamawiający nie przewiduje zwrotu kosztów udziału w postępowaniu. Ofertę zatrzymuje Zamawiający. </w:t>
      </w:r>
    </w:p>
    <w:p w14:paraId="32756388" w14:textId="77777777" w:rsidR="00E02422" w:rsidRPr="002939F8" w:rsidRDefault="00E02422" w:rsidP="00E02422">
      <w:pPr>
        <w:spacing w:after="0" w:line="240" w:lineRule="auto"/>
        <w:ind w:left="567" w:hanging="720"/>
        <w:jc w:val="both"/>
      </w:pPr>
    </w:p>
    <w:p w14:paraId="5C7815EC" w14:textId="53284695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Zamawiający dokonuje oceny formalnej ofert i wyłania oferty, które nie podlegają odrzuceniu, wykluczeniu i spełniają wymogi formalne Zamawiającego.</w:t>
      </w:r>
    </w:p>
    <w:p w14:paraId="05EDDD73" w14:textId="77777777" w:rsidR="00E02422" w:rsidRPr="002939F8" w:rsidRDefault="00E02422" w:rsidP="00E02422">
      <w:pPr>
        <w:pStyle w:val="Akapitzlist"/>
      </w:pPr>
    </w:p>
    <w:p w14:paraId="09D2FC28" w14:textId="77777777" w:rsidR="00773B04" w:rsidRDefault="00E02422" w:rsidP="00773B0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b/>
          <w:color w:val="FF0000"/>
        </w:rPr>
      </w:pPr>
      <w:r w:rsidRPr="002939F8">
        <w:rPr>
          <w:b/>
          <w:color w:val="FF0000"/>
        </w:rPr>
        <w:t xml:space="preserve">Skany dokumentów wskazanych w punkcie 8. Zapytania ofertowego (Formularz oferty wraz z załącznikami i innymi dokumentami) należy złożyć w Bazie Konkurencyjności </w:t>
      </w:r>
      <w:hyperlink r:id="rId8" w:history="1">
        <w:r w:rsidRPr="002939F8">
          <w:rPr>
            <w:rStyle w:val="Hipercze"/>
          </w:rPr>
          <w:t>https://bazakonkurencyjnosci.funduszeeuropejskie.gov.pl/</w:t>
        </w:r>
      </w:hyperlink>
      <w:r w:rsidRPr="002939F8">
        <w:rPr>
          <w:b/>
          <w:color w:val="00B0F0"/>
        </w:rPr>
        <w:t xml:space="preserve"> </w:t>
      </w:r>
      <w:r w:rsidRPr="002939F8">
        <w:rPr>
          <w:b/>
          <w:color w:val="FF0000"/>
        </w:rPr>
        <w:t xml:space="preserve">zgodnie z Instrukcją Użytkownika aplikacji BK21 znajdującą się na stronie: </w:t>
      </w:r>
    </w:p>
    <w:p w14:paraId="115528AC" w14:textId="027EFD99" w:rsidR="00E02422" w:rsidRPr="00773B04" w:rsidRDefault="002A0C81" w:rsidP="00773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b/>
          <w:color w:val="FF0000"/>
        </w:rPr>
      </w:pPr>
      <w:hyperlink r:id="rId9" w:history="1">
        <w:r w:rsidR="000C130E" w:rsidRPr="0055732D">
          <w:rPr>
            <w:rStyle w:val="Hipercze"/>
          </w:rPr>
          <w:t>https://archiwum-bazakonkurencyjnosci.funduszeeuropejskie.gov.pl/file/download/1537459</w:t>
        </w:r>
      </w:hyperlink>
      <w:r w:rsidR="000C130E">
        <w:t xml:space="preserve"> </w:t>
      </w:r>
      <w:r w:rsidR="00E02422" w:rsidRPr="00773B04">
        <w:rPr>
          <w:b/>
          <w:color w:val="FF0000"/>
        </w:rPr>
        <w:t xml:space="preserve">do dnia </w:t>
      </w:r>
      <w:r>
        <w:rPr>
          <w:b/>
          <w:color w:val="FF0000"/>
          <w:u w:val="single"/>
        </w:rPr>
        <w:t>30.09.2022</w:t>
      </w:r>
      <w:r w:rsidR="00E02422" w:rsidRPr="00773B04">
        <w:rPr>
          <w:b/>
          <w:color w:val="FF0000"/>
          <w:u w:val="single"/>
        </w:rPr>
        <w:t xml:space="preserve"> </w:t>
      </w:r>
      <w:r w:rsidR="00E02422" w:rsidRPr="00773B04">
        <w:rPr>
          <w:b/>
          <w:color w:val="FF0000"/>
        </w:rPr>
        <w:t>roku.</w:t>
      </w:r>
    </w:p>
    <w:p w14:paraId="0B060230" w14:textId="77777777" w:rsidR="00E02422" w:rsidRPr="002939F8" w:rsidRDefault="00E02422" w:rsidP="00E02422">
      <w:pPr>
        <w:pStyle w:val="Akapitzlist"/>
        <w:spacing w:after="0" w:line="240" w:lineRule="auto"/>
        <w:jc w:val="both"/>
        <w:rPr>
          <w:b/>
          <w:color w:val="FF0000"/>
        </w:rPr>
      </w:pPr>
    </w:p>
    <w:p w14:paraId="008EABA8" w14:textId="69089D5A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b/>
          <w:color w:val="FF0000"/>
        </w:rPr>
      </w:pPr>
      <w:r w:rsidRPr="002939F8">
        <w:rPr>
          <w:rFonts w:eastAsia="Times New Roman"/>
          <w:b/>
          <w:color w:val="FF0000"/>
        </w:rPr>
        <w:t xml:space="preserve">Jeżeli z powodu błędu w działaniu Bazy Konkurencyjności nie będzie możliwe złożenie oferty, należy w terminie wskazanym wyżej, wysłać skan oferty (wraz w wymaganymi dokumentami wskazanymi w punkcie 8.1) na maila </w:t>
      </w:r>
      <w:hyperlink r:id="rId10" w:history="1">
        <w:r w:rsidR="00773B04" w:rsidRPr="007D4E37">
          <w:rPr>
            <w:rStyle w:val="Hipercze"/>
            <w:rFonts w:eastAsia="Times New Roman"/>
            <w:b/>
          </w:rPr>
          <w:t>katarzyna.wasiluk-cieluch@wsb.wroclaw.pl</w:t>
        </w:r>
      </w:hyperlink>
      <w:r w:rsidRPr="002939F8">
        <w:rPr>
          <w:rFonts w:eastAsia="Times New Roman"/>
          <w:b/>
          <w:color w:val="FF0000"/>
        </w:rPr>
        <w:t xml:space="preserve"> wraz ze zrzutem ekranu potwierdzającym problem techniczny Bazy Konkurencyjności.</w:t>
      </w:r>
    </w:p>
    <w:p w14:paraId="7C5BF2B1" w14:textId="33B83353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O zachowaniu terminu złożenia oferty decyduje złożenie jej w Bazie Konkurencyjności. Oferty złożone po wyznaczonym terminie nie będą rozpatrywane. Termin związania ofertą wynosi 60 dni od dnia wyznaczonego na złożenie oferty.  Zamawiający może zwrócić się z prośbą do Wykonawców o przedłużenie terminu związania ofertą o kolejne 30 dni. </w:t>
      </w:r>
    </w:p>
    <w:p w14:paraId="68EEC2E2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Ocena ofert </w:t>
      </w:r>
    </w:p>
    <w:p w14:paraId="7D5A6A16" w14:textId="77777777" w:rsidR="00E02422" w:rsidRPr="002939F8" w:rsidRDefault="00E02422" w:rsidP="00E02422">
      <w:pPr>
        <w:pStyle w:val="Akapitzlist"/>
        <w:spacing w:after="0"/>
        <w:ind w:left="0" w:firstLine="567"/>
      </w:pPr>
      <w:r w:rsidRPr="002939F8">
        <w:t>Otwarcie ofert ma charakter niejawny.</w:t>
      </w:r>
    </w:p>
    <w:p w14:paraId="10A4B9D1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1A794917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 xml:space="preserve">Zamawiający  dokona oceny złożonych ofert pod względem ich formalnej zgodności </w:t>
      </w:r>
      <w:r w:rsidRPr="002939F8">
        <w:br/>
        <w:t>z Zapytaniem Ofertowym.</w:t>
      </w:r>
    </w:p>
    <w:p w14:paraId="39F5B9BE" w14:textId="77777777" w:rsidR="00E02422" w:rsidRPr="002939F8" w:rsidRDefault="00E02422" w:rsidP="00E02422">
      <w:pPr>
        <w:pStyle w:val="Akapitzlist"/>
        <w:spacing w:after="0"/>
        <w:ind w:left="567"/>
      </w:pPr>
    </w:p>
    <w:p w14:paraId="22E38551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Oferta zostanie odrzucona, jeżeli:</w:t>
      </w:r>
    </w:p>
    <w:p w14:paraId="0D7E3F5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została złożona przez osobę nieuprawnioną,</w:t>
      </w:r>
    </w:p>
    <w:p w14:paraId="3F51521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jeżeli jej treść nie odpowiada treści Zapytania Ofertowego z zastrzeżeniem poniższych zapisów o poprawieniu oferty  lub jest niezgodna z innymi obowiązującymi w tym zakresie przepisami prawa,</w:t>
      </w:r>
    </w:p>
    <w:p w14:paraId="2DC7E406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 xml:space="preserve">jeżeli jej złożenie stanowi czyn nieuczciwej konkurencji w rozumieniu przepisów </w:t>
      </w:r>
      <w:r w:rsidRPr="002939F8">
        <w:br/>
        <w:t>o zwalczaniu nieuczciwej konkurencji,</w:t>
      </w:r>
    </w:p>
    <w:p w14:paraId="68838A93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rażąco niską cenę,</w:t>
      </w:r>
    </w:p>
    <w:p w14:paraId="196825C9" w14:textId="5893B6E5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Wykonawca nie zgodził się na poprawienie przez Zamawiającego w treści oferty oczywistej omyłki pisarskiej lub rachunkowej,</w:t>
      </w:r>
    </w:p>
    <w:p w14:paraId="561C7288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błędy w obliczeniu ceny.</w:t>
      </w:r>
    </w:p>
    <w:p w14:paraId="35DC4D3A" w14:textId="77777777" w:rsidR="00E02422" w:rsidRPr="002939F8" w:rsidRDefault="00E02422" w:rsidP="00E0242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28"/>
        <w:contextualSpacing/>
        <w:jc w:val="both"/>
      </w:pPr>
    </w:p>
    <w:p w14:paraId="45AB0F8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lastRenderedPageBreak/>
        <w:t>Z tytułu odrzucenia oferty Wykonawcy nie przysługują żadne roszczenia w stosunku do Zamawiającego.</w:t>
      </w:r>
    </w:p>
    <w:p w14:paraId="4E804B72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2ADB29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może, kontaktując się drogą mailową na adres wskazany w ofercie,  w toku badania i oceny oferty żądać od Wykonawców wyjaśnień dotyczących treści oferty bądź uzupełnienia braków formalnych oferty, wyznaczając Wykonawcy termin na ich uzupełnienie. W przypadku nieuzupełnienia oferty lub niezłożenia wyczerpujących wyjaśnień Zamawiający będzie uprawniony do odrzucenia oferty.</w:t>
      </w:r>
    </w:p>
    <w:p w14:paraId="34C9ADF3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382324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jest uprawniony do poprawienia w treści oferty oczywistych omyłek pisarskich lub rachunkowych, niezwłocznie zawiadamiając o tym Wykonawcę. W terminie jednego dnia roboczego od zawiadomienia Wykonawca może nie zgodzić się na dokonanie poprawek.</w:t>
      </w:r>
    </w:p>
    <w:p w14:paraId="23706E6E" w14:textId="77777777" w:rsidR="00956892" w:rsidRPr="002939F8" w:rsidRDefault="00956892" w:rsidP="00603B96">
      <w:pPr>
        <w:pStyle w:val="Akapitzlist"/>
        <w:spacing w:after="0" w:line="240" w:lineRule="auto"/>
        <w:ind w:left="567"/>
        <w:jc w:val="both"/>
      </w:pPr>
    </w:p>
    <w:p w14:paraId="2B493805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</w:rPr>
        <w:t xml:space="preserve">Kryteria oceny ofert  </w:t>
      </w:r>
    </w:p>
    <w:p w14:paraId="4098325E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Zamawiający dokona oceny ofert i wyboru najkorzystniejszych ofert jedynie spośród ofert niepodlegających odrzuceniu oraz złożonych przez Wykonawców niepodlegających wykluczeniu. </w:t>
      </w:r>
    </w:p>
    <w:p w14:paraId="29D10EFA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543843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rPr>
          <w:b/>
        </w:rPr>
        <w:t>Informacja o wagach punktowych i procentowych przypisanych do poszczególnych kryteriów oferty</w:t>
      </w:r>
    </w:p>
    <w:p w14:paraId="0D85EF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664557BC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 xml:space="preserve">Zamawiający będzie stosował następujące  kryteria oceny ofert: </w:t>
      </w:r>
    </w:p>
    <w:p w14:paraId="0D43A602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74464FA" w14:textId="77777777" w:rsidR="00E02422" w:rsidRPr="002939F8" w:rsidRDefault="00E02422" w:rsidP="00AE776E">
      <w:pPr>
        <w:pStyle w:val="Akapitzlist"/>
        <w:spacing w:after="0"/>
        <w:ind w:left="567"/>
      </w:pPr>
      <w:r w:rsidRPr="002939F8">
        <w:rPr>
          <w:b/>
        </w:rPr>
        <w:t>A</w:t>
      </w:r>
      <w:r w:rsidRPr="002939F8">
        <w:t xml:space="preserve"> – cena brutto za całość przedmiotu zamówienia wskazana w formularzu oferty – 100 pkt (100%)</w:t>
      </w:r>
    </w:p>
    <w:p w14:paraId="15E2CB40" w14:textId="77777777" w:rsidR="00E02422" w:rsidRPr="002939F8" w:rsidRDefault="00E02422" w:rsidP="00AE776E">
      <w:pPr>
        <w:pStyle w:val="Akapitzlist"/>
        <w:spacing w:after="0"/>
        <w:ind w:left="567"/>
      </w:pPr>
    </w:p>
    <w:p w14:paraId="389C169D" w14:textId="77777777" w:rsidR="00E02422" w:rsidRPr="002939F8" w:rsidRDefault="00E02422" w:rsidP="00AE776E">
      <w:pPr>
        <w:pStyle w:val="Akapitzlist"/>
        <w:tabs>
          <w:tab w:val="left" w:pos="993"/>
        </w:tabs>
        <w:spacing w:after="0"/>
        <w:ind w:left="567"/>
        <w:jc w:val="both"/>
      </w:pPr>
      <w:r w:rsidRPr="002939F8">
        <w:tab/>
        <w:t>Najwyższą liczbę punktów w kryterium najniższa cena tj. 100 otrzyma cena najniższa wśród cen zawartych w ofertach na wykonanie zamówienia.</w:t>
      </w:r>
    </w:p>
    <w:p w14:paraId="571C5FFF" w14:textId="77777777" w:rsidR="00E02422" w:rsidRPr="002939F8" w:rsidRDefault="00E02422" w:rsidP="00AE776E">
      <w:pPr>
        <w:spacing w:after="0"/>
        <w:jc w:val="both"/>
        <w:rPr>
          <w:b/>
        </w:rPr>
      </w:pPr>
      <w:r w:rsidRPr="002939F8">
        <w:rPr>
          <w:b/>
        </w:rPr>
        <w:t xml:space="preserve"> </w:t>
      </w:r>
    </w:p>
    <w:p w14:paraId="769BA71B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w:r w:rsidRPr="002939F8">
        <w:rPr>
          <w:b/>
        </w:rPr>
        <w:t xml:space="preserve">Liczba punktów (A) będzie obliczana wg następującego wzoru: </w:t>
      </w:r>
    </w:p>
    <w:p w14:paraId="4C669F1C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</w:p>
    <w:p w14:paraId="17F2C905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A=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najniższa wśród cen zawartych w ofertach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zawarta w ocenianej ofercie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x 100 pkt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14:paraId="5816821B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Łącznie możliwych do uzyskania jest 100 pkt (100%).</w:t>
      </w:r>
    </w:p>
    <w:p w14:paraId="728A35F9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B458E7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Punktacja przyznawana ofertom będzie liczona z dokładnością do dwóch miejsc po przecinku.</w:t>
      </w:r>
    </w:p>
    <w:p w14:paraId="767637A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040E64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  <w:r w:rsidRPr="002939F8">
        <w:rPr>
          <w:b/>
        </w:rPr>
        <w:t xml:space="preserve">Za najkorzystniejszą zostanie uznana oferta, która uzyska największą liczbę punktów (A). </w:t>
      </w:r>
    </w:p>
    <w:p w14:paraId="44CEA35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465CCB8C" w14:textId="1B69C523" w:rsidR="00E02422" w:rsidRPr="002939F8" w:rsidRDefault="00E02422" w:rsidP="00AE776E">
      <w:pPr>
        <w:pStyle w:val="Akapitzlist"/>
        <w:spacing w:line="240" w:lineRule="auto"/>
        <w:ind w:left="567"/>
        <w:jc w:val="both"/>
        <w:rPr>
          <w:b/>
          <w:color w:val="FF0000"/>
        </w:rPr>
      </w:pPr>
      <w:r w:rsidRPr="002939F8">
        <w:rPr>
          <w:b/>
          <w:color w:val="FF0000"/>
        </w:rPr>
        <w:t>Kryteria będą weryfikowane jedynie w oparciu o informacje zawarte w złożonym przez Zamawiającego w Bazie Konkurencyjności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 Cena wpisana w Bazie Konkurencyjności w polu o nazwie „Cena” oraz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 muszą być jednakowe, przy czym ceną, która zostanie uznana za wiążącą, będzie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</w:t>
      </w:r>
    </w:p>
    <w:p w14:paraId="70F98143" w14:textId="1C7CB007" w:rsidR="00E02422" w:rsidRPr="002939F8" w:rsidRDefault="00E02422" w:rsidP="00AE776E">
      <w:pPr>
        <w:pStyle w:val="Akapitzlist"/>
        <w:shd w:val="clear" w:color="auto" w:fill="FFFFFF"/>
        <w:spacing w:after="0" w:line="240" w:lineRule="auto"/>
        <w:ind w:left="567"/>
        <w:jc w:val="both"/>
        <w:rPr>
          <w:color w:val="767676"/>
        </w:rPr>
      </w:pPr>
      <w:r w:rsidRPr="002939F8">
        <w:t>Jeżeli nie można wybrać oferty najkorzystniejszej z uwagi na to, że dwie lub więcej of</w:t>
      </w:r>
      <w:r w:rsidR="00D27E01" w:rsidRPr="002939F8">
        <w:t xml:space="preserve">ert przedstawia taką samą liczbę </w:t>
      </w:r>
      <w:r w:rsidRPr="002939F8">
        <w:t xml:space="preserve">otrzymanych punktów, Zamawiający zwróci się do Wykonawców, </w:t>
      </w:r>
      <w:r w:rsidRPr="002939F8">
        <w:lastRenderedPageBreak/>
        <w:t xml:space="preserve">których </w:t>
      </w:r>
      <w:r w:rsidR="00D27E01" w:rsidRPr="002939F8">
        <w:t>oferty otrzymały taką samą liczbę</w:t>
      </w:r>
      <w:r w:rsidRPr="002939F8">
        <w:t xml:space="preserve"> punktów z pytaniem o możliwość obniżenia ceny. W takim przypadku Zamawiający wybierze ofertę, dla której zaproponowana obniżona cena będzie najniższa.</w:t>
      </w:r>
    </w:p>
    <w:p w14:paraId="2EE0EB84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05B7EA51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Jeżeli Wykonawca, którego oferta została wybrana, uchyli się od zawarcia umowy, Zamawiający może wybrać ofertę najkorzystniejszą spośród pozostałych ofert, bez przeprowadzania ich ponownej oceny.</w:t>
      </w:r>
    </w:p>
    <w:p w14:paraId="7BA4E436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FD3F40F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Kryteria będą weryfikowane w oparciu o informacje zawarte w złożonym przez Zamawiającego załączniku Formularz oferty.</w:t>
      </w:r>
    </w:p>
    <w:p w14:paraId="72F9726A" w14:textId="26AD0F88" w:rsidR="00A00902" w:rsidRPr="002939F8" w:rsidRDefault="008E060A" w:rsidP="00603B96">
      <w:pPr>
        <w:spacing w:after="0" w:line="240" w:lineRule="auto"/>
        <w:ind w:left="567"/>
        <w:jc w:val="both"/>
        <w:rPr>
          <w:rStyle w:val="Hyperlink1"/>
        </w:rPr>
      </w:pPr>
      <w:r w:rsidRPr="002939F8">
        <w:rPr>
          <w:rStyle w:val="Hyperlink1"/>
        </w:rPr>
        <w:t xml:space="preserve"> </w:t>
      </w:r>
    </w:p>
    <w:p w14:paraId="66A7503B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Wynik postępowania</w:t>
      </w:r>
    </w:p>
    <w:p w14:paraId="3BBDCDDC" w14:textId="77777777" w:rsidR="00956892" w:rsidRPr="002939F8" w:rsidRDefault="00956892" w:rsidP="00603B96">
      <w:pPr>
        <w:pStyle w:val="Akapitzlist"/>
        <w:spacing w:after="0"/>
        <w:jc w:val="both"/>
        <w:rPr>
          <w:b/>
          <w:bCs/>
        </w:rPr>
      </w:pPr>
    </w:p>
    <w:p w14:paraId="7B8F565F" w14:textId="77777777" w:rsidR="00956892" w:rsidRPr="002939F8" w:rsidRDefault="00956892" w:rsidP="00603B96">
      <w:pPr>
        <w:pStyle w:val="Akapitzlist"/>
        <w:spacing w:after="0"/>
        <w:ind w:left="567"/>
        <w:jc w:val="both"/>
      </w:pPr>
      <w:r w:rsidRPr="002939F8">
        <w:t xml:space="preserve">Informacja o wyniku postępowania zostanie umieszczona na stronie internetowej </w:t>
      </w:r>
      <w:r w:rsidRPr="002939F8">
        <w:rPr>
          <w:rStyle w:val="Hyperlink00"/>
        </w:rPr>
        <w:t>www.bazakonkurencyjności.funduszeeuropejskie.gov.pl</w:t>
      </w:r>
      <w:r w:rsidRPr="002939F8">
        <w:t xml:space="preserve"> </w:t>
      </w:r>
    </w:p>
    <w:p w14:paraId="44F1787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7EA7541A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Dodatkowe informacje</w:t>
      </w:r>
    </w:p>
    <w:p w14:paraId="745278B5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63D4A59F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color w:val="FF0000"/>
        </w:rPr>
      </w:pPr>
      <w:r w:rsidRPr="002939F8">
        <w:rPr>
          <w:color w:val="FF0000"/>
        </w:rPr>
        <w:t xml:space="preserve">Zamawiający dopuszcza możliwość zadawania pytań przez Wykonawców. </w:t>
      </w:r>
      <w:r w:rsidRPr="002939F8">
        <w:rPr>
          <w:b/>
          <w:color w:val="FF0000"/>
        </w:rPr>
        <w:t>Pytania mogą być zadawane tylko w Bazie Konkurencyjności</w:t>
      </w:r>
      <w:r w:rsidRPr="002939F8">
        <w:rPr>
          <w:color w:val="FF0000"/>
        </w:rPr>
        <w:t xml:space="preserve"> zgodnie z Instrukcją użytkownika aplikacji BK21 znajdującą się na stronie: </w:t>
      </w:r>
    </w:p>
    <w:p w14:paraId="6FE2BE25" w14:textId="2213C859" w:rsidR="00E02422" w:rsidRPr="002939F8" w:rsidRDefault="002A0C81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  <w:hyperlink r:id="rId11" w:history="1">
        <w:r w:rsidR="00E02422" w:rsidRPr="002939F8">
          <w:rPr>
            <w:rStyle w:val="Hipercze"/>
            <w:color w:val="FF0000"/>
          </w:rPr>
          <w:t>https://archiwum-bazakonkurencyjnosci.funduszeeuropejskie.gov.pl/info/web_instruction</w:t>
        </w:r>
      </w:hyperlink>
      <w:r w:rsidR="00E02422" w:rsidRPr="002939F8">
        <w:rPr>
          <w:color w:val="FF0000"/>
        </w:rPr>
        <w:t xml:space="preserve">, najpóźniej do dwóch dni roboczych przed zakończeniem terminu składania ofert, to jest do </w:t>
      </w:r>
      <w:r>
        <w:rPr>
          <w:b/>
          <w:color w:val="FF0000"/>
        </w:rPr>
        <w:t>27.09</w:t>
      </w:r>
      <w:r w:rsidR="00D27E01" w:rsidRPr="002939F8">
        <w:rPr>
          <w:b/>
          <w:color w:val="FF0000"/>
        </w:rPr>
        <w:t>.2021</w:t>
      </w:r>
      <w:r w:rsidR="00E02422" w:rsidRPr="002939F8">
        <w:rPr>
          <w:b/>
          <w:color w:val="FF0000"/>
        </w:rPr>
        <w:t xml:space="preserve"> r. </w:t>
      </w:r>
    </w:p>
    <w:p w14:paraId="68A5752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</w:p>
    <w:p w14:paraId="2E8CE9D5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Zamawiający nie będzie udzielał odpowiedzi na pytania przesłane po terminie oraz w inny sposób, niż wskazany wyżej.  </w:t>
      </w:r>
    </w:p>
    <w:p w14:paraId="6EF369D7" w14:textId="77777777" w:rsidR="00E02422" w:rsidRPr="002939F8" w:rsidRDefault="00E02422" w:rsidP="00E02422">
      <w:pPr>
        <w:spacing w:after="0" w:line="240" w:lineRule="auto"/>
        <w:ind w:left="567"/>
        <w:contextualSpacing/>
        <w:jc w:val="both"/>
      </w:pPr>
    </w:p>
    <w:p w14:paraId="58C63977" w14:textId="77777777" w:rsidR="00E02422" w:rsidRPr="002939F8" w:rsidRDefault="00E02422" w:rsidP="00E02422">
      <w:pPr>
        <w:spacing w:after="0" w:line="240" w:lineRule="auto"/>
        <w:ind w:left="567" w:hanging="720"/>
        <w:jc w:val="both"/>
        <w:rPr>
          <w:u w:val="single"/>
        </w:rPr>
      </w:pPr>
    </w:p>
    <w:p w14:paraId="47975D8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 xml:space="preserve">Zamawiający </w:t>
      </w:r>
      <w:r w:rsidRPr="002939F8">
        <w:rPr>
          <w:b/>
        </w:rPr>
        <w:t>nie dopuszcza</w:t>
      </w:r>
      <w:r w:rsidRPr="002939F8">
        <w:t xml:space="preserve"> składania ofert częściowych lub wariantowych.</w:t>
      </w:r>
    </w:p>
    <w:p w14:paraId="14ECC377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5A136C85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zastrzega sobie prawo do unieważnienia postępowania w całości lub części bez podania przyczyny na każdym etapie postępowania.</w:t>
      </w:r>
    </w:p>
    <w:p w14:paraId="3636FE50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76C70E4A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W związku z wykluczeniem Wykonawcy lub odrzuceniem jego oferty, Wykonawcy nie przysługują środki ochrony prawnej.</w:t>
      </w:r>
    </w:p>
    <w:p w14:paraId="4D7C14CF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2C3720A4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może wydłużyć termin składania ofert.</w:t>
      </w:r>
    </w:p>
    <w:p w14:paraId="315AFE2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AD4F0BE" w14:textId="77777777" w:rsidR="00956892" w:rsidRPr="002939F8" w:rsidRDefault="00956892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Załączniki do zapytania ofertowego</w:t>
      </w:r>
    </w:p>
    <w:p w14:paraId="262462F2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5CF4A10C" w14:textId="118762DB" w:rsidR="00956892" w:rsidRPr="002939F8" w:rsidRDefault="00956892" w:rsidP="00CB7D9F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1 do Zapytania Ofertowego nr </w:t>
      </w:r>
      <w:r w:rsidR="005417EB" w:rsidRPr="002939F8">
        <w:rPr>
          <w:rStyle w:val="Hyperlink1"/>
        </w:rPr>
        <w:t>Z204_</w:t>
      </w:r>
      <w:r w:rsidR="005417EB">
        <w:rPr>
          <w:rStyle w:val="Hyperlink1"/>
        </w:rPr>
        <w:t>0</w:t>
      </w:r>
      <w:r w:rsidR="000C130E">
        <w:rPr>
          <w:rStyle w:val="Hyperlink1"/>
        </w:rPr>
        <w:t>1</w:t>
      </w:r>
      <w:r w:rsidR="002A0C81">
        <w:rPr>
          <w:rStyle w:val="Hyperlink1"/>
        </w:rPr>
        <w:t>/09/2022</w:t>
      </w:r>
      <w:r w:rsidR="005417EB" w:rsidRPr="002939F8">
        <w:rPr>
          <w:rStyle w:val="Hyperlink1"/>
        </w:rPr>
        <w:t>/</w:t>
      </w:r>
      <w:r w:rsidR="003C7413">
        <w:rPr>
          <w:rStyle w:val="Hyperlink1"/>
        </w:rPr>
        <w:t>75</w:t>
      </w:r>
      <w:r w:rsidR="005417EB" w:rsidRPr="002939F8">
        <w:rPr>
          <w:rStyle w:val="Hyperlink1"/>
        </w:rPr>
        <w:t>/KWC/Z</w:t>
      </w:r>
      <w:r w:rsidR="007D5675" w:rsidRPr="002939F8">
        <w:t xml:space="preserve"> </w:t>
      </w:r>
      <w:r w:rsidR="00CB7D9F" w:rsidRPr="002939F8">
        <w:t>–</w:t>
      </w:r>
      <w:r w:rsidRPr="002939F8">
        <w:rPr>
          <w:rStyle w:val="Hyperlink1"/>
        </w:rPr>
        <w:t>Formularz oferty</w:t>
      </w:r>
      <w:r w:rsidRPr="002939F8">
        <w:t>.</w:t>
      </w:r>
    </w:p>
    <w:p w14:paraId="2FD33FF9" w14:textId="0E7AA80F" w:rsidR="00956892" w:rsidRPr="002939F8" w:rsidRDefault="00956892" w:rsidP="009C673C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2 do Zapytania Ofertowego nr </w:t>
      </w:r>
      <w:r w:rsidR="005417EB" w:rsidRPr="002939F8">
        <w:rPr>
          <w:rStyle w:val="Hyperlink1"/>
        </w:rPr>
        <w:t>Z204_</w:t>
      </w:r>
      <w:r w:rsidR="003C7413">
        <w:rPr>
          <w:rStyle w:val="Hyperlink1"/>
        </w:rPr>
        <w:t>01</w:t>
      </w:r>
      <w:r w:rsidR="002A0C81">
        <w:rPr>
          <w:rStyle w:val="Hyperlink1"/>
        </w:rPr>
        <w:t>/09/2022</w:t>
      </w:r>
      <w:bookmarkStart w:id="1" w:name="_GoBack"/>
      <w:bookmarkEnd w:id="1"/>
      <w:r w:rsidR="005417EB" w:rsidRPr="002939F8">
        <w:rPr>
          <w:rStyle w:val="Hyperlink1"/>
        </w:rPr>
        <w:t>/</w:t>
      </w:r>
      <w:r w:rsidR="003C7413">
        <w:rPr>
          <w:rStyle w:val="Hyperlink1"/>
        </w:rPr>
        <w:t>75</w:t>
      </w:r>
      <w:r w:rsidR="005417EB" w:rsidRPr="002939F8">
        <w:rPr>
          <w:rStyle w:val="Hyperlink1"/>
        </w:rPr>
        <w:t xml:space="preserve">/KWC/Z </w:t>
      </w:r>
      <w:r w:rsidR="007D5675">
        <w:rPr>
          <w:rStyle w:val="Hyperlink1"/>
        </w:rPr>
        <w:t xml:space="preserve"> </w:t>
      </w:r>
      <w:r w:rsidR="00D27E01" w:rsidRPr="002939F8">
        <w:t xml:space="preserve"> </w:t>
      </w:r>
      <w:r w:rsidRPr="002939F8">
        <w:t>-</w:t>
      </w:r>
      <w:r w:rsidR="00075AC1" w:rsidRPr="002939F8">
        <w:t xml:space="preserve"> </w:t>
      </w:r>
      <w:hyperlink r:id="rId12" w:history="1">
        <w:r w:rsidRPr="002939F8">
          <w:rPr>
            <w:rStyle w:val="Hyperlink1"/>
          </w:rPr>
          <w:t>Oświadczenie o</w:t>
        </w:r>
        <w:r w:rsidR="00075AC1" w:rsidRPr="002939F8">
          <w:rPr>
            <w:rStyle w:val="Hyperlink1"/>
          </w:rPr>
          <w:t> </w:t>
        </w:r>
        <w:r w:rsidRPr="002939F8">
          <w:rPr>
            <w:rStyle w:val="Hyperlink1"/>
          </w:rPr>
          <w:t>braku wzajemnych powiązań kapitałowych lub osobowych Wykonawcy i Zamawiającego.</w:t>
        </w:r>
      </w:hyperlink>
    </w:p>
    <w:sectPr w:rsidR="00956892" w:rsidRPr="002939F8">
      <w:headerReference w:type="default" r:id="rId13"/>
      <w:footerReference w:type="default" r:id="rId14"/>
      <w:pgSz w:w="11900" w:h="16840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5B4B" w14:textId="77777777" w:rsidR="00DF17B2" w:rsidRDefault="00DF17B2">
      <w:pPr>
        <w:spacing w:after="0" w:line="240" w:lineRule="auto"/>
      </w:pPr>
      <w:r>
        <w:separator/>
      </w:r>
    </w:p>
  </w:endnote>
  <w:endnote w:type="continuationSeparator" w:id="0">
    <w:p w14:paraId="4A223010" w14:textId="77777777" w:rsidR="00DF17B2" w:rsidRDefault="00DF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7CA0" w14:textId="57B95CD5" w:rsidR="0023135F" w:rsidRDefault="00621B40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A0C81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FB89" w14:textId="77777777" w:rsidR="00DF17B2" w:rsidRDefault="00DF17B2">
      <w:pPr>
        <w:spacing w:after="0" w:line="240" w:lineRule="auto"/>
      </w:pPr>
      <w:r>
        <w:separator/>
      </w:r>
    </w:p>
  </w:footnote>
  <w:footnote w:type="continuationSeparator" w:id="0">
    <w:p w14:paraId="124E1176" w14:textId="77777777" w:rsidR="00DF17B2" w:rsidRDefault="00DF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8322" w14:textId="77777777" w:rsidR="0023135F" w:rsidRDefault="00621B40">
    <w:pPr>
      <w:pStyle w:val="Nagwek"/>
      <w:tabs>
        <w:tab w:val="clear" w:pos="9072"/>
        <w:tab w:val="right" w:pos="9044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7CB1357" wp14:editId="14B1ACA0">
          <wp:simplePos x="0" y="0"/>
          <wp:positionH relativeFrom="page">
            <wp:posOffset>472439</wp:posOffset>
          </wp:positionH>
          <wp:positionV relativeFrom="page">
            <wp:posOffset>528955</wp:posOffset>
          </wp:positionV>
          <wp:extent cx="6802120" cy="619125"/>
          <wp:effectExtent l="0" t="0" r="0" b="0"/>
          <wp:wrapNone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2120" cy="619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3D"/>
    <w:multiLevelType w:val="multilevel"/>
    <w:tmpl w:val="DAB6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A66D7"/>
    <w:multiLevelType w:val="hybridMultilevel"/>
    <w:tmpl w:val="408A50F0"/>
    <w:styleLink w:val="Zaimportowanystyl4"/>
    <w:lvl w:ilvl="0" w:tplc="730E59F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A2FA08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64D8C">
      <w:start w:val="1"/>
      <w:numFmt w:val="lowerRoman"/>
      <w:lvlText w:val="%3."/>
      <w:lvlJc w:val="left"/>
      <w:pPr>
        <w:ind w:left="236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0147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881D3C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74CE68">
      <w:start w:val="1"/>
      <w:numFmt w:val="lowerRoman"/>
      <w:lvlText w:val="%6."/>
      <w:lvlJc w:val="left"/>
      <w:pPr>
        <w:ind w:left="452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B2DBB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CE235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0A7BC">
      <w:start w:val="1"/>
      <w:numFmt w:val="lowerRoman"/>
      <w:lvlText w:val="%9."/>
      <w:lvlJc w:val="left"/>
      <w:pPr>
        <w:ind w:left="668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F20D7A"/>
    <w:multiLevelType w:val="hybridMultilevel"/>
    <w:tmpl w:val="408A50F0"/>
    <w:numStyleLink w:val="Zaimportowanystyl4"/>
  </w:abstractNum>
  <w:abstractNum w:abstractNumId="3" w15:restartNumberingAfterBreak="0">
    <w:nsid w:val="0A8C5E28"/>
    <w:multiLevelType w:val="hybridMultilevel"/>
    <w:tmpl w:val="F69EA790"/>
    <w:styleLink w:val="Zaimportowanystyl14"/>
    <w:lvl w:ilvl="0" w:tplc="F0082524">
      <w:start w:val="1"/>
      <w:numFmt w:val="bullet"/>
      <w:lvlText w:val="·"/>
      <w:lvlJc w:val="left"/>
      <w:pPr>
        <w:tabs>
          <w:tab w:val="left" w:pos="2160"/>
        </w:tabs>
        <w:ind w:left="709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C62F50">
      <w:start w:val="1"/>
      <w:numFmt w:val="bullet"/>
      <w:lvlText w:val="o"/>
      <w:lvlJc w:val="left"/>
      <w:pPr>
        <w:tabs>
          <w:tab w:val="left" w:pos="2160"/>
        </w:tabs>
        <w:ind w:left="1429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566774">
      <w:start w:val="1"/>
      <w:numFmt w:val="bullet"/>
      <w:lvlText w:val="▪"/>
      <w:lvlJc w:val="left"/>
      <w:pPr>
        <w:tabs>
          <w:tab w:val="left" w:pos="2160"/>
        </w:tabs>
        <w:ind w:left="21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C88BE6">
      <w:start w:val="1"/>
      <w:numFmt w:val="bullet"/>
      <w:lvlText w:val="▪"/>
      <w:lvlJc w:val="left"/>
      <w:pPr>
        <w:ind w:left="28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CA108C">
      <w:start w:val="1"/>
      <w:numFmt w:val="bullet"/>
      <w:lvlText w:val="▪"/>
      <w:lvlJc w:val="left"/>
      <w:pPr>
        <w:ind w:left="358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CC5B4">
      <w:start w:val="1"/>
      <w:numFmt w:val="bullet"/>
      <w:lvlText w:val="▪"/>
      <w:lvlJc w:val="left"/>
      <w:pPr>
        <w:tabs>
          <w:tab w:val="left" w:pos="2160"/>
        </w:tabs>
        <w:ind w:left="430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3400F6">
      <w:start w:val="1"/>
      <w:numFmt w:val="bullet"/>
      <w:lvlText w:val="▪"/>
      <w:lvlJc w:val="left"/>
      <w:pPr>
        <w:tabs>
          <w:tab w:val="left" w:pos="2160"/>
        </w:tabs>
        <w:ind w:left="502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ACD9A">
      <w:start w:val="1"/>
      <w:numFmt w:val="bullet"/>
      <w:lvlText w:val="▪"/>
      <w:lvlJc w:val="left"/>
      <w:pPr>
        <w:tabs>
          <w:tab w:val="left" w:pos="2160"/>
        </w:tabs>
        <w:ind w:left="57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12EBC4">
      <w:start w:val="1"/>
      <w:numFmt w:val="bullet"/>
      <w:lvlText w:val="▪"/>
      <w:lvlJc w:val="left"/>
      <w:pPr>
        <w:tabs>
          <w:tab w:val="left" w:pos="2160"/>
        </w:tabs>
        <w:ind w:left="64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555D61"/>
    <w:multiLevelType w:val="multilevel"/>
    <w:tmpl w:val="4FF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721C6"/>
    <w:multiLevelType w:val="hybridMultilevel"/>
    <w:tmpl w:val="B798EF62"/>
    <w:styleLink w:val="Zaimportowanystyl3"/>
    <w:lvl w:ilvl="0" w:tplc="2EEC6946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C9D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ADF02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0905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BCA218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8A223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386AA0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FC592E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606A3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16163B"/>
    <w:multiLevelType w:val="hybridMultilevel"/>
    <w:tmpl w:val="00CE20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2E2205"/>
    <w:multiLevelType w:val="hybridMultilevel"/>
    <w:tmpl w:val="9B849398"/>
    <w:numStyleLink w:val="Zaimportowanystyl6"/>
  </w:abstractNum>
  <w:abstractNum w:abstractNumId="8" w15:restartNumberingAfterBreak="0">
    <w:nsid w:val="1C83078A"/>
    <w:multiLevelType w:val="multilevel"/>
    <w:tmpl w:val="5964AD1A"/>
    <w:styleLink w:val="Zaimportowany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23" w:hanging="1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05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083" w:hanging="20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3105B9A"/>
    <w:multiLevelType w:val="multilevel"/>
    <w:tmpl w:val="DDF6DB4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</w:abstractNum>
  <w:abstractNum w:abstractNumId="10" w15:restartNumberingAfterBreak="0">
    <w:nsid w:val="23E662AB"/>
    <w:multiLevelType w:val="hybridMultilevel"/>
    <w:tmpl w:val="E1A2AADA"/>
    <w:numStyleLink w:val="Zaimportowanystyl7"/>
  </w:abstractNum>
  <w:abstractNum w:abstractNumId="11" w15:restartNumberingAfterBreak="0">
    <w:nsid w:val="253C348A"/>
    <w:multiLevelType w:val="hybridMultilevel"/>
    <w:tmpl w:val="8D988774"/>
    <w:styleLink w:val="Zaimportowanystyl8"/>
    <w:lvl w:ilvl="0" w:tplc="F4AAA5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A8BF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FC0BF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DCCF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B3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0355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A86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BAA7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B803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923D35"/>
    <w:multiLevelType w:val="hybridMultilevel"/>
    <w:tmpl w:val="990E25F8"/>
    <w:styleLink w:val="Zaimportowanystyl13"/>
    <w:lvl w:ilvl="0" w:tplc="24E24C9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CE6496">
      <w:start w:val="1"/>
      <w:numFmt w:val="lowerLetter"/>
      <w:suff w:val="nothing"/>
      <w:lvlText w:val="%2)"/>
      <w:lvlJc w:val="left"/>
      <w:pPr>
        <w:ind w:left="1463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B2D206">
      <w:start w:val="1"/>
      <w:numFmt w:val="decimal"/>
      <w:lvlText w:val="%3."/>
      <w:lvlJc w:val="left"/>
      <w:pPr>
        <w:ind w:left="24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C2308C">
      <w:start w:val="1"/>
      <w:numFmt w:val="decimal"/>
      <w:lvlText w:val="%4."/>
      <w:lvlJc w:val="left"/>
      <w:pPr>
        <w:ind w:left="31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D0B3E8">
      <w:start w:val="1"/>
      <w:numFmt w:val="decimal"/>
      <w:lvlText w:val="%5."/>
      <w:lvlJc w:val="left"/>
      <w:pPr>
        <w:ind w:left="387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6AAC40">
      <w:start w:val="1"/>
      <w:numFmt w:val="decimal"/>
      <w:lvlText w:val="%6."/>
      <w:lvlJc w:val="left"/>
      <w:pPr>
        <w:ind w:left="45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801F6">
      <w:start w:val="1"/>
      <w:numFmt w:val="decimal"/>
      <w:lvlText w:val="%7."/>
      <w:lvlJc w:val="left"/>
      <w:pPr>
        <w:ind w:left="53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3A0DFA">
      <w:start w:val="1"/>
      <w:numFmt w:val="decimal"/>
      <w:lvlText w:val="%8."/>
      <w:lvlJc w:val="left"/>
      <w:pPr>
        <w:ind w:left="60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0CFDA6">
      <w:start w:val="1"/>
      <w:numFmt w:val="decimal"/>
      <w:lvlText w:val="%9."/>
      <w:lvlJc w:val="left"/>
      <w:pPr>
        <w:ind w:left="67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C5B4878"/>
    <w:multiLevelType w:val="hybridMultilevel"/>
    <w:tmpl w:val="E1A2AADA"/>
    <w:styleLink w:val="Zaimportowanystyl7"/>
    <w:lvl w:ilvl="0" w:tplc="0DE0A57E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EC9A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EE059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4C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E408D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2050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E8EF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14673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4C721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C6969CE"/>
    <w:multiLevelType w:val="hybridMultilevel"/>
    <w:tmpl w:val="9FB8E0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5D75"/>
    <w:multiLevelType w:val="hybridMultilevel"/>
    <w:tmpl w:val="390001AA"/>
    <w:styleLink w:val="Zaimportowanystyl50"/>
    <w:lvl w:ilvl="0" w:tplc="4F1EC3E2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CE578E">
      <w:start w:val="1"/>
      <w:numFmt w:val="bullet"/>
      <w:lvlText w:val="·"/>
      <w:lvlJc w:val="left"/>
      <w:pPr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24766E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44E0CE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4FF6A">
      <w:start w:val="1"/>
      <w:numFmt w:val="bullet"/>
      <w:lvlText w:val="·"/>
      <w:lvlJc w:val="left"/>
      <w:pPr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DAAF1A">
      <w:start w:val="1"/>
      <w:numFmt w:val="bullet"/>
      <w:lvlText w:val="·"/>
      <w:lvlJc w:val="left"/>
      <w:pPr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2E002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821448">
      <w:start w:val="1"/>
      <w:numFmt w:val="bullet"/>
      <w:lvlText w:val="·"/>
      <w:lvlJc w:val="left"/>
      <w:pPr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A2DD90">
      <w:start w:val="1"/>
      <w:numFmt w:val="bullet"/>
      <w:lvlText w:val="·"/>
      <w:lvlJc w:val="left"/>
      <w:pPr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11709EC"/>
    <w:multiLevelType w:val="multilevel"/>
    <w:tmpl w:val="5964AD1A"/>
    <w:numStyleLink w:val="Zaimportowanystyl1"/>
  </w:abstractNum>
  <w:abstractNum w:abstractNumId="17" w15:restartNumberingAfterBreak="0">
    <w:nsid w:val="34112B50"/>
    <w:multiLevelType w:val="hybridMultilevel"/>
    <w:tmpl w:val="9C54EBB2"/>
    <w:styleLink w:val="Zaimportowanystyl60"/>
    <w:lvl w:ilvl="0" w:tplc="CBE6E6F8">
      <w:start w:val="1"/>
      <w:numFmt w:val="bullet"/>
      <w:lvlText w:val="·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8436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98FC4A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0A7B6E">
      <w:start w:val="1"/>
      <w:numFmt w:val="bullet"/>
      <w:lvlText w:val="·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8EB432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66414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C6114C">
      <w:start w:val="1"/>
      <w:numFmt w:val="bullet"/>
      <w:lvlText w:val="·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506898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945584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DB30AD"/>
    <w:multiLevelType w:val="hybridMultilevel"/>
    <w:tmpl w:val="8D988774"/>
    <w:numStyleLink w:val="Zaimportowanystyl8"/>
  </w:abstractNum>
  <w:abstractNum w:abstractNumId="19" w15:restartNumberingAfterBreak="0">
    <w:nsid w:val="43D0451C"/>
    <w:multiLevelType w:val="hybridMultilevel"/>
    <w:tmpl w:val="F69EA790"/>
    <w:numStyleLink w:val="Zaimportowanystyl14"/>
  </w:abstractNum>
  <w:abstractNum w:abstractNumId="20" w15:restartNumberingAfterBreak="0">
    <w:nsid w:val="45A03BD5"/>
    <w:multiLevelType w:val="hybridMultilevel"/>
    <w:tmpl w:val="53CE5F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D70D9E"/>
    <w:multiLevelType w:val="multilevel"/>
    <w:tmpl w:val="4E64A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CB46ADA"/>
    <w:multiLevelType w:val="hybridMultilevel"/>
    <w:tmpl w:val="03DEA540"/>
    <w:lvl w:ilvl="0" w:tplc="0415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23" w15:restartNumberingAfterBreak="0">
    <w:nsid w:val="4DAC7642"/>
    <w:multiLevelType w:val="hybridMultilevel"/>
    <w:tmpl w:val="6DA282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9206A6"/>
    <w:multiLevelType w:val="hybridMultilevel"/>
    <w:tmpl w:val="85CA3B7A"/>
    <w:styleLink w:val="Zaimportowanystyl70"/>
    <w:lvl w:ilvl="0" w:tplc="0EB0DDD2">
      <w:start w:val="1"/>
      <w:numFmt w:val="bullet"/>
      <w:lvlText w:val="·"/>
      <w:lvlJc w:val="left"/>
      <w:pPr>
        <w:ind w:left="142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C48582">
      <w:start w:val="1"/>
      <w:numFmt w:val="bullet"/>
      <w:lvlText w:val="o"/>
      <w:lvlJc w:val="left"/>
      <w:pPr>
        <w:ind w:left="21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AB58A">
      <w:start w:val="1"/>
      <w:numFmt w:val="bullet"/>
      <w:lvlText w:val="▪"/>
      <w:lvlJc w:val="left"/>
      <w:pPr>
        <w:ind w:left="28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987148">
      <w:start w:val="1"/>
      <w:numFmt w:val="bullet"/>
      <w:lvlText w:val="·"/>
      <w:lvlJc w:val="left"/>
      <w:pPr>
        <w:ind w:left="358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28A6AC">
      <w:start w:val="1"/>
      <w:numFmt w:val="bullet"/>
      <w:lvlText w:val="o"/>
      <w:lvlJc w:val="left"/>
      <w:pPr>
        <w:ind w:left="430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8278F6">
      <w:start w:val="1"/>
      <w:numFmt w:val="bullet"/>
      <w:lvlText w:val="▪"/>
      <w:lvlJc w:val="left"/>
      <w:pPr>
        <w:ind w:left="502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38C806">
      <w:start w:val="1"/>
      <w:numFmt w:val="bullet"/>
      <w:lvlText w:val="·"/>
      <w:lvlJc w:val="left"/>
      <w:pPr>
        <w:ind w:left="574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40BA06">
      <w:start w:val="1"/>
      <w:numFmt w:val="bullet"/>
      <w:lvlText w:val="o"/>
      <w:lvlJc w:val="left"/>
      <w:pPr>
        <w:ind w:left="64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82A802">
      <w:start w:val="1"/>
      <w:numFmt w:val="bullet"/>
      <w:lvlText w:val="▪"/>
      <w:lvlJc w:val="left"/>
      <w:pPr>
        <w:ind w:left="718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06628EE"/>
    <w:multiLevelType w:val="multilevel"/>
    <w:tmpl w:val="1010A992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99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3B33112"/>
    <w:multiLevelType w:val="hybridMultilevel"/>
    <w:tmpl w:val="9CA4E3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A55026"/>
    <w:multiLevelType w:val="hybridMultilevel"/>
    <w:tmpl w:val="004E0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9E757C">
      <w:start w:val="1"/>
      <w:numFmt w:val="bullet"/>
      <w:lvlText w:val="o"/>
      <w:lvlJc w:val="left"/>
      <w:pPr>
        <w:ind w:left="200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AC4F48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FAE1D6">
      <w:start w:val="1"/>
      <w:numFmt w:val="bullet"/>
      <w:lvlText w:val="•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58F388">
      <w:start w:val="1"/>
      <w:numFmt w:val="bullet"/>
      <w:lvlText w:val="o"/>
      <w:lvlJc w:val="left"/>
      <w:pPr>
        <w:ind w:left="41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89F3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601E7C">
      <w:start w:val="1"/>
      <w:numFmt w:val="bullet"/>
      <w:lvlText w:val="•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0CBEC">
      <w:start w:val="1"/>
      <w:numFmt w:val="bullet"/>
      <w:lvlText w:val="o"/>
      <w:lvlJc w:val="left"/>
      <w:pPr>
        <w:ind w:left="63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7CBA2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8556F8B"/>
    <w:multiLevelType w:val="hybridMultilevel"/>
    <w:tmpl w:val="C9DE0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54751"/>
    <w:multiLevelType w:val="multilevel"/>
    <w:tmpl w:val="8790299E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194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10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26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</w:abstractNum>
  <w:abstractNum w:abstractNumId="30" w15:restartNumberingAfterBreak="0">
    <w:nsid w:val="61B70671"/>
    <w:multiLevelType w:val="hybridMultilevel"/>
    <w:tmpl w:val="9B849398"/>
    <w:styleLink w:val="Zaimportowanystyl6"/>
    <w:lvl w:ilvl="0" w:tplc="9C8C30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4A6A1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5E53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B6A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B4B4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2D3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62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600A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E9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409752B"/>
    <w:multiLevelType w:val="hybridMultilevel"/>
    <w:tmpl w:val="687A9AD6"/>
    <w:styleLink w:val="Zaimportowanystyl12"/>
    <w:lvl w:ilvl="0" w:tplc="AA086174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80F31A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4C2F2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F833F0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EBCE6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A1EC0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5C5748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E87BFC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26A808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75E5CE0"/>
    <w:multiLevelType w:val="hybridMultilevel"/>
    <w:tmpl w:val="B798EF62"/>
    <w:numStyleLink w:val="Zaimportowanystyl3"/>
  </w:abstractNum>
  <w:abstractNum w:abstractNumId="33" w15:restartNumberingAfterBreak="0">
    <w:nsid w:val="72F62411"/>
    <w:multiLevelType w:val="hybridMultilevel"/>
    <w:tmpl w:val="994EBE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B358FF"/>
    <w:multiLevelType w:val="hybridMultilevel"/>
    <w:tmpl w:val="13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C2685"/>
    <w:multiLevelType w:val="hybridMultilevel"/>
    <w:tmpl w:val="687A9AD6"/>
    <w:numStyleLink w:val="Zaimportowanystyl12"/>
  </w:abstractNum>
  <w:abstractNum w:abstractNumId="36" w15:restartNumberingAfterBreak="0">
    <w:nsid w:val="7BD97489"/>
    <w:multiLevelType w:val="multilevel"/>
    <w:tmpl w:val="EC680706"/>
    <w:styleLink w:val="Zaimportowanystyl4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6"/>
  </w:num>
  <w:num w:numId="3">
    <w:abstractNumId w:val="16"/>
    <w:lvlOverride w:ilvl="1">
      <w:startOverride w:val="3"/>
    </w:lvlOverride>
  </w:num>
  <w:num w:numId="4">
    <w:abstractNumId w:val="1"/>
  </w:num>
  <w:num w:numId="5">
    <w:abstractNumId w:val="2"/>
  </w:num>
  <w:num w:numId="6">
    <w:abstractNumId w:val="1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4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0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5"/>
  </w:num>
  <w:num w:numId="8">
    <w:abstractNumId w:val="30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18"/>
  </w:num>
  <w:num w:numId="14">
    <w:abstractNumId w:val="5"/>
  </w:num>
  <w:num w:numId="15">
    <w:abstractNumId w:val="32"/>
  </w:num>
  <w:num w:numId="16">
    <w:abstractNumId w:val="36"/>
  </w:num>
  <w:num w:numId="17">
    <w:abstractNumId w:val="15"/>
  </w:num>
  <w:num w:numId="18">
    <w:abstractNumId w:val="17"/>
  </w:num>
  <w:num w:numId="19">
    <w:abstractNumId w:val="24"/>
  </w:num>
  <w:num w:numId="20">
    <w:abstractNumId w:val="16"/>
  </w:num>
  <w:num w:numId="21">
    <w:abstractNumId w:val="31"/>
  </w:num>
  <w:num w:numId="22">
    <w:abstractNumId w:val="35"/>
  </w:num>
  <w:num w:numId="23">
    <w:abstractNumId w:val="12"/>
  </w:num>
  <w:num w:numId="24">
    <w:abstractNumId w:val="3"/>
  </w:num>
  <w:num w:numId="25">
    <w:abstractNumId w:val="19"/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5" w:hanging="12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7">
    <w:abstractNumId w:val="20"/>
  </w:num>
  <w:num w:numId="28">
    <w:abstractNumId w:val="26"/>
  </w:num>
  <w:num w:numId="29">
    <w:abstractNumId w:val="33"/>
  </w:num>
  <w:num w:numId="30">
    <w:abstractNumId w:val="14"/>
  </w:num>
  <w:num w:numId="31">
    <w:abstractNumId w:val="27"/>
  </w:num>
  <w:num w:numId="32">
    <w:abstractNumId w:val="9"/>
  </w:num>
  <w:num w:numId="33">
    <w:abstractNumId w:val="28"/>
  </w:num>
  <w:num w:numId="34">
    <w:abstractNumId w:val="6"/>
  </w:num>
  <w:num w:numId="35">
    <w:abstractNumId w:val="22"/>
  </w:num>
  <w:num w:numId="36">
    <w:abstractNumId w:val="21"/>
  </w:num>
  <w:num w:numId="37">
    <w:abstractNumId w:val="29"/>
  </w:num>
  <w:num w:numId="38">
    <w:abstractNumId w:val="23"/>
  </w:num>
  <w:num w:numId="39">
    <w:abstractNumId w:val="34"/>
  </w:num>
  <w:num w:numId="40">
    <w:abstractNumId w:val="4"/>
  </w:num>
  <w:num w:numId="41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5F"/>
    <w:rsid w:val="00015890"/>
    <w:rsid w:val="00026427"/>
    <w:rsid w:val="00033123"/>
    <w:rsid w:val="0003451C"/>
    <w:rsid w:val="00042652"/>
    <w:rsid w:val="0006150B"/>
    <w:rsid w:val="000637BB"/>
    <w:rsid w:val="00066B0C"/>
    <w:rsid w:val="0007570B"/>
    <w:rsid w:val="00075AC1"/>
    <w:rsid w:val="00081F42"/>
    <w:rsid w:val="00087C33"/>
    <w:rsid w:val="000937D2"/>
    <w:rsid w:val="000B375D"/>
    <w:rsid w:val="000B7237"/>
    <w:rsid w:val="000C130E"/>
    <w:rsid w:val="00103A77"/>
    <w:rsid w:val="00105A7D"/>
    <w:rsid w:val="001155BC"/>
    <w:rsid w:val="001241AE"/>
    <w:rsid w:val="00137BEB"/>
    <w:rsid w:val="001409B2"/>
    <w:rsid w:val="001414FB"/>
    <w:rsid w:val="001426F5"/>
    <w:rsid w:val="00157235"/>
    <w:rsid w:val="00172FB4"/>
    <w:rsid w:val="00173BC7"/>
    <w:rsid w:val="00175582"/>
    <w:rsid w:val="0017754E"/>
    <w:rsid w:val="001901A2"/>
    <w:rsid w:val="0019341B"/>
    <w:rsid w:val="00193BB8"/>
    <w:rsid w:val="001B1754"/>
    <w:rsid w:val="001B3EC7"/>
    <w:rsid w:val="001C07C8"/>
    <w:rsid w:val="001D3A3F"/>
    <w:rsid w:val="001D5C1C"/>
    <w:rsid w:val="001F709E"/>
    <w:rsid w:val="00214E79"/>
    <w:rsid w:val="00225E68"/>
    <w:rsid w:val="0023135F"/>
    <w:rsid w:val="002325AF"/>
    <w:rsid w:val="0024390A"/>
    <w:rsid w:val="00254013"/>
    <w:rsid w:val="00266065"/>
    <w:rsid w:val="00267821"/>
    <w:rsid w:val="0027314C"/>
    <w:rsid w:val="00280E35"/>
    <w:rsid w:val="00285F25"/>
    <w:rsid w:val="00286678"/>
    <w:rsid w:val="002910B5"/>
    <w:rsid w:val="002939F8"/>
    <w:rsid w:val="002A0C81"/>
    <w:rsid w:val="002A47AD"/>
    <w:rsid w:val="002A6CD2"/>
    <w:rsid w:val="002C0CB7"/>
    <w:rsid w:val="002C7D9F"/>
    <w:rsid w:val="002D3D66"/>
    <w:rsid w:val="002E5997"/>
    <w:rsid w:val="002E6151"/>
    <w:rsid w:val="002F19E8"/>
    <w:rsid w:val="002F3190"/>
    <w:rsid w:val="002F487D"/>
    <w:rsid w:val="002F77F4"/>
    <w:rsid w:val="00300244"/>
    <w:rsid w:val="00303302"/>
    <w:rsid w:val="00310CA2"/>
    <w:rsid w:val="00311E75"/>
    <w:rsid w:val="00322A07"/>
    <w:rsid w:val="003268CB"/>
    <w:rsid w:val="0033489D"/>
    <w:rsid w:val="00334E31"/>
    <w:rsid w:val="00335590"/>
    <w:rsid w:val="003408DA"/>
    <w:rsid w:val="00354057"/>
    <w:rsid w:val="003541F1"/>
    <w:rsid w:val="00356475"/>
    <w:rsid w:val="00357EFE"/>
    <w:rsid w:val="003643B6"/>
    <w:rsid w:val="00366120"/>
    <w:rsid w:val="00366205"/>
    <w:rsid w:val="00384047"/>
    <w:rsid w:val="003C7413"/>
    <w:rsid w:val="003D3D3D"/>
    <w:rsid w:val="003D7635"/>
    <w:rsid w:val="003E11A8"/>
    <w:rsid w:val="00410A83"/>
    <w:rsid w:val="00430467"/>
    <w:rsid w:val="00432B14"/>
    <w:rsid w:val="00444069"/>
    <w:rsid w:val="00444D9A"/>
    <w:rsid w:val="004462DD"/>
    <w:rsid w:val="0044775F"/>
    <w:rsid w:val="0046062A"/>
    <w:rsid w:val="00467225"/>
    <w:rsid w:val="004849D4"/>
    <w:rsid w:val="004A0023"/>
    <w:rsid w:val="004B41A4"/>
    <w:rsid w:val="004D6C65"/>
    <w:rsid w:val="004E3926"/>
    <w:rsid w:val="005023CD"/>
    <w:rsid w:val="00516946"/>
    <w:rsid w:val="00516CFB"/>
    <w:rsid w:val="005233AC"/>
    <w:rsid w:val="005417EB"/>
    <w:rsid w:val="0054474A"/>
    <w:rsid w:val="00561287"/>
    <w:rsid w:val="00567959"/>
    <w:rsid w:val="00574B33"/>
    <w:rsid w:val="00592172"/>
    <w:rsid w:val="005976D2"/>
    <w:rsid w:val="005A096B"/>
    <w:rsid w:val="005A496C"/>
    <w:rsid w:val="005D4E6D"/>
    <w:rsid w:val="005D508E"/>
    <w:rsid w:val="005D645A"/>
    <w:rsid w:val="005E0799"/>
    <w:rsid w:val="005E2711"/>
    <w:rsid w:val="005E4BD3"/>
    <w:rsid w:val="005F7825"/>
    <w:rsid w:val="006033DD"/>
    <w:rsid w:val="00603B96"/>
    <w:rsid w:val="00621B40"/>
    <w:rsid w:val="00622DAA"/>
    <w:rsid w:val="006240EF"/>
    <w:rsid w:val="006321A5"/>
    <w:rsid w:val="00636386"/>
    <w:rsid w:val="0065082D"/>
    <w:rsid w:val="00654E63"/>
    <w:rsid w:val="0068433F"/>
    <w:rsid w:val="006B73BF"/>
    <w:rsid w:val="006D2D98"/>
    <w:rsid w:val="006F3679"/>
    <w:rsid w:val="006F6C22"/>
    <w:rsid w:val="00702641"/>
    <w:rsid w:val="00707E2C"/>
    <w:rsid w:val="00711731"/>
    <w:rsid w:val="00711EA1"/>
    <w:rsid w:val="00715B20"/>
    <w:rsid w:val="00726466"/>
    <w:rsid w:val="007321D6"/>
    <w:rsid w:val="00743BE6"/>
    <w:rsid w:val="00762DAF"/>
    <w:rsid w:val="00765B66"/>
    <w:rsid w:val="007678CA"/>
    <w:rsid w:val="00773B04"/>
    <w:rsid w:val="00775045"/>
    <w:rsid w:val="00781E83"/>
    <w:rsid w:val="00787C8F"/>
    <w:rsid w:val="00791C1A"/>
    <w:rsid w:val="00791D39"/>
    <w:rsid w:val="00792F07"/>
    <w:rsid w:val="007A5F9B"/>
    <w:rsid w:val="007B5559"/>
    <w:rsid w:val="007C153A"/>
    <w:rsid w:val="007C187C"/>
    <w:rsid w:val="007C642E"/>
    <w:rsid w:val="007D38CC"/>
    <w:rsid w:val="007D5675"/>
    <w:rsid w:val="00813888"/>
    <w:rsid w:val="00835120"/>
    <w:rsid w:val="00843669"/>
    <w:rsid w:val="00850928"/>
    <w:rsid w:val="008536F1"/>
    <w:rsid w:val="008543F2"/>
    <w:rsid w:val="00871978"/>
    <w:rsid w:val="00882EFA"/>
    <w:rsid w:val="00896F12"/>
    <w:rsid w:val="008C2E93"/>
    <w:rsid w:val="008C77FD"/>
    <w:rsid w:val="008E060A"/>
    <w:rsid w:val="008E3D91"/>
    <w:rsid w:val="009055B2"/>
    <w:rsid w:val="009177CA"/>
    <w:rsid w:val="009418CB"/>
    <w:rsid w:val="00947845"/>
    <w:rsid w:val="00952F7A"/>
    <w:rsid w:val="0095323A"/>
    <w:rsid w:val="009542F6"/>
    <w:rsid w:val="00956892"/>
    <w:rsid w:val="00956C43"/>
    <w:rsid w:val="00963D4D"/>
    <w:rsid w:val="00971094"/>
    <w:rsid w:val="00971BA2"/>
    <w:rsid w:val="00987DDA"/>
    <w:rsid w:val="009A6D3E"/>
    <w:rsid w:val="009C673C"/>
    <w:rsid w:val="009D4D25"/>
    <w:rsid w:val="009D6413"/>
    <w:rsid w:val="009E7766"/>
    <w:rsid w:val="009F5A2E"/>
    <w:rsid w:val="009F62D7"/>
    <w:rsid w:val="009F6E82"/>
    <w:rsid w:val="00A00902"/>
    <w:rsid w:val="00A12987"/>
    <w:rsid w:val="00A13AAF"/>
    <w:rsid w:val="00A2021E"/>
    <w:rsid w:val="00A31684"/>
    <w:rsid w:val="00A34F37"/>
    <w:rsid w:val="00A35A26"/>
    <w:rsid w:val="00A35B19"/>
    <w:rsid w:val="00A40333"/>
    <w:rsid w:val="00A4731D"/>
    <w:rsid w:val="00A50E64"/>
    <w:rsid w:val="00A6118E"/>
    <w:rsid w:val="00A61737"/>
    <w:rsid w:val="00A629C1"/>
    <w:rsid w:val="00A76EF5"/>
    <w:rsid w:val="00A8263C"/>
    <w:rsid w:val="00A91177"/>
    <w:rsid w:val="00A9418C"/>
    <w:rsid w:val="00A97517"/>
    <w:rsid w:val="00AA4CDE"/>
    <w:rsid w:val="00AA5C6A"/>
    <w:rsid w:val="00AA5CFD"/>
    <w:rsid w:val="00AC4956"/>
    <w:rsid w:val="00AD5D23"/>
    <w:rsid w:val="00AE151D"/>
    <w:rsid w:val="00AE776E"/>
    <w:rsid w:val="00AF580B"/>
    <w:rsid w:val="00AF75A0"/>
    <w:rsid w:val="00B06878"/>
    <w:rsid w:val="00B125E2"/>
    <w:rsid w:val="00B12D99"/>
    <w:rsid w:val="00B24442"/>
    <w:rsid w:val="00B30E65"/>
    <w:rsid w:val="00B331AA"/>
    <w:rsid w:val="00B34534"/>
    <w:rsid w:val="00B37CDD"/>
    <w:rsid w:val="00B52880"/>
    <w:rsid w:val="00B56655"/>
    <w:rsid w:val="00B617F3"/>
    <w:rsid w:val="00B64D1F"/>
    <w:rsid w:val="00B77B73"/>
    <w:rsid w:val="00B81BCE"/>
    <w:rsid w:val="00B87A41"/>
    <w:rsid w:val="00BA29DD"/>
    <w:rsid w:val="00BA630A"/>
    <w:rsid w:val="00BB202C"/>
    <w:rsid w:val="00BB25C9"/>
    <w:rsid w:val="00BB6BCB"/>
    <w:rsid w:val="00BC2405"/>
    <w:rsid w:val="00BF4476"/>
    <w:rsid w:val="00C02111"/>
    <w:rsid w:val="00C044FD"/>
    <w:rsid w:val="00C24888"/>
    <w:rsid w:val="00C265E1"/>
    <w:rsid w:val="00C4144D"/>
    <w:rsid w:val="00C435E1"/>
    <w:rsid w:val="00C43FFF"/>
    <w:rsid w:val="00C55002"/>
    <w:rsid w:val="00C604A7"/>
    <w:rsid w:val="00C6539C"/>
    <w:rsid w:val="00C70F36"/>
    <w:rsid w:val="00C740DC"/>
    <w:rsid w:val="00C838F9"/>
    <w:rsid w:val="00C9055B"/>
    <w:rsid w:val="00C93E41"/>
    <w:rsid w:val="00CA303F"/>
    <w:rsid w:val="00CB363C"/>
    <w:rsid w:val="00CB739F"/>
    <w:rsid w:val="00CB7D9F"/>
    <w:rsid w:val="00CC0769"/>
    <w:rsid w:val="00CC5265"/>
    <w:rsid w:val="00CC611F"/>
    <w:rsid w:val="00CC7900"/>
    <w:rsid w:val="00CD2FB7"/>
    <w:rsid w:val="00CD3BAE"/>
    <w:rsid w:val="00CF60D2"/>
    <w:rsid w:val="00CF6FF4"/>
    <w:rsid w:val="00D101DE"/>
    <w:rsid w:val="00D23D32"/>
    <w:rsid w:val="00D27E01"/>
    <w:rsid w:val="00D3444F"/>
    <w:rsid w:val="00D347AB"/>
    <w:rsid w:val="00D461A5"/>
    <w:rsid w:val="00D5569F"/>
    <w:rsid w:val="00D87391"/>
    <w:rsid w:val="00D95495"/>
    <w:rsid w:val="00D97CD0"/>
    <w:rsid w:val="00DA7ECB"/>
    <w:rsid w:val="00DB1511"/>
    <w:rsid w:val="00DC2947"/>
    <w:rsid w:val="00DC3296"/>
    <w:rsid w:val="00DE1405"/>
    <w:rsid w:val="00DF17B2"/>
    <w:rsid w:val="00E0024D"/>
    <w:rsid w:val="00E02422"/>
    <w:rsid w:val="00E17536"/>
    <w:rsid w:val="00E177DA"/>
    <w:rsid w:val="00E17BA7"/>
    <w:rsid w:val="00E36323"/>
    <w:rsid w:val="00E50D91"/>
    <w:rsid w:val="00E52DA4"/>
    <w:rsid w:val="00E72E16"/>
    <w:rsid w:val="00E77E85"/>
    <w:rsid w:val="00E8270B"/>
    <w:rsid w:val="00E9106B"/>
    <w:rsid w:val="00E93920"/>
    <w:rsid w:val="00EA17F5"/>
    <w:rsid w:val="00EA1985"/>
    <w:rsid w:val="00EB6BD9"/>
    <w:rsid w:val="00ED26D4"/>
    <w:rsid w:val="00EE6D28"/>
    <w:rsid w:val="00EF7F5F"/>
    <w:rsid w:val="00F21344"/>
    <w:rsid w:val="00F225A0"/>
    <w:rsid w:val="00F34F4F"/>
    <w:rsid w:val="00F363A1"/>
    <w:rsid w:val="00F418B9"/>
    <w:rsid w:val="00F425F3"/>
    <w:rsid w:val="00F44C73"/>
    <w:rsid w:val="00F57BBF"/>
    <w:rsid w:val="00F7214B"/>
    <w:rsid w:val="00F73946"/>
    <w:rsid w:val="00F743EB"/>
    <w:rsid w:val="00F75235"/>
    <w:rsid w:val="00FD085D"/>
    <w:rsid w:val="00FD2E6B"/>
    <w:rsid w:val="00FE514C"/>
    <w:rsid w:val="00FE66D5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9E6"/>
  <w15:docId w15:val="{8E2D1F81-9288-46DB-A105-2A83B0E2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5417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rPr>
      <w:rFonts w:ascii="Calibri" w:eastAsia="Calibri" w:hAnsi="Calibri" w:cs="Calibri"/>
      <w:b/>
      <w:bCs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numbering" w:customStyle="1" w:styleId="Zaimportowanystyl3">
    <w:name w:val="Zaimportowany styl 3"/>
    <w:pPr>
      <w:numPr>
        <w:numId w:val="14"/>
      </w:numPr>
    </w:p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b/>
      <w:bCs/>
      <w:color w:val="0000FF"/>
      <w:u w:val="single" w:color="0000FF"/>
    </w:rPr>
  </w:style>
  <w:style w:type="numbering" w:customStyle="1" w:styleId="Zaimportowanystyl40">
    <w:name w:val="Zaimportowany styl 4.0"/>
    <w:pPr>
      <w:numPr>
        <w:numId w:val="16"/>
      </w:numPr>
    </w:pPr>
  </w:style>
  <w:style w:type="numbering" w:customStyle="1" w:styleId="Zaimportowanystyl50">
    <w:name w:val="Zaimportowany styl 5.0"/>
    <w:pPr>
      <w:numPr>
        <w:numId w:val="17"/>
      </w:numPr>
    </w:pPr>
  </w:style>
  <w:style w:type="numbering" w:customStyle="1" w:styleId="Zaimportowanystyl60">
    <w:name w:val="Zaimportowany styl 6.0"/>
    <w:pPr>
      <w:numPr>
        <w:numId w:val="18"/>
      </w:numPr>
    </w:pPr>
  </w:style>
  <w:style w:type="numbering" w:customStyle="1" w:styleId="Zaimportowanystyl70">
    <w:name w:val="Zaimportowany styl 7.0"/>
    <w:pPr>
      <w:numPr>
        <w:numId w:val="19"/>
      </w:numPr>
    </w:pPr>
  </w:style>
  <w:style w:type="numbering" w:customStyle="1" w:styleId="Zaimportowanystyl12">
    <w:name w:val="Zaimportowany styl 12"/>
    <w:pPr>
      <w:numPr>
        <w:numId w:val="21"/>
      </w:numPr>
    </w:pPr>
  </w:style>
  <w:style w:type="numbering" w:customStyle="1" w:styleId="Zaimportowanystyl13">
    <w:name w:val="Zaimportowany styl 13"/>
    <w:pPr>
      <w:numPr>
        <w:numId w:val="23"/>
      </w:numPr>
    </w:pPr>
  </w:style>
  <w:style w:type="character" w:customStyle="1" w:styleId="Hyperlink00">
    <w:name w:val="Hyperlink.0.0"/>
    <w:rPr>
      <w:color w:val="0000FF"/>
      <w:u w:val="single" w:color="0000FF"/>
    </w:rPr>
  </w:style>
  <w:style w:type="numbering" w:customStyle="1" w:styleId="Zaimportowanystyl14">
    <w:name w:val="Zaimportowany styl 14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1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6539C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624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41">
    <w:name w:val="Zaimportowany styl 41"/>
    <w:rsid w:val="00B87A41"/>
  </w:style>
  <w:style w:type="character" w:styleId="Odwoaniedokomentarza">
    <w:name w:val="annotation reference"/>
    <w:basedOn w:val="Domylnaczcionkaakapitu"/>
    <w:uiPriority w:val="99"/>
    <w:semiHidden/>
    <w:unhideWhenUsed/>
    <w:rsid w:val="00CC6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11F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11F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Akapitzlist1">
    <w:name w:val="Akapit z listą1"/>
    <w:basedOn w:val="Normalny"/>
    <w:rsid w:val="00A0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cs="Times New Roman"/>
      <w:color w:val="auto"/>
      <w:bdr w:val="none" w:sz="0" w:space="0" w:color="auto"/>
      <w:lang w:eastAsia="ar-SA"/>
    </w:rPr>
  </w:style>
  <w:style w:type="character" w:customStyle="1" w:styleId="text">
    <w:name w:val="text"/>
    <w:basedOn w:val="Domylnaczcionkaakapitu"/>
    <w:rsid w:val="00CB363C"/>
  </w:style>
  <w:style w:type="character" w:customStyle="1" w:styleId="wartosc">
    <w:name w:val="wartosc"/>
    <w:basedOn w:val="Domylnaczcionkaakapitu"/>
    <w:rsid w:val="00CB363C"/>
  </w:style>
  <w:style w:type="character" w:styleId="Pogrubienie">
    <w:name w:val="Strong"/>
    <w:basedOn w:val="Domylnaczcionkaakapitu"/>
    <w:uiPriority w:val="22"/>
    <w:qFormat/>
    <w:rsid w:val="00CB363C"/>
    <w:rPr>
      <w:b/>
      <w:bCs/>
    </w:rPr>
  </w:style>
  <w:style w:type="character" w:customStyle="1" w:styleId="value">
    <w:name w:val="value"/>
    <w:basedOn w:val="Domylnaczcionkaakapitu"/>
    <w:rsid w:val="00CB363C"/>
  </w:style>
  <w:style w:type="character" w:customStyle="1" w:styleId="Nagwek1Znak">
    <w:name w:val="Nagłówek 1 Znak"/>
    <w:basedOn w:val="Domylnaczcionkaakapitu"/>
    <w:link w:val="Nagwek1"/>
    <w:uiPriority w:val="9"/>
    <w:rsid w:val="005417EB"/>
    <w:rPr>
      <w:rFonts w:eastAsia="Times New Roman"/>
      <w:b/>
      <w:bCs/>
      <w:kern w:val="36"/>
      <w:sz w:val="48"/>
      <w:szCs w:val="48"/>
      <w:u w:color="000000"/>
      <w:bdr w:val="none" w:sz="0" w:space="0" w:color="auto"/>
    </w:rPr>
  </w:style>
  <w:style w:type="character" w:styleId="UyteHipercze">
    <w:name w:val="FollowedHyperlink"/>
    <w:basedOn w:val="Domylnaczcionkaakapitu"/>
    <w:uiPriority w:val="99"/>
    <w:semiHidden/>
    <w:unhideWhenUsed/>
    <w:rsid w:val="00773B0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sb.pl/wroclaw/sites/wsb.pl.wroclaw/files/default_images/zalacznik_nr_2_-_oswiadczenie_o_braku_powiazan_do_szacowania_2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arzyna.wasiluk-cieluch@wsb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um-bazakonkurencyjnosci.funduszeeuropejskie.gov.pl/file/download/153745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3F54-7C47-466C-A39D-48606D4C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2523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WSB</dc:creator>
  <cp:lastModifiedBy>Katarzyna Wasiluk-Cieluch</cp:lastModifiedBy>
  <cp:revision>16</cp:revision>
  <cp:lastPrinted>2020-01-10T11:13:00Z</cp:lastPrinted>
  <dcterms:created xsi:type="dcterms:W3CDTF">2021-07-06T09:06:00Z</dcterms:created>
  <dcterms:modified xsi:type="dcterms:W3CDTF">2022-09-21T09:23:00Z</dcterms:modified>
</cp:coreProperties>
</file>