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" w:right="-57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Zapytanie ofertowe  na dostawę</w:t>
      </w:r>
      <w:r w:rsidDel="00000000" w:rsidR="00000000" w:rsidRPr="00000000">
        <w:rPr>
          <w:b w:val="1"/>
          <w:sz w:val="24"/>
          <w:szCs w:val="24"/>
          <w:rtl w:val="0"/>
        </w:rPr>
        <w:t xml:space="preserve">-sprzedaż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Moduł Ekstrakcyjny - 2 komplety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Nazwa oraz adres Zamawiającego: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NATURA EKSPERT Krzysztof Gruszczyk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[dalej zwane „Zamawiającym” 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ul. Fryderyka Chopina 14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20-023 Lublin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NIP: 9191005609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REGON: 950221501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Adres strony internetowej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www.naturaexpert.com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Adres e-mail:</w:t>
      </w:r>
      <w:r w:rsidDel="00000000" w:rsidR="00000000" w:rsidRPr="00000000">
        <w:rPr>
          <w:rFonts w:ascii="Calibri" w:cs="Calibri" w:eastAsia="Calibri" w:hAnsi="Calibri"/>
          <w:color w:val="008000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projekt@naturaexpert.com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II.         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Tryb udzielenia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Postępowanie o udzielenie zamówienia prowadzone jest zgodnie z zasadą konkurencyjności na podstawie wytycznych:   Wytyczne w zakresie kwalifikowalności wydatków w ramach Europejskiego Funduszu Rozwoju Regionalnego, Europejskiego Funduszu Społecznego oraz Funduszu Spójności na lata 2014-2020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III.        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Opis przedmiotu zamówienia.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Cel: Dostawa modułu ekstrakcyjnego, stanowiącego zestaw urządzeń stanowiący w połączeniu integralną linię technologiczną procesu ekstrakcji cieczowej materiału roślinnego. Moduł ekstrakcyjny ma umożliwić zastosowanie jako rozpuszczalnika, proces ekstrakcji wodą i rozpuszczalnikami organicznymi: alkohole, tłuszcze, glikol. Wymagania materiałowe i technologiczne dla urządzeń wynikające z założeń procesu i stosowanego zakresu temperatur procesowych w zakresie  0 - do 100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C, z opcją grzania i </w:t>
      </w:r>
      <w:r w:rsidDel="00000000" w:rsidR="00000000" w:rsidRPr="00000000">
        <w:rPr>
          <w:sz w:val="18"/>
          <w:szCs w:val="18"/>
          <w:rtl w:val="0"/>
        </w:rPr>
        <w:t xml:space="preserve">chłodzenia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płynnych ekstraktów roślinnych w ramach prowadzonego procesu ekstrakcji. Ekstrahowane surowce: zioła owoce, materiał roślinny suszony i świeży. Zakres prac obejmuje opracowanie dokumentacji projektowej wykonawczej dla urządzeń obejmujące wymagania zgodności: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2014/68/EU PED (i dalsze zmiany)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2014/34/UE ATEX (i dalsze zmiany)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Dyrektywa maszynowa 2006/42/WE (i dalsze zmiany)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Standard dla zbiorników ciśnieniowych PED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Instalacja zaprojektowana zgodnie z wymaganiami higienicznymi dotyczącymi wyposażenia i zdolności czyszczenia ISO 22000:2018, GMP+.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Bezwzględnie wymagana zgodność materiałowa z AISI lub norm EN.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Ze względu na zastosowanie etanolu jako rozpuszczalnika, urządzenia do ekstrakcji są zaprojektowane tak, aby odpowiadały niebezpiecznym warunkom środowiska, Etanol IIB T3, strefa wewnętrzna 1/strefa zewnętrzna 2 (ATEX II 2G/ ATEX II 3G).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Instrukcja obsługi wydana przez Producenta, zgodnie z powyższymi wymaganiami dotyczącymi zgodności.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Wszystkie dostarczane części mają być zgodne z europejskimi normami, jeśli nie wyspecyfikowano.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" w:right="-5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" w:right="-5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Zakres prac obejmuje zadania: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7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Zadanie 1.</w:t>
      </w:r>
      <w:r w:rsidDel="00000000" w:rsidR="00000000" w:rsidRPr="00000000">
        <w:rPr>
          <w:b w:val="1"/>
          <w:sz w:val="18"/>
          <w:szCs w:val="18"/>
          <w:rtl w:val="0"/>
        </w:rPr>
        <w:t xml:space="preserve">Moduł ekstrakcyjny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komplet szt. 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-57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Ekstraktor o poj. min 2000L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Pojemność robocza efektywna nie mniejsza niż </w:t>
      </w:r>
      <w:r w:rsidDel="00000000" w:rsidR="00000000" w:rsidRPr="00000000">
        <w:rPr>
          <w:sz w:val="18"/>
          <w:szCs w:val="18"/>
          <w:rtl w:val="0"/>
        </w:rPr>
        <w:t xml:space="preserve">2000 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średnica wewnętrzna min. Ø 1200 mm, min. wysokość komory wewnętrznej  2000 mm, zamykanie/otwieranie  dennicy pneumatyczne siłownikami, zabezpieczenie przed otwarciem ryglowe. Wymiary gabarytowe zewnętrzne – maksymalne  Ø1600mm, wysokość całkowita </w:t>
      </w:r>
      <w:r w:rsidDel="00000000" w:rsidR="00000000" w:rsidRPr="00000000">
        <w:rPr>
          <w:sz w:val="18"/>
          <w:szCs w:val="18"/>
          <w:rtl w:val="0"/>
        </w:rPr>
        <w:t xml:space="preserve">4000 mm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Temperatura pracy wymogi projektowe: zbiornik wewnętrzny 105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 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C, płaszcz nie mniej niż 148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C, Wymogi procesowe temperatura pracy 100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C, płaszcz 143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C. (dla efektywnej pojemności procesowej dla wody). Media: Para nasycona do procesu 3 bar, ciśnienie bezpieczeństwa max </w:t>
      </w:r>
      <w:r w:rsidDel="00000000" w:rsidR="00000000" w:rsidRPr="00000000">
        <w:rPr>
          <w:sz w:val="18"/>
          <w:szCs w:val="18"/>
          <w:rtl w:val="0"/>
        </w:rPr>
        <w:t xml:space="preserve">6 bar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Woda chłodząca 3 bar, zasilanie 30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,przy 10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 dT. Woda lodowa </w:t>
      </w:r>
      <w:r w:rsidDel="00000000" w:rsidR="00000000" w:rsidRPr="00000000">
        <w:rPr>
          <w:sz w:val="18"/>
          <w:szCs w:val="18"/>
          <w:rtl w:val="0"/>
        </w:rPr>
        <w:t xml:space="preserve">3 bar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zasilanie 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C,  przy 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dT, sprężone powietrze 8 bar, suche, bezolejowe, jakość wg ISO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8573-1 klasa 1 – 4 – 1. Elektryczność: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3x400 V/ N/ PE, 50Hz, tolerancja Napięcie +10%/ -6%TNS-Net forma, 3 fazy/ N/PE (5 przewodów)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Właz zasypowo-inspekcyjny u góry ekstraktora, z wziernikiem, zamykany na rygiel.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Antypieniacz dostosowany do pojemności roboczej ekstraktora  ze stali SS316L.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Płaszcz trójwarstwowy: płaszcz grzewczy/chłodniczy typu pillow plate: SS304 (stal nie mniej niż SS304, grubość ścian płaszcza: nie mniej niż δ = </w:t>
      </w:r>
      <w:r w:rsidDel="00000000" w:rsidR="00000000" w:rsidRPr="00000000">
        <w:rPr>
          <w:sz w:val="18"/>
          <w:szCs w:val="18"/>
          <w:rtl w:val="0"/>
        </w:rPr>
        <w:t xml:space="preserve">3 mm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); powierzchnia grzewcza min. 4,7m2. Wymiennik ciepła (płaszcz typu pillow plate) jest przeznaczony do obsługi przełączalnego źródła zasilania pomiędzy chłodzeniem/wodą lodową o ciśnieniu 3 bar, a ogrzewanie parą techniczną 5 bar w krótkiej jednostce czasu. Układ wymiennika przystosowany do pracy w cyklach ciepło/chłodzenie, kondensat odprowadzany po zakończonym cyklu procesowym.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Ścianka wewnętrzna -wyściółka: materiał wyściółki wewnętrznej nie mniej niż δ = 8mm /materiał SS316L płaszczyzna polerowana Ra ≤0,4um, higieniczna zgodna ze standardem GMP,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Materiał izolacyjny: nie mniej niż 50mm /np. wełna krzemianowo aluminiowa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sz w:val="18"/>
          <w:szCs w:val="18"/>
          <w:rtl w:val="0"/>
        </w:rPr>
        <w:t xml:space="preserve">Ściana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zewnętrzna nie mniej niż 2mm / materiał stal SS304, płaszczyzna zewnętrzna polerowana gładka Ra≤0,8um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Mieszadło,  łopatkowe do mieszania ciecz – ciało stałe z możliwością demontażu, z motoreduktorem o regulacji obrotów  0-60 rpm, silnik elektryczny -motor 5,5Kw (Atex)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Czujnik pomiaru temperatury, czujnik ciśnienia z zaworem bezpieczeństwa, zawór oddechowy.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Zestaw sit  bocznych i w pokrywie dennicy o rozmiarze 80-100 mesh, wykonanie materiałowe SS316L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Samooczyszczająca się obrotowa głowica mycia CIP.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Cztery punkty mocowania do platformy.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Parametry pracy: ciśnienie płaszcza do 0,4 M</w:t>
      </w:r>
      <w:r w:rsidDel="00000000" w:rsidR="00000000" w:rsidRPr="00000000">
        <w:rPr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a,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Skraplacz oparów (o powierzchni stycznej nie mniej niż 15m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). Ciśnienie robocze cieczy chłodzącej 0,3 Mpa, wewnątrz ciśnienie atmosferyczne, Materiał kontaktowy z produktem stal  SS316L, okrągły, gadki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Ø25×1.5mm/SS316L, pozostały nie kontaktowy, obudowa  δ=3mm/SS304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pozostały SS304, wielkość całkowita Ø 450x1500mm, zasilany woda chłodniczą 25/35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Chłodnica oparów: powierzchnia wymiany LQ-1,1m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zasilana wodą lodową 6/12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C, rura wewnętrzna stal kontaktowa SS316L, ścianka zewnętrzna SS304 gr 3mm.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Separator rozpuszczalnik/frakcja oleista,  o poj.  min. 25L, szkło hartowane.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Układ dwóch niezależnych filtrów procesowych – workowych o poj. min. 0,7m2,wkład 0,35m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x2 wymienny mieszkowy (filtracja 100 mesh), kształt okrągły.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Elementy rurarzu obiegu cieczy procesowej. Średnica ciągu dostosowana do wymagań założeń procesowych o długości obwodów do 15 m.b.. materiał stal SS304 dla powierzchni bezkontaktowych lub SS316L powierzchnie kontaktowe z produktem, wszelkie łączenia wykonane z SS304/SS316L. Bezwzględnie wymagana jest zgodność z AISI lub norm EN. Wszelkie rozmiary z zastosowaniem norm DIN.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Dokumentacja: Opisana w celu postępowania. Deklaracja i PED. Certyfikaty CE dla urządzeń i materiałów.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-5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Zadanie 2. Układ przepływu z zestawem sterowania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platformą roboczą</w:t>
      </w:r>
      <w:r w:rsidDel="00000000" w:rsidR="00000000" w:rsidRPr="00000000">
        <w:rPr>
          <w:b w:val="1"/>
          <w:sz w:val="18"/>
          <w:szCs w:val="18"/>
          <w:rtl w:val="0"/>
        </w:rPr>
        <w:t xml:space="preserve"> -2 kompl.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Obejmuje dostawę urządzeń: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Platforma robocza.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Konstrukcja stalowa ze stali czarnej ocynkowanej lub SS304 wykonana w standardzie samonośnej konstrukcji technicznej dla instalacji wyposażenia modułu ekstrakcji. Wyposażona w barierki ochronne, schody ażurowe, rampę transportu wsadu, wieszaki i podpory dla obwodów zasilających media: woda technologiczna, para technologiczna, woda lodowa, woda chłodnicza, sprężone powietrze, obwody cieczy ekstrakcyjnej, instalacji komunikacji sterowania procesowego. Wymiary:(sz+dł+h) </w:t>
      </w:r>
      <w:r w:rsidDel="00000000" w:rsidR="00000000" w:rsidRPr="00000000">
        <w:rPr>
          <w:sz w:val="18"/>
          <w:szCs w:val="18"/>
          <w:rtl w:val="0"/>
        </w:rPr>
        <w:t xml:space="preserve">4000 x 6000 x 4000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(5200). Nośność max </w:t>
      </w:r>
      <w:r w:rsidDel="00000000" w:rsidR="00000000" w:rsidRPr="00000000">
        <w:rPr>
          <w:sz w:val="18"/>
          <w:szCs w:val="18"/>
          <w:rtl w:val="0"/>
        </w:rPr>
        <w:t xml:space="preserve">10t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Podłoga  z płyt antypoślizgowych, połączenia płyt równe z drenażem wodnym.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Zestaw pompowy, jakości sanitarnej ze stali SS316L, napędzany silnikiem elektrycznym o mocy min.2,2 kW  w wykonaniu przeciwwybuchowym (ATEX), Zasilanie: 230V/400V 50Hz, o wydajności min 6m3/h, wysokość tłoczenia min. 24 m, z dokumentacją techniczną określoną w definicji cel postępowania.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Układ ciągu technologicznego obiegu cieczy dla modułu ekstrakcji do 100 m.b., wykonanie sanitarne, spawy gładkie, materiał  stal SS316L, z zaworami sterowania, automatyką procesu z szafą sterowania oraz wyświetlaczem PLC.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Układ ciągu technologicznego zasilania parą modułu ekstrakcji z sterowaniem procesu, materiał stal czarna lub SS304.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Wykonanie urządzeń szafy sterowniczej (mogą być połączone) lokalnych elementów sterowniczych.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Wykonanie niezbędnych instalacji rurowych i elektrycznych oraz sterowniczych w obrębie instalacji modułu ekstrakcji dla wody chłodniczej i lodowej z wieżą chłodniczą i agregatem wody lodowej.</w:t>
      </w:r>
    </w:p>
    <w:p w:rsidR="00000000" w:rsidDel="00000000" w:rsidP="00000000" w:rsidRDefault="00000000" w:rsidRPr="00000000" w14:paraId="0000003A">
      <w:pPr>
        <w:spacing w:after="0" w:line="240" w:lineRule="auto"/>
        <w:ind w:left="1152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System automatycznego obiegu cieczy powinien zawierać komplet sensorów, silników i urządzeń sterujących procesem (Etanol IIB T3, strefa wewnętrzna 1/strefa zewnętrzna 2 (ATEX II 2G/ ATEX II 3G):nie mniej niż 8 czujników temperatury, nie mniej niż 3 czujników ciśnienia, nie mniej niż 6 czujników przepływu, nie mniej niż 3 pompy w wykonaniu ATEX o przepływie nie mniejszym niż 6m3/h, zawory pneumatyczne (minimum 40 szt.) i system sterowania parą 5 bar, nie mniej niż 3 silniki do mieszadłem o mocy do 6 kW do pracy w strefie EX.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1152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Wykonanie urządzeń w pełni zgodne: elektryczność </w:t>
      </w:r>
      <w:r w:rsidDel="00000000" w:rsidR="00000000" w:rsidRPr="00000000">
        <w:rPr>
          <w:sz w:val="18"/>
          <w:szCs w:val="18"/>
          <w:rtl w:val="0"/>
        </w:rPr>
        <w:t xml:space="preserve">3x400V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/ N/ PE, 50Hz, tolerancja Napięcie +10%/ -6%TNS-Net forma, 3 fazy/ N/PE (5 przewodów)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Wykonanie instalacji wody technologicznej.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Wykonanie instalacji powietrza.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Wykonanie i wdrożenie aplikacji sterującej.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Uruchomienie instalacji i wykonanie testów odbiorowych. Szkolenia z zakresu obsługi oraz konserwacji.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Dostarczenie dokumentacji powykonawczą, w tym protokoły odbiorcze i pomiarowe i instrukcja obsługi.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-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Opracowanie dokumentacji- schematów instalacji projektowej powykonawczej.</w:t>
      </w:r>
    </w:p>
    <w:p w:rsidR="00000000" w:rsidDel="00000000" w:rsidP="00000000" w:rsidRDefault="00000000" w:rsidRPr="00000000" w14:paraId="00000042">
      <w:pPr>
        <w:ind w:left="708" w:right="-57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08" w:right="-57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Zamawiający wymaga również świadczenia usług serwisowych w poniższym zakresie: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Wykonawca udzieli Zamawiającemu, co najmniej 12 miesięcznej gwarancji na urządzenie licząc od daty odbioru.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Naprawy gwarancyjne będą oparte na serwisie gwarancyjnym  dostawcy lub producenta;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Zamawiający wymaga, by zapewniona była naprawa lub wymiana urządzeń lub ich części, na nowe i oryginalne, zgodnie z metodyką i zaleceniami producenta, 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Usługi serwisowe typu door to door, 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sytuacji wystąpienia usterki: naprawa lub wymiana urządzenia w ciągu 3 dni roboczych – licząc od momentu otrzymania przez Wykonawcę zgłoszenia awarii, do momentu dostarczenia sprawnego urządzenia,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Wykonawca zapewnia możliwość zgłaszania problemów telefonicznie oraz za pomocą poczty elektronicznej, 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Czas reakcji na zgłoszony problem – maks. 24 h, liczony w godzinach przyjmowania zgłoszeń, co najmniej 8 godzin przez 5 dni w tygodniu, 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Przez czas reakcji rozumiemy okres, od momentu otrzymania przez Wykonawcę zgłoszenia serwisowego, do momentu podjęcia pierwszych czynności diagnostycznych przez Wykonawcę, 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Przez rozpoczęcie czynności diagnostycznych rozumie się: - nawiązanie kontaktu telefonicznego lub za pośrednictwem e-maila z pracownikiem Zamawiającego i przekazanie mu wskazówek dalszego postępowania, </w:t>
      </w:r>
      <w:r w:rsidDel="00000000" w:rsidR="00000000" w:rsidRPr="00000000">
        <w:rPr>
          <w:sz w:val="18"/>
          <w:szCs w:val="18"/>
          <w:rtl w:val="0"/>
        </w:rPr>
        <w:t xml:space="preserve">lub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wykonanie czynności zmierzających do usunięcia awarii/usterki przez samego Wykonawcę (osobiście albo zdalnie);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Dostęp za pośrednictwem Wykonawcy do centrum wsparcia technicznego producenta; 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Dostęp (uprawnienie do pobierania i instalowania) do wszelkich aktualizacji oferowanego produktu w zakresie drobnych poprawek jak i nowych wersji oprogramowania, pełnej dokumentacji w zakresie instalacji, konfiguracji i utrzymania środowiska, jeżeli takie istnieje.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Dostęp do bazy wiedzy, budowanej i utrzymywanej przez producenta w zakresie oferowanego produktu.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Kod przedmiotu zamówienia wg Wspólnego Słownika Zamówień (CPV): 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Kod CPV: 42215200-8 - Maszyny do przetwarzania żywności.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Odbiór urządzeń nastąpi w Laboratorium Zamawiającego: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KG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NE,  21-110 Ostrów Lubelski, ul. Zachodnia 8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Ze względu na szeroki zakres stawianych kompetencji, Zamawiający dopuszcza składanie ofert częściowych. Składający ofertę Dostawca może złożyć ofertę całościową lub częściową  na zadanie 1 lub 2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79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Warunki zakupu: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Ofertę można złożyć wysyłając e-mail na adres: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projekt@naturaexpert.com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Wykonanie dokumentacji technologicznej urządzeń.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Forma płatności: przelew.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Termin realizacji zlecenia: do dnia </w:t>
      </w:r>
      <w:r w:rsidDel="00000000" w:rsidR="00000000" w:rsidRPr="00000000">
        <w:rPr>
          <w:sz w:val="18"/>
          <w:szCs w:val="18"/>
          <w:rtl w:val="0"/>
        </w:rPr>
        <w:t xml:space="preserve">15-03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-202</w:t>
      </w:r>
      <w:r w:rsidDel="00000000" w:rsidR="00000000" w:rsidRPr="00000000">
        <w:rPr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roku. Jednocześnie Zamawiający wyjaśnia</w:t>
      </w:r>
      <w:r w:rsidDel="00000000" w:rsidR="00000000" w:rsidRPr="00000000">
        <w:rPr>
          <w:sz w:val="18"/>
          <w:szCs w:val="18"/>
          <w:rtl w:val="0"/>
        </w:rPr>
        <w:t xml:space="preserve">, iż z uwagi na fakt iż termin zakończenia projektu przypada na dzień 31-12-2022, po wybraniu oferty zostanie zawarta umowa warunkowa na podstawie której Zamawiający złoży wniosek do LAWP w Lublinie o wyrażenie zgody na wydłużenie terminu realizacji projektu. Po uzyskaniu zgody z LAWP podpisana umowa stanie się wiążąca.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Warunki gwarancji minimum 12-miesięczny okres gwarancji oraz serwis gwarancyjny i pogwarancyjny.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Ważność oferty: czas związania z ofertą 30 dni od terminu składania ofert.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Miejsce dostawy: 21-110 Ostrów Lubelski, ul Zachodnia 8, Polska.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Oznakowanie i certyfikaty CE.</w:t>
      </w:r>
    </w:p>
    <w:p w:rsidR="00000000" w:rsidDel="00000000" w:rsidP="00000000" w:rsidRDefault="00000000" w:rsidRPr="00000000" w14:paraId="00000060">
      <w:pPr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IV.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Termin wykonania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0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Termin realizacji zlecenia: do dnia 15-03-2023 roku. Jednocześnie Zamawiający wyjaśnia, iż z uwagi na fakt iż termin zakończenia projektu przypada na dzień 31-12-2022, po wybraniu oferty zostanie zawarta umowa warunkowa na podstawie której Zamawiający złoży wniosek do LAWP w Lublinie o wyrażenie zgody na wydłużenie terminu realizacji projektu. Po uzyskaniu zgody z LAWP podpisana umowa stanie się wiążąca.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hd w:fill="ffffff" w:val="clear"/>
        <w:tabs>
          <w:tab w:val="left" w:pos="709"/>
        </w:tabs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Wydłużenie terminu wyłącznie za zgodą Zamawiającego.</w:t>
      </w:r>
    </w:p>
    <w:p w:rsidR="00000000" w:rsidDel="00000000" w:rsidP="00000000" w:rsidRDefault="00000000" w:rsidRPr="00000000" w14:paraId="00000064">
      <w:pPr>
        <w:widowControl w:val="0"/>
        <w:shd w:fill="ffffff" w:val="clear"/>
        <w:tabs>
          <w:tab w:val="left" w:pos="709"/>
        </w:tabs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Warunki udziału w postępowaniu oraz opis sposobu dokonywania oceny spełnienia tych warunków.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-57" w:right="-57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 udzielenie zamówienia mogą ubiegać się Wykonawcy, którzy spełniają następujący warunek:</w:t>
      </w:r>
    </w:p>
    <w:p w:rsidR="00000000" w:rsidDel="00000000" w:rsidP="00000000" w:rsidRDefault="00000000" w:rsidRPr="00000000" w14:paraId="00000067">
      <w:pPr>
        <w:spacing w:after="0" w:line="240" w:lineRule="auto"/>
        <w:ind w:left="-57" w:right="-57" w:firstLine="0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nie występują powiązania osobowe lub kapitałowe z Zamawiającym.</w:t>
      </w:r>
    </w:p>
    <w:p w:rsidR="00000000" w:rsidDel="00000000" w:rsidP="00000000" w:rsidRDefault="00000000" w:rsidRPr="00000000" w14:paraId="00000068">
      <w:pPr>
        <w:spacing w:after="0" w:line="240" w:lineRule="auto"/>
        <w:ind w:left="-57" w:right="-57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Przez powiązania osobowe lub kapitałowe rozumie się wzajemne powiązania </w:t>
      </w:r>
      <w:r w:rsidDel="00000000" w:rsidR="00000000" w:rsidRPr="00000000">
        <w:rPr>
          <w:sz w:val="18"/>
          <w:szCs w:val="18"/>
          <w:rtl w:val="0"/>
        </w:rPr>
        <w:t xml:space="preserve">między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000000" w:rsidDel="00000000" w:rsidP="00000000" w:rsidRDefault="00000000" w:rsidRPr="00000000" w14:paraId="00000069">
      <w:pPr>
        <w:spacing w:after="0" w:line="240" w:lineRule="auto"/>
        <w:ind w:left="-57" w:right="-57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a) uczestniczeniu w spółce jako wspólnik spółki cywilnej lub spółki osobowej;</w:t>
      </w:r>
    </w:p>
    <w:p w:rsidR="00000000" w:rsidDel="00000000" w:rsidP="00000000" w:rsidRDefault="00000000" w:rsidRPr="00000000" w14:paraId="0000006A">
      <w:pPr>
        <w:spacing w:after="0" w:line="240" w:lineRule="auto"/>
        <w:ind w:left="-57" w:right="-57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b) posiadaniu co najmniej 10% udziałów lub akcji;</w:t>
      </w:r>
    </w:p>
    <w:p w:rsidR="00000000" w:rsidDel="00000000" w:rsidP="00000000" w:rsidRDefault="00000000" w:rsidRPr="00000000" w14:paraId="0000006B">
      <w:pPr>
        <w:spacing w:after="0" w:line="240" w:lineRule="auto"/>
        <w:ind w:left="-57" w:right="-57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c) pełnieniu funkcji członka organu nadzorczego lub zarządzającego, prokurenta, pełnomocnika;</w:t>
      </w:r>
    </w:p>
    <w:p w:rsidR="00000000" w:rsidDel="00000000" w:rsidP="00000000" w:rsidRDefault="00000000" w:rsidRPr="00000000" w14:paraId="0000006C">
      <w:pPr>
        <w:spacing w:after="0" w:line="240" w:lineRule="auto"/>
        <w:ind w:left="-57" w:right="-57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000000" w:rsidDel="00000000" w:rsidP="00000000" w:rsidRDefault="00000000" w:rsidRPr="00000000" w14:paraId="0000006D">
      <w:pPr>
        <w:spacing w:after="0"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VI.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Wykaz oświadczeń lub dokumentów, potwierdzających: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Oświadczenie dotyczące braku powiązań osobowych i kapitałowych z Zamawiającym.</w:t>
      </w:r>
    </w:p>
    <w:p w:rsidR="00000000" w:rsidDel="00000000" w:rsidP="00000000" w:rsidRDefault="00000000" w:rsidRPr="00000000" w14:paraId="00000070">
      <w:pPr>
        <w:spacing w:after="0" w:line="276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VII.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Informacja o sposobie porozumiewania się Zamawiającego z Wykonawcami oraz przekazywania oświadczeń i dokumentów, a także wskazanie osób uprawnionych do porozumiewania się z wykonawcami</w:t>
      </w:r>
    </w:p>
    <w:p w:rsidR="00000000" w:rsidDel="00000000" w:rsidP="00000000" w:rsidRDefault="00000000" w:rsidRPr="00000000" w14:paraId="00000072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1. Oświadczenia, wnioski, zawiadomienia oraz informacje Zamawiający i Wykonawcy przekazują e-mailem. </w:t>
      </w:r>
    </w:p>
    <w:p w:rsidR="00000000" w:rsidDel="00000000" w:rsidP="00000000" w:rsidRDefault="00000000" w:rsidRPr="00000000" w14:paraId="00000073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2. Zamawiający nie przewiduje zorganizowania zebrania z Wykonawcami.</w:t>
      </w:r>
    </w:p>
    <w:p w:rsidR="00000000" w:rsidDel="00000000" w:rsidP="00000000" w:rsidRDefault="00000000" w:rsidRPr="00000000" w14:paraId="00000074">
      <w:pPr>
        <w:spacing w:after="0"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3. Wskazanie osób uprawnionych do porozumiewania się z Wykonawcami jest: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Krzysztof Gruszczyk.</w:t>
      </w:r>
    </w:p>
    <w:p w:rsidR="00000000" w:rsidDel="00000000" w:rsidP="00000000" w:rsidRDefault="00000000" w:rsidRPr="00000000" w14:paraId="00000075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VIII.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Zamawiający nie wymagania wniesienia wadium </w:t>
      </w:r>
    </w:p>
    <w:p w:rsidR="00000000" w:rsidDel="00000000" w:rsidP="00000000" w:rsidRDefault="00000000" w:rsidRPr="00000000" w14:paraId="00000077">
      <w:pPr>
        <w:spacing w:after="0" w:line="276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IX.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Termin związania ofertą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Składający ofertę jest nią związany przez okres 30 dni od terminu składania ofert.</w:t>
      </w:r>
    </w:p>
    <w:p w:rsidR="00000000" w:rsidDel="00000000" w:rsidP="00000000" w:rsidRDefault="00000000" w:rsidRPr="00000000" w14:paraId="0000007A">
      <w:pPr>
        <w:spacing w:after="0" w:line="276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X. Opis sposobu przygotowania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Wykonawca składa ofertę z wykorzystaniem wzoru stanowiącego załącznik do SIWZ 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formularz ofertowy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] lub własnej oferty spełniającej wymagania stawiane w zapytaniu.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Wykonawca składa wraz z ofertą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oświadczenia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o których mowa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rozdz. VI SIWZ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 ustanowienia pełnomocnika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pełnomocnictwo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reprezentowania Wykonawcy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Uwagi dotyczące przygotowania oferty oraz wymaganych oświadczeń i dokumentów.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tabs>
          <w:tab w:val="left" w:pos="360"/>
        </w:tabs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Oferta musi być sporządzona w języku polskim lub języku angielskim, na komputerze, maszynie do pisania lub ręcznie długopisem bądź niezmywalnym atramentem, pismem czytelnym. 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tabs>
          <w:tab w:val="left" w:pos="360"/>
        </w:tabs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Koszty związane z przygotowaniem oferty ponosi Wykonawca składający ofertę.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tabs>
          <w:tab w:val="left" w:pos="360"/>
        </w:tabs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Wykonawca może złożyć w prowadzonym postępowaniu wyłącznie jedną ofertę.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tabs>
          <w:tab w:val="left" w:pos="360"/>
        </w:tabs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Oferta oraz wszystkie załączniki wymagają podpisu osób uprawnionych do reprezentowania wykonawcy w obrocie gospodarczym, zgodnie z aktem rejestracyjnym, wymaganiami ustawowymi oraz przepisami prawa. </w:t>
      </w:r>
    </w:p>
    <w:p w:rsidR="00000000" w:rsidDel="00000000" w:rsidP="00000000" w:rsidRDefault="00000000" w:rsidRPr="00000000" w14:paraId="00000084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XI. Miejsce oraz termin składania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Oferta powinna być dostarczona w formie elektronicznej (skanu wypełnionego i podpisanego formularza ofertowego lub własnej oferty spełniającej wymagania stawiane w zapytaniu), wysłana na adres: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projekt@naturaexpert.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 terminie do dnia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14-10-2022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 lub pisemnie  z datą wpływu oferty najpóźniej w dniu 14-10-2022 roku, na adres KGNE, 21-110 Ostrów Lubelski, ul. Zachodnia 8.</w:t>
      </w:r>
    </w:p>
    <w:p w:rsidR="00000000" w:rsidDel="00000000" w:rsidP="00000000" w:rsidRDefault="00000000" w:rsidRPr="00000000" w14:paraId="00000087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Oferta może zostać złożona w języku polskim, angielskim. </w:t>
      </w:r>
    </w:p>
    <w:p w:rsidR="00000000" w:rsidDel="00000000" w:rsidP="00000000" w:rsidRDefault="00000000" w:rsidRPr="00000000" w14:paraId="00000088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XII.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Opis sposobu obliczenia ceny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Cena oferty to cena netto.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Podatek VAT zostanie ustalony zgodnie z obowiązującymi przepisami w tym zakresie.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Wszelkie rozliczenia między Zamawiającym i Wykonawcą mogą być prowadzone w PLN lub EUR, USD</w:t>
      </w:r>
    </w:p>
    <w:p w:rsidR="00000000" w:rsidDel="00000000" w:rsidP="00000000" w:rsidRDefault="00000000" w:rsidRPr="00000000" w14:paraId="0000008C">
      <w:pPr>
        <w:spacing w:after="0" w:line="276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XIII.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Opis kryteriów, którymi Zamawiający będzie się kierował przy wyborze oferty wraz z podaniem znaczenia tych kryteriów oraz sposobu oceny ofert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Wybrana zostanie oferta, która uzyska największą liczbę punktów. Wybór oferty dokonany zostanie na podstawie kryteriów oceny ofert z ustaloną punktacją do 100 pkt. (100%=</w:t>
      </w:r>
      <w:r w:rsidDel="00000000" w:rsidR="00000000" w:rsidRPr="00000000">
        <w:rPr>
          <w:sz w:val="18"/>
          <w:szCs w:val="18"/>
          <w:rtl w:val="0"/>
        </w:rPr>
        <w:t xml:space="preserve">100 pkt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): 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Kryteria oceny ofert : Waga (%)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Cena netto oferty za ofertę zgodną z wymaganiami Zamawiającego:  80 %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Okres gwarancji:  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A. Cena oferty - 80 %</w:t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Punktacja:</w:t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Liczba punktów = (najniższa cena : cena badanej oferty) x 80 pkt.</w:t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 tym kryterium Wykonawca może otrzymać maksymalnie 80 pkt.</w:t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B. Okres gwarancji – 20%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Wartość punktowa (G) w kryterium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wyliczany będzie wg wzoru:</w:t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 = Gmin/Gn * 20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gdzie:</w:t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Gmin –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(w miesiącach) – najkrótszy wśród ocenianych ofert.</w:t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Gn –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(w miesiącach)  – ocenianej oferty;</w:t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Maksymalna ilość punktów, jaką może otrzymać oferta Wykonawcy w kryterium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wynosi 20 pkt.</w:t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(w miesiącach), określony w Formularzu ofertowym, wykonawca podaje w miesiącach.</w:t>
      </w:r>
    </w:p>
    <w:p w:rsidR="00000000" w:rsidDel="00000000" w:rsidP="00000000" w:rsidRDefault="00000000" w:rsidRPr="00000000" w14:paraId="0000009E">
      <w:pPr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Minimalny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(w miesiącach)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wynosi 12 miesięcy.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Jeżeli wykonawca wskaże okres gwarancji krótszy niż 12 miesięcy, oferta zostanie odrzucona jako niezgodna z treścią Zapytania ofertowego.</w:t>
      </w:r>
    </w:p>
    <w:p w:rsidR="00000000" w:rsidDel="00000000" w:rsidP="00000000" w:rsidRDefault="00000000" w:rsidRPr="00000000" w14:paraId="000000A0">
      <w:pPr>
        <w:spacing w:after="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Jeżeli Wykonawca nie wskaże żadnego Okres gwarancji (w miesiącach), oferta zostanie odrzucona jako niezgodna z treścią Zapytania ofertowego.</w:t>
      </w:r>
    </w:p>
    <w:p w:rsidR="00000000" w:rsidDel="00000000" w:rsidP="00000000" w:rsidRDefault="00000000" w:rsidRPr="00000000" w14:paraId="000000A1">
      <w:pPr>
        <w:spacing w:after="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Do oceny punktowej za maksymalny okres gwarancji zamawiający przyjmuje 24 miesiące, jeżeli wykonawca wskaże okres gwarancji dłuższy niż 24 miesiące, oferta zostanie uznana i zaliczona z okresem maksymalnym przyjętym przez zamawiającego.</w:t>
      </w:r>
    </w:p>
    <w:p w:rsidR="00000000" w:rsidDel="00000000" w:rsidP="00000000" w:rsidRDefault="00000000" w:rsidRPr="00000000" w14:paraId="000000A2">
      <w:pPr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XIV.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Informacja o formalnościach, jakie powinny zostać dopełnione po wyborze oferty w celu zawarcia umowy w sprawie zamówienia publicznego</w:t>
      </w:r>
    </w:p>
    <w:p w:rsidR="00000000" w:rsidDel="00000000" w:rsidP="00000000" w:rsidRDefault="00000000" w:rsidRPr="00000000" w14:paraId="000000A4">
      <w:pPr>
        <w:numPr>
          <w:ilvl w:val="0"/>
          <w:numId w:val="11"/>
        </w:numPr>
        <w:tabs>
          <w:tab w:val="left" w:pos="360"/>
          <w:tab w:val="right" w:pos="9072"/>
        </w:tabs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 wyborze najkorzystniejszej oferty Zamawiający poinformuje w sposób jaki zostało upublicznione zapytanie ofertowe. </w:t>
      </w:r>
    </w:p>
    <w:p w:rsidR="00000000" w:rsidDel="00000000" w:rsidP="00000000" w:rsidRDefault="00000000" w:rsidRPr="00000000" w14:paraId="000000A5">
      <w:pPr>
        <w:numPr>
          <w:ilvl w:val="0"/>
          <w:numId w:val="11"/>
        </w:numPr>
        <w:tabs>
          <w:tab w:val="left" w:pos="360"/>
          <w:tab w:val="right" w:pos="9072"/>
        </w:tabs>
        <w:spacing w:after="0" w:line="276" w:lineRule="auto"/>
        <w:ind w:left="36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Jeżeli oferta wykonawców ubiegających się wspólnie o udzielenie zamówienia zostanie wybrana, zamawiający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przed zawarciem umowy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wymaga przedłożenia umowy regulującej współpracę tych wykonawców. </w:t>
      </w:r>
    </w:p>
    <w:p w:rsidR="00000000" w:rsidDel="00000000" w:rsidP="00000000" w:rsidRDefault="00000000" w:rsidRPr="00000000" w14:paraId="000000A6">
      <w:pPr>
        <w:numPr>
          <w:ilvl w:val="0"/>
          <w:numId w:val="11"/>
        </w:numPr>
        <w:tabs>
          <w:tab w:val="left" w:pos="360"/>
          <w:tab w:val="right" w:pos="9072"/>
        </w:tabs>
        <w:spacing w:after="0" w:line="276" w:lineRule="auto"/>
        <w:ind w:left="36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Wymagane jest podpisanie umowy po wyborze oferty Wykonawcy z Zamawiającym.</w:t>
      </w:r>
    </w:p>
    <w:p w:rsidR="00000000" w:rsidDel="00000000" w:rsidP="00000000" w:rsidRDefault="00000000" w:rsidRPr="00000000" w14:paraId="000000A7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XV.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Istotne dla stron postanowienia, które zostaną wprowadzone do treści zawieranej umowy w sprawie zamówienia publicznego</w:t>
      </w:r>
    </w:p>
    <w:p w:rsidR="00000000" w:rsidDel="00000000" w:rsidP="00000000" w:rsidRDefault="00000000" w:rsidRPr="00000000" w14:paraId="000000A9">
      <w:pPr>
        <w:numPr>
          <w:ilvl w:val="0"/>
          <w:numId w:val="7"/>
        </w:numPr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Umowa zawarta zostanie z uwzględnieniem postanowień wynikających z treści SIWZ oraz danych zawartych w ofercie.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Zamawiający dopuszcza zmianę istotnych postanowień umowy w stosunku do treści oferty Wykonawcy: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zakresie sposobu spełnienia świadczenia, w szczególności ze względu na: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spacing w:after="0" w:line="276" w:lineRule="auto"/>
        <w:ind w:left="643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niedostępność na rynku urządzeń wskazanych w Zapytaniu ofertowym, spowodowaną zaprzestaniem produkcji lub wycofaniem z rynku tych materiałów lub urządzeń;</w:t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spacing w:after="0" w:line="276" w:lineRule="auto"/>
        <w:ind w:left="643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pojawienie się na rynku części, materiałów lub urządzeń nowszej generacji, pozwalających na zaoszczędzenie kosztów realizacji przedmiotu zamówienia lub kosztów eksploatacji wykonanego przedmiotu zamówienia;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spacing w:after="0" w:line="276" w:lineRule="auto"/>
        <w:ind w:left="643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pojawienie się nowszej technologii wykonania przedmiotu zamówienia, pozwalającej na zaoszczędzenie czasu realizacji zamówienia lub jego kosztów, jak również kosztów eksploatacji wykonanego przedmiotu zamówienia;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spacing w:after="0" w:line="276" w:lineRule="auto"/>
        <w:ind w:left="643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konieczność zrealizowania zamówienia przy zastosowaniu innych rozwiązań technicznych lub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materiałowych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ze względu na zmiany obowiązującego prawa;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pod warunkiem, iż zmiana ta nie spowoduje podwyższenia wynagrodzenia;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zakresie terminu w przypadku: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gdy będzie to konieczne ze względu na zapewnienie bezpieczeństwa lub zapobieżenie awarii;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gdy będzie to konieczne ze względu na zmianę przepisów prawa związanych z przedmiotem zamówienia;</w:t>
      </w:r>
    </w:p>
    <w:p w:rsidR="00000000" w:rsidDel="00000000" w:rsidP="00000000" w:rsidRDefault="00000000" w:rsidRPr="00000000" w14:paraId="000000B3">
      <w:pPr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3) w zakresie przedmiotu zamówienia w przypadku: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gdy będzie to konieczne ze względu na zapewnienie bezpieczeństwa lub zapobieżenie awarii;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gdy będzie to konieczne ze względu na zmianę przepisów prawa związanych z przedmiotem zamówienia; pod warunkiem, iż zmiana ta nie spowoduje podwyższenia wynagrodzenia;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Ponadto Zamawiający przewiduje możliwość zmiany postanowień Umowy, w przypadku wystąpienia okoliczności </w:t>
      </w:r>
      <w:r w:rsidDel="00000000" w:rsidR="00000000" w:rsidRPr="00000000">
        <w:rPr>
          <w:sz w:val="18"/>
          <w:szCs w:val="18"/>
          <w:rtl w:val="0"/>
        </w:rPr>
        <w:t xml:space="preserve">niewynikających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z winy Wykonawcy ani Zamawiającego, których mimo zachowania należytej staranności nie można było przewidzieć przed wszczęciem postępowania o udzielenie zamówienia publicznego oraz podczas jego realizacji, skutkujących tym, że zrealizowanie założonego pierwotnie celu Umowy byłoby niemożliwe bez wprowadzenia tych zmian lub zmiany te są korzystne dla Zamawiającego.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Zmiana postanowień zawartej Umowy może nastąpić wyłącznie, za zgodą obu Stron wyrażoną na piśmie w formie Aneksu do Umowy, pod rygorem nieważności takiej zmiany.</w:t>
      </w:r>
    </w:p>
    <w:p w:rsidR="00000000" w:rsidDel="00000000" w:rsidP="00000000" w:rsidRDefault="00000000" w:rsidRPr="00000000" w14:paraId="000000B8">
      <w:pPr>
        <w:spacing w:after="0"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XVI.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Informacje dotyczące walut obcych, w jakich mogą być prowadzone rozliczenia między zamawiającym, a wykonawcą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Zamawiający  dopuszcza rozliczenia w walutach obcych. </w:t>
      </w:r>
    </w:p>
    <w:p w:rsidR="00000000" w:rsidDel="00000000" w:rsidP="00000000" w:rsidRDefault="00000000" w:rsidRPr="00000000" w14:paraId="000000BB">
      <w:pPr>
        <w:spacing w:after="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Rozliczenia mogą być prowadzone</w:t>
      </w:r>
      <w:r w:rsidDel="00000000" w:rsidR="00000000" w:rsidRPr="00000000">
        <w:rPr>
          <w:sz w:val="18"/>
          <w:szCs w:val="18"/>
          <w:rtl w:val="0"/>
        </w:rPr>
        <w:t xml:space="preserve"> w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walucie polskiej PLN, </w:t>
      </w:r>
      <w:r w:rsidDel="00000000" w:rsidR="00000000" w:rsidRPr="00000000">
        <w:rPr>
          <w:sz w:val="18"/>
          <w:szCs w:val="18"/>
          <w:rtl w:val="0"/>
        </w:rPr>
        <w:t xml:space="preserve">EUR i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XVIII.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Koszty udziału w postępowaniu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Zamawiający nie przewiduje zwrotu kosztów udziału w postępowaniu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" w:right="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Zatwierdził:  Krzysztof Gruszczyk</w:t>
      </w:r>
    </w:p>
    <w:p w:rsidR="00000000" w:rsidDel="00000000" w:rsidP="00000000" w:rsidRDefault="00000000" w:rsidRPr="00000000" w14:paraId="000000C1">
      <w:pPr>
        <w:spacing w:after="0" w:line="276" w:lineRule="auto"/>
        <w:jc w:val="center"/>
        <w:rPr>
          <w:rFonts w:ascii="Calibri" w:cs="Calibri" w:eastAsia="Calibri" w:hAnsi="Calibri"/>
          <w:b w:val="1"/>
          <w:i w:val="1"/>
          <w:color w:val="1f4e7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Lublin, dnia 31-08-2022 r.</w:t>
      </w:r>
    </w:p>
    <w:p w:rsidR="00000000" w:rsidDel="00000000" w:rsidP="00000000" w:rsidRDefault="00000000" w:rsidRPr="00000000" w14:paraId="000000C3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Załączniki:</w:t>
      </w:r>
    </w:p>
    <w:p w:rsidR="00000000" w:rsidDel="00000000" w:rsidP="00000000" w:rsidRDefault="00000000" w:rsidRPr="00000000" w14:paraId="000000C5">
      <w:pPr>
        <w:spacing w:line="276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Formularz ofertowy</w:t>
      </w:r>
    </w:p>
    <w:p w:rsidR="00000000" w:rsidDel="00000000" w:rsidP="00000000" w:rsidRDefault="00000000" w:rsidRPr="00000000" w14:paraId="000000C6">
      <w:pPr>
        <w:spacing w:line="276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Oświadczenie wykonawcy o baraku powiązań</w:t>
      </w:r>
    </w:p>
    <w:p w:rsidR="00000000" w:rsidDel="00000000" w:rsidP="00000000" w:rsidRDefault="00000000" w:rsidRPr="00000000" w14:paraId="000000C7">
      <w:pPr>
        <w:spacing w:line="276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972810" cy="68008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2810" cy="6800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%1)"/>
      <w:lvlJc w:val="left"/>
      <w:pPr>
        <w:ind w:left="643" w:hanging="360"/>
      </w:pPr>
      <w:rPr/>
    </w:lvl>
    <w:lvl w:ilvl="1">
      <w:start w:val="1"/>
      <w:numFmt w:val="lowerLetter"/>
      <w:lvlText w:val="%2."/>
      <w:lvlJc w:val="left"/>
      <w:pPr>
        <w:ind w:left="1363" w:hanging="359.9999999999999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upperRoman"/>
      <w:lvlText w:val="%2."/>
      <w:lvlJc w:val="righ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106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6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3139"/>
    <w:pPr>
      <w:suppressAutoHyphens w:val="1"/>
      <w:spacing w:line="256" w:lineRule="auto"/>
    </w:pPr>
    <w:rPr>
      <w:rFonts w:ascii="Calibri" w:cs="Times New Roman" w:eastAsia="Calibri" w:hAnsi="Calibri"/>
      <w:lang w:eastAsia="zh-C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Lista">
    <w:name w:val="List"/>
    <w:basedOn w:val="Normalny"/>
    <w:rsid w:val="00B6313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B6313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nhideWhenUsed w:val="1"/>
    <w:rsid w:val="00B631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styleId="NagwekZnak" w:customStyle="1">
    <w:name w:val="Nagłówek Znak"/>
    <w:basedOn w:val="Domylnaczcionkaakapitu"/>
    <w:link w:val="Nagwek"/>
    <w:rsid w:val="00B63139"/>
    <w:rPr>
      <w:rFonts w:ascii="Calibri" w:cs="Times New Roman" w:eastAsia="Calibri" w:hAnsi="Calibri"/>
      <w:sz w:val="20"/>
      <w:szCs w:val="20"/>
      <w:lang w:eastAsia="zh-CN" w:val="x-none"/>
    </w:rPr>
  </w:style>
  <w:style w:type="character" w:styleId="Teksttreci" w:customStyle="1">
    <w:name w:val="Tekst treści_"/>
    <w:link w:val="Teksttreci0"/>
    <w:locked w:val="1"/>
    <w:rsid w:val="00B63139"/>
    <w:rPr>
      <w:rFonts w:ascii="Arial" w:cs="Arial" w:hAnsi="Arial"/>
      <w:shd w:color="auto" w:fill="ffffff" w:val="clear"/>
    </w:rPr>
  </w:style>
  <w:style w:type="paragraph" w:styleId="Teksttreci0" w:customStyle="1">
    <w:name w:val="Tekst treści"/>
    <w:basedOn w:val="Normalny"/>
    <w:link w:val="Teksttreci"/>
    <w:rsid w:val="00B63139"/>
    <w:pPr>
      <w:shd w:color="auto" w:fill="ffffff" w:val="clear"/>
      <w:suppressAutoHyphens w:val="0"/>
      <w:spacing w:after="0" w:before="540" w:line="250" w:lineRule="exact"/>
      <w:ind w:hanging="400"/>
      <w:jc w:val="both"/>
    </w:pPr>
    <w:rPr>
      <w:rFonts w:ascii="Arial" w:cs="Arial" w:hAnsi="Arial" w:eastAsiaTheme="minorHAnsi"/>
      <w:lang w:eastAsia="en-US"/>
    </w:rPr>
  </w:style>
  <w:style w:type="character" w:styleId="js-text-content" w:customStyle="1">
    <w:name w:val="js-text-content"/>
    <w:rsid w:val="00B63139"/>
  </w:style>
  <w:style w:type="character" w:styleId="Hipercze">
    <w:name w:val="Hyperlink"/>
    <w:unhideWhenUsed w:val="1"/>
    <w:rsid w:val="00B63139"/>
    <w:rPr>
      <w:color w:val="0000ff"/>
      <w:u w:val="single"/>
    </w:rPr>
  </w:style>
  <w:style w:type="paragraph" w:styleId="NormalnyWeb">
    <w:name w:val="Normal (Web)"/>
    <w:basedOn w:val="Normalny"/>
    <w:uiPriority w:val="99"/>
    <w:unhideWhenUsed w:val="1"/>
    <w:rsid w:val="00FA0401"/>
    <w:pPr>
      <w:suppressAutoHyphens w:val="0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jekt@naturaexpert.com" TargetMode="External"/><Relationship Id="rId8" Type="http://schemas.openxmlformats.org/officeDocument/2006/relationships/hyperlink" Target="about:bla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IMvQc0n0VyK5s+krfyE8IHlrDw==">AMUW2mWlXAy/ut6cQQ8GoZX2Hjy7VZHRbqxkPTOHYYeHAEgYn0lKXi+DN7oclr+RT6qS5isOHGXAjohZld8cf1Dv5O/b2TZHAwcgyPsTmYdphIbc+1zAe1MCn5EqZKFtd5AaqTNe7W/R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2022-09-11T17:20:00Z</dcterms:created>
  <dc:creator>Krzysztof Gruszczyk</dc:creator>
</cp:coreProperties>
</file>