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9B94" w14:textId="77777777" w:rsidR="003369F9" w:rsidRPr="00F61B8E" w:rsidRDefault="003369F9" w:rsidP="003369F9">
      <w:pPr>
        <w:jc w:val="right"/>
        <w:rPr>
          <w:rFonts w:ascii="Calibri" w:hAnsi="Calibri" w:cs="Arial"/>
          <w:sz w:val="20"/>
          <w:szCs w:val="20"/>
        </w:rPr>
      </w:pPr>
      <w:r w:rsidRPr="00F61B8E">
        <w:rPr>
          <w:rFonts w:ascii="Calibri" w:hAnsi="Calibri" w:cs="Arial"/>
          <w:b/>
          <w:bCs/>
          <w:sz w:val="20"/>
          <w:szCs w:val="20"/>
        </w:rPr>
        <w:tab/>
      </w:r>
      <w:r w:rsidRPr="00F61B8E">
        <w:rPr>
          <w:rFonts w:ascii="Calibri" w:hAnsi="Calibri" w:cs="Arial"/>
          <w:sz w:val="20"/>
          <w:szCs w:val="20"/>
        </w:rPr>
        <w:t xml:space="preserve">Zał. nr </w:t>
      </w:r>
      <w:r>
        <w:rPr>
          <w:rFonts w:ascii="Calibri" w:hAnsi="Calibri" w:cs="Arial"/>
          <w:sz w:val="20"/>
          <w:szCs w:val="20"/>
        </w:rPr>
        <w:t>2</w:t>
      </w:r>
    </w:p>
    <w:p w14:paraId="547B4598" w14:textId="77777777" w:rsidR="003369F9" w:rsidRPr="00F61B8E" w:rsidRDefault="003369F9" w:rsidP="003369F9">
      <w:pPr>
        <w:jc w:val="center"/>
        <w:rPr>
          <w:rFonts w:ascii="Calibri" w:hAnsi="Calibri" w:cs="Arial"/>
          <w:b/>
          <w:bCs/>
          <w:sz w:val="20"/>
          <w:szCs w:val="20"/>
        </w:rPr>
      </w:pPr>
    </w:p>
    <w:p w14:paraId="1829C757" w14:textId="77777777" w:rsidR="003369F9" w:rsidRDefault="003369F9" w:rsidP="003369F9">
      <w:pPr>
        <w:jc w:val="center"/>
        <w:rPr>
          <w:rFonts w:ascii="Calibri" w:hAnsi="Calibri" w:cs="Arial"/>
          <w:b/>
          <w:bCs/>
          <w:sz w:val="20"/>
          <w:szCs w:val="20"/>
        </w:rPr>
      </w:pPr>
      <w:r>
        <w:rPr>
          <w:rFonts w:ascii="Calibri" w:hAnsi="Calibri" w:cs="Arial"/>
          <w:b/>
          <w:bCs/>
          <w:sz w:val="20"/>
          <w:szCs w:val="20"/>
        </w:rPr>
        <w:t>SZCZEGÓŁOWY OPIS PRZEDMIOTU ZAMÓWIENIA</w:t>
      </w:r>
    </w:p>
    <w:p w14:paraId="15D11665" w14:textId="6CC0682E" w:rsidR="00D64A3B" w:rsidRDefault="00D64A3B" w:rsidP="003369F9">
      <w:pPr>
        <w:rPr>
          <w:rFonts w:asciiTheme="minorHAnsi" w:hAnsiTheme="minorHAnsi" w:cstheme="minorHAnsi"/>
          <w:sz w:val="20"/>
          <w:szCs w:val="20"/>
        </w:rPr>
      </w:pPr>
    </w:p>
    <w:p w14:paraId="4E885AB9" w14:textId="77777777" w:rsidR="008E5F1C" w:rsidRPr="008E5F1C" w:rsidRDefault="008E5F1C" w:rsidP="008E5F1C">
      <w:pPr>
        <w:spacing w:after="160" w:line="259" w:lineRule="auto"/>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Wymagania do </w:t>
      </w:r>
      <w:bookmarkStart w:id="0" w:name="_Hlk107229943"/>
      <w:r w:rsidRPr="008E5F1C">
        <w:rPr>
          <w:rFonts w:asciiTheme="minorHAnsi" w:eastAsiaTheme="minorHAnsi" w:hAnsiTheme="minorHAnsi" w:cstheme="minorBidi"/>
          <w:sz w:val="22"/>
          <w:szCs w:val="22"/>
          <w:lang w:eastAsia="en-US"/>
        </w:rPr>
        <w:t>systemu regałów ruchomych</w:t>
      </w:r>
      <w:bookmarkEnd w:id="0"/>
      <w:r w:rsidRPr="008E5F1C">
        <w:rPr>
          <w:rFonts w:asciiTheme="minorHAnsi" w:eastAsiaTheme="minorHAnsi" w:hAnsiTheme="minorHAnsi" w:cstheme="minorBidi"/>
          <w:sz w:val="22"/>
          <w:szCs w:val="22"/>
          <w:lang w:eastAsia="en-US"/>
        </w:rPr>
        <w:t>.</w:t>
      </w:r>
    </w:p>
    <w:p w14:paraId="600D5108" w14:textId="77777777" w:rsidR="008E5F1C" w:rsidRPr="008E5F1C" w:rsidRDefault="008E5F1C" w:rsidP="008E5F1C">
      <w:pPr>
        <w:spacing w:after="160" w:line="259" w:lineRule="auto"/>
        <w:contextualSpacing/>
        <w:rPr>
          <w:rFonts w:asciiTheme="minorHAnsi" w:eastAsiaTheme="minorHAnsi" w:hAnsiTheme="minorHAnsi" w:cstheme="minorBidi"/>
          <w:b/>
          <w:bCs/>
          <w:sz w:val="22"/>
          <w:szCs w:val="22"/>
          <w:u w:val="single"/>
          <w:lang w:eastAsia="en-US"/>
        </w:rPr>
      </w:pPr>
      <w:r w:rsidRPr="008E5F1C">
        <w:rPr>
          <w:rFonts w:asciiTheme="minorHAnsi" w:eastAsiaTheme="minorHAnsi" w:hAnsiTheme="minorHAnsi" w:cstheme="minorBidi"/>
          <w:b/>
          <w:bCs/>
          <w:sz w:val="22"/>
          <w:szCs w:val="22"/>
          <w:u w:val="single"/>
          <w:lang w:eastAsia="en-US"/>
        </w:rPr>
        <w:t>OPIS I PARAMETRY SYSTEMU REGAŁÓW PRZESUWNYCH:</w:t>
      </w:r>
    </w:p>
    <w:p w14:paraId="79EA9A56"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Plan ustawienia regałów pokazano na załączonym rysunku: </w:t>
      </w:r>
    </w:p>
    <w:p w14:paraId="382FCDCD"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w:t>
      </w:r>
      <w:r w:rsidRPr="008E5F1C">
        <w:rPr>
          <w:rFonts w:asciiTheme="minorHAnsi" w:eastAsiaTheme="minorHAnsi" w:hAnsiTheme="minorHAnsi" w:cstheme="minorBidi"/>
          <w:b/>
          <w:bCs/>
          <w:sz w:val="22"/>
          <w:szCs w:val="22"/>
          <w:lang w:eastAsia="en-US"/>
        </w:rPr>
        <w:t>ZAŁĄCZNIK NR 1. RZUT PARTERU-MAGAZYN-USTAWIENIE REGAŁÓW SUWANYCH</w:t>
      </w:r>
      <w:r w:rsidRPr="008E5F1C">
        <w:rPr>
          <w:rFonts w:asciiTheme="minorHAnsi" w:eastAsiaTheme="minorHAnsi" w:hAnsiTheme="minorHAnsi" w:cstheme="minorBidi"/>
          <w:sz w:val="22"/>
          <w:szCs w:val="22"/>
          <w:lang w:eastAsia="en-US"/>
        </w:rPr>
        <w:t>”</w:t>
      </w:r>
    </w:p>
    <w:p w14:paraId="1CF7155B"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Komentarze opisowe znajdują się na rysunku:</w:t>
      </w:r>
    </w:p>
    <w:p w14:paraId="4DFAFC67" w14:textId="77777777" w:rsidR="008E5F1C" w:rsidRPr="008E5F1C" w:rsidRDefault="008E5F1C" w:rsidP="008E5F1C">
      <w:pPr>
        <w:spacing w:after="160" w:line="259" w:lineRule="auto"/>
        <w:ind w:left="360"/>
        <w:contextualSpacing/>
        <w:rPr>
          <w:rFonts w:asciiTheme="minorHAnsi" w:eastAsiaTheme="minorHAnsi" w:hAnsiTheme="minorHAnsi" w:cstheme="minorBidi"/>
          <w:b/>
          <w:bCs/>
          <w:sz w:val="22"/>
          <w:szCs w:val="22"/>
          <w:lang w:eastAsia="en-US"/>
        </w:rPr>
      </w:pPr>
      <w:r w:rsidRPr="008E5F1C">
        <w:rPr>
          <w:rFonts w:asciiTheme="minorHAnsi" w:eastAsiaTheme="minorHAnsi" w:hAnsiTheme="minorHAnsi" w:cstheme="minorBidi"/>
          <w:sz w:val="22"/>
          <w:szCs w:val="22"/>
          <w:lang w:eastAsia="en-US"/>
        </w:rPr>
        <w:t>„</w:t>
      </w:r>
      <w:r w:rsidRPr="008E5F1C">
        <w:rPr>
          <w:rFonts w:asciiTheme="minorHAnsi" w:eastAsiaTheme="minorHAnsi" w:hAnsiTheme="minorHAnsi" w:cstheme="minorBidi"/>
          <w:b/>
          <w:bCs/>
          <w:sz w:val="22"/>
          <w:szCs w:val="22"/>
          <w:lang w:eastAsia="en-US"/>
        </w:rPr>
        <w:t>ZAŁĄCZNIK NR 2. RZUT PARTERU-MAGAZYN-USTAWIENIE REGAŁÓW SUWANYCH_z opisem”</w:t>
      </w:r>
    </w:p>
    <w:p w14:paraId="30B1EC09"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Magazyn podzielony jest na dwie sekcje. Każda z sekcji posiada jeden korytarz roboczy.</w:t>
      </w:r>
    </w:p>
    <w:p w14:paraId="34B8EF56"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Sekcje są rozdzielone jednym regałem statyczny podwójnym.</w:t>
      </w:r>
    </w:p>
    <w:p w14:paraId="35C27675"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Jednostka ładunkowa:</w:t>
      </w:r>
    </w:p>
    <w:p w14:paraId="00473389"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Jednostka ładunkowa, dla której został opracowany projekt oraz typ palety Europaleta.</w:t>
      </w:r>
    </w:p>
    <w:p w14:paraId="4690B7C1"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p>
    <w:tbl>
      <w:tblPr>
        <w:tblW w:w="0" w:type="auto"/>
        <w:tblLayout w:type="fixed"/>
        <w:tblCellMar>
          <w:left w:w="70" w:type="dxa"/>
          <w:right w:w="70" w:type="dxa"/>
        </w:tblCellMar>
        <w:tblLook w:val="0000" w:firstRow="0" w:lastRow="0" w:firstColumn="0" w:lastColumn="0" w:noHBand="0" w:noVBand="0"/>
      </w:tblPr>
      <w:tblGrid>
        <w:gridCol w:w="1004"/>
        <w:gridCol w:w="866"/>
        <w:gridCol w:w="1142"/>
        <w:gridCol w:w="1004"/>
        <w:gridCol w:w="1005"/>
        <w:gridCol w:w="4049"/>
      </w:tblGrid>
      <w:tr w:rsidR="008E5F1C" w:rsidRPr="008E5F1C" w14:paraId="111B499E" w14:textId="77777777" w:rsidTr="006D6775">
        <w:trPr>
          <w:cantSplit/>
          <w:trHeight w:val="912"/>
        </w:trPr>
        <w:tc>
          <w:tcPr>
            <w:tcW w:w="5021" w:type="dxa"/>
            <w:gridSpan w:val="5"/>
            <w:tcBorders>
              <w:bottom w:val="single" w:sz="4" w:space="0" w:color="auto"/>
            </w:tcBorders>
            <w:vAlign w:val="center"/>
          </w:tcPr>
          <w:p w14:paraId="38E64EAB" w14:textId="77777777" w:rsidR="008E5F1C" w:rsidRPr="008E5F1C" w:rsidRDefault="008E5F1C" w:rsidP="008E5F1C">
            <w:pPr>
              <w:spacing w:after="120" w:line="259" w:lineRule="auto"/>
              <w:rPr>
                <w:rFonts w:asciiTheme="minorHAnsi" w:eastAsiaTheme="minorHAnsi" w:hAnsiTheme="minorHAnsi" w:cs="Arial"/>
                <w:sz w:val="20"/>
                <w:szCs w:val="20"/>
                <w:lang w:eastAsia="en-US"/>
              </w:rPr>
            </w:pPr>
            <w:r w:rsidRPr="008E5F1C">
              <w:rPr>
                <w:rFonts w:asciiTheme="minorHAnsi" w:eastAsiaTheme="minorHAnsi" w:hAnsiTheme="minorHAnsi" w:cs="Arial"/>
                <w:sz w:val="20"/>
                <w:szCs w:val="20"/>
                <w:lang w:eastAsia="en-US"/>
              </w:rPr>
              <w:t>Jednostka ładunkowa, dla której został opracowany projekt oraz typ palety Europaleta</w:t>
            </w:r>
          </w:p>
        </w:tc>
        <w:tc>
          <w:tcPr>
            <w:tcW w:w="4049" w:type="dxa"/>
            <w:vMerge w:val="restart"/>
            <w:vAlign w:val="center"/>
          </w:tcPr>
          <w:p w14:paraId="7664B907" w14:textId="77777777" w:rsidR="008E5F1C" w:rsidRPr="008E5F1C" w:rsidRDefault="008E5F1C" w:rsidP="008E5F1C">
            <w:pPr>
              <w:spacing w:after="120" w:line="259" w:lineRule="auto"/>
              <w:jc w:val="center"/>
              <w:rPr>
                <w:rFonts w:asciiTheme="minorHAnsi" w:eastAsiaTheme="minorHAnsi" w:hAnsiTheme="minorHAnsi" w:cs="Arial"/>
                <w:sz w:val="20"/>
                <w:szCs w:val="20"/>
                <w:lang w:eastAsia="en-US"/>
              </w:rPr>
            </w:pPr>
            <w:r w:rsidRPr="008E5F1C">
              <w:rPr>
                <w:rFonts w:asciiTheme="minorHAnsi" w:eastAsiaTheme="minorHAnsi" w:hAnsiTheme="minorHAnsi" w:cstheme="minorBidi"/>
                <w:b/>
                <w:noProof/>
                <w:sz w:val="16"/>
                <w:szCs w:val="16"/>
              </w:rPr>
              <w:drawing>
                <wp:inline distT="0" distB="0" distL="0" distR="0" wp14:anchorId="7A98D3AB" wp14:editId="53FD3903">
                  <wp:extent cx="2480945" cy="26003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0945" cy="2600325"/>
                          </a:xfrm>
                          <a:prstGeom prst="rect">
                            <a:avLst/>
                          </a:prstGeom>
                          <a:noFill/>
                          <a:ln>
                            <a:noFill/>
                          </a:ln>
                        </pic:spPr>
                      </pic:pic>
                    </a:graphicData>
                  </a:graphic>
                </wp:inline>
              </w:drawing>
            </w:r>
          </w:p>
        </w:tc>
      </w:tr>
      <w:tr w:rsidR="008E5F1C" w:rsidRPr="008E5F1C" w14:paraId="6A646FFF" w14:textId="77777777" w:rsidTr="006D6775">
        <w:trPr>
          <w:cantSplit/>
          <w:trHeight w:hRule="exact" w:val="400"/>
        </w:trPr>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5EE3E07A" w14:textId="77777777" w:rsidR="008E5F1C" w:rsidRPr="008E5F1C" w:rsidRDefault="008E5F1C" w:rsidP="008E5F1C">
            <w:pPr>
              <w:spacing w:after="120" w:line="259" w:lineRule="auto"/>
              <w:rPr>
                <w:rFonts w:asciiTheme="minorHAnsi" w:eastAsiaTheme="minorHAnsi" w:hAnsiTheme="minorHAnsi" w:cs="Arial"/>
                <w:b/>
                <w:bCs/>
                <w:sz w:val="18"/>
                <w:szCs w:val="18"/>
                <w:lang w:eastAsia="en-US"/>
              </w:rPr>
            </w:pPr>
          </w:p>
        </w:tc>
        <w:tc>
          <w:tcPr>
            <w:tcW w:w="866" w:type="dxa"/>
            <w:tcBorders>
              <w:top w:val="single" w:sz="4" w:space="0" w:color="auto"/>
              <w:bottom w:val="single" w:sz="4" w:space="0" w:color="auto"/>
              <w:right w:val="single" w:sz="4" w:space="0" w:color="auto"/>
            </w:tcBorders>
            <w:shd w:val="clear" w:color="auto" w:fill="E6E6E6"/>
            <w:vAlign w:val="center"/>
          </w:tcPr>
          <w:p w14:paraId="67279D5B" w14:textId="77777777" w:rsidR="008E5F1C" w:rsidRPr="008E5F1C" w:rsidRDefault="008E5F1C" w:rsidP="008E5F1C">
            <w:pPr>
              <w:spacing w:after="160" w:line="259" w:lineRule="auto"/>
              <w:jc w:val="center"/>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TYP 1</w:t>
            </w:r>
          </w:p>
        </w:tc>
        <w:tc>
          <w:tcPr>
            <w:tcW w:w="1142" w:type="dxa"/>
            <w:tcBorders>
              <w:top w:val="single" w:sz="4" w:space="0" w:color="auto"/>
              <w:bottom w:val="single" w:sz="4" w:space="0" w:color="auto"/>
              <w:right w:val="single" w:sz="4" w:space="0" w:color="auto"/>
            </w:tcBorders>
            <w:shd w:val="clear" w:color="auto" w:fill="E6E6E6"/>
            <w:vAlign w:val="center"/>
          </w:tcPr>
          <w:p w14:paraId="75CCA19E" w14:textId="77777777" w:rsidR="008E5F1C" w:rsidRPr="008E5F1C" w:rsidRDefault="008E5F1C" w:rsidP="008E5F1C">
            <w:pPr>
              <w:spacing w:after="160" w:line="259" w:lineRule="auto"/>
              <w:jc w:val="center"/>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TYP 2</w:t>
            </w:r>
          </w:p>
        </w:tc>
        <w:tc>
          <w:tcPr>
            <w:tcW w:w="1004" w:type="dxa"/>
            <w:tcBorders>
              <w:top w:val="single" w:sz="4" w:space="0" w:color="auto"/>
              <w:left w:val="single" w:sz="4" w:space="0" w:color="auto"/>
              <w:bottom w:val="single" w:sz="4" w:space="0" w:color="auto"/>
            </w:tcBorders>
            <w:shd w:val="clear" w:color="auto" w:fill="E6E6E6"/>
            <w:vAlign w:val="center"/>
          </w:tcPr>
          <w:p w14:paraId="46612A60" w14:textId="77777777" w:rsidR="008E5F1C" w:rsidRPr="008E5F1C" w:rsidRDefault="008E5F1C" w:rsidP="008E5F1C">
            <w:pPr>
              <w:spacing w:after="160" w:line="259" w:lineRule="auto"/>
              <w:jc w:val="center"/>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TYP 3</w:t>
            </w:r>
          </w:p>
        </w:tc>
        <w:tc>
          <w:tcPr>
            <w:tcW w:w="1005" w:type="dxa"/>
            <w:tcBorders>
              <w:top w:val="single" w:sz="4" w:space="0" w:color="auto"/>
              <w:left w:val="single" w:sz="4" w:space="0" w:color="auto"/>
              <w:bottom w:val="single" w:sz="4" w:space="0" w:color="auto"/>
              <w:right w:val="single" w:sz="4" w:space="0" w:color="auto"/>
            </w:tcBorders>
            <w:shd w:val="clear" w:color="auto" w:fill="E6E6E6"/>
            <w:vAlign w:val="center"/>
          </w:tcPr>
          <w:p w14:paraId="18A38802" w14:textId="77777777" w:rsidR="008E5F1C" w:rsidRPr="008E5F1C" w:rsidRDefault="008E5F1C" w:rsidP="008E5F1C">
            <w:pPr>
              <w:spacing w:after="160" w:line="259" w:lineRule="auto"/>
              <w:jc w:val="center"/>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TYP 4</w:t>
            </w:r>
          </w:p>
        </w:tc>
        <w:tc>
          <w:tcPr>
            <w:tcW w:w="4049" w:type="dxa"/>
            <w:vMerge/>
            <w:tcBorders>
              <w:left w:val="single" w:sz="4" w:space="0" w:color="auto"/>
            </w:tcBorders>
          </w:tcPr>
          <w:p w14:paraId="54A5741D" w14:textId="77777777" w:rsidR="008E5F1C" w:rsidRPr="008E5F1C" w:rsidRDefault="008E5F1C" w:rsidP="008E5F1C">
            <w:pPr>
              <w:spacing w:after="120" w:line="259" w:lineRule="auto"/>
              <w:rPr>
                <w:rFonts w:asciiTheme="minorHAnsi" w:eastAsiaTheme="minorHAnsi" w:hAnsiTheme="minorHAnsi" w:cs="Arial"/>
                <w:sz w:val="20"/>
                <w:szCs w:val="20"/>
                <w:lang w:eastAsia="en-US"/>
              </w:rPr>
            </w:pPr>
          </w:p>
        </w:tc>
      </w:tr>
      <w:tr w:rsidR="008E5F1C" w:rsidRPr="008E5F1C" w14:paraId="61C3E6FB" w14:textId="77777777" w:rsidTr="006D6775">
        <w:trPr>
          <w:cantSplit/>
          <w:trHeight w:hRule="exact" w:val="400"/>
        </w:trPr>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2A298652" w14:textId="77777777" w:rsidR="008E5F1C" w:rsidRPr="008E5F1C" w:rsidRDefault="008E5F1C" w:rsidP="008E5F1C">
            <w:pPr>
              <w:spacing w:after="120" w:line="259" w:lineRule="auto"/>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A- mm</w:t>
            </w:r>
          </w:p>
        </w:tc>
        <w:tc>
          <w:tcPr>
            <w:tcW w:w="866" w:type="dxa"/>
            <w:tcBorders>
              <w:top w:val="single" w:sz="4" w:space="0" w:color="auto"/>
              <w:bottom w:val="single" w:sz="4" w:space="0" w:color="auto"/>
              <w:right w:val="single" w:sz="4" w:space="0" w:color="auto"/>
            </w:tcBorders>
            <w:vAlign w:val="center"/>
          </w:tcPr>
          <w:p w14:paraId="1612B4DC"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800</w:t>
            </w:r>
          </w:p>
        </w:tc>
        <w:tc>
          <w:tcPr>
            <w:tcW w:w="1142" w:type="dxa"/>
            <w:tcBorders>
              <w:top w:val="single" w:sz="4" w:space="0" w:color="auto"/>
              <w:bottom w:val="single" w:sz="4" w:space="0" w:color="auto"/>
              <w:right w:val="single" w:sz="4" w:space="0" w:color="auto"/>
            </w:tcBorders>
            <w:vAlign w:val="center"/>
          </w:tcPr>
          <w:p w14:paraId="66B110D2"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800</w:t>
            </w:r>
          </w:p>
        </w:tc>
        <w:tc>
          <w:tcPr>
            <w:tcW w:w="1004" w:type="dxa"/>
            <w:tcBorders>
              <w:top w:val="single" w:sz="4" w:space="0" w:color="auto"/>
              <w:left w:val="single" w:sz="4" w:space="0" w:color="auto"/>
              <w:bottom w:val="single" w:sz="4" w:space="0" w:color="auto"/>
            </w:tcBorders>
            <w:vAlign w:val="center"/>
          </w:tcPr>
          <w:p w14:paraId="31DF2B45"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800</w:t>
            </w:r>
          </w:p>
        </w:tc>
        <w:tc>
          <w:tcPr>
            <w:tcW w:w="1005" w:type="dxa"/>
            <w:tcBorders>
              <w:top w:val="single" w:sz="4" w:space="0" w:color="auto"/>
              <w:left w:val="single" w:sz="4" w:space="0" w:color="auto"/>
              <w:bottom w:val="single" w:sz="4" w:space="0" w:color="auto"/>
              <w:right w:val="single" w:sz="4" w:space="0" w:color="auto"/>
            </w:tcBorders>
            <w:vAlign w:val="center"/>
          </w:tcPr>
          <w:p w14:paraId="598BCDE2"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800</w:t>
            </w:r>
          </w:p>
        </w:tc>
        <w:tc>
          <w:tcPr>
            <w:tcW w:w="4049" w:type="dxa"/>
            <w:vMerge/>
            <w:tcBorders>
              <w:left w:val="single" w:sz="4" w:space="0" w:color="auto"/>
            </w:tcBorders>
          </w:tcPr>
          <w:p w14:paraId="63662C71" w14:textId="77777777" w:rsidR="008E5F1C" w:rsidRPr="008E5F1C" w:rsidRDefault="008E5F1C" w:rsidP="008E5F1C">
            <w:pPr>
              <w:spacing w:after="120" w:line="259" w:lineRule="auto"/>
              <w:rPr>
                <w:rFonts w:asciiTheme="minorHAnsi" w:eastAsiaTheme="minorHAnsi" w:hAnsiTheme="minorHAnsi" w:cs="Arial"/>
                <w:sz w:val="20"/>
                <w:szCs w:val="20"/>
                <w:lang w:eastAsia="en-US"/>
              </w:rPr>
            </w:pPr>
          </w:p>
        </w:tc>
      </w:tr>
      <w:tr w:rsidR="008E5F1C" w:rsidRPr="008E5F1C" w14:paraId="2AF01811" w14:textId="77777777" w:rsidTr="006D6775">
        <w:trPr>
          <w:cantSplit/>
          <w:trHeight w:hRule="exact" w:val="400"/>
        </w:trPr>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338115A8" w14:textId="77777777" w:rsidR="008E5F1C" w:rsidRPr="008E5F1C" w:rsidRDefault="008E5F1C" w:rsidP="008E5F1C">
            <w:pPr>
              <w:spacing w:after="120" w:line="259" w:lineRule="auto"/>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B- mm</w:t>
            </w:r>
          </w:p>
        </w:tc>
        <w:tc>
          <w:tcPr>
            <w:tcW w:w="866" w:type="dxa"/>
            <w:tcBorders>
              <w:top w:val="single" w:sz="4" w:space="0" w:color="auto"/>
              <w:bottom w:val="single" w:sz="4" w:space="0" w:color="auto"/>
              <w:right w:val="single" w:sz="4" w:space="0" w:color="auto"/>
            </w:tcBorders>
            <w:vAlign w:val="center"/>
          </w:tcPr>
          <w:p w14:paraId="7A28AC23"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1200</w:t>
            </w:r>
          </w:p>
        </w:tc>
        <w:tc>
          <w:tcPr>
            <w:tcW w:w="1142" w:type="dxa"/>
            <w:tcBorders>
              <w:top w:val="single" w:sz="4" w:space="0" w:color="auto"/>
              <w:bottom w:val="single" w:sz="4" w:space="0" w:color="auto"/>
              <w:right w:val="single" w:sz="4" w:space="0" w:color="auto"/>
            </w:tcBorders>
            <w:vAlign w:val="center"/>
          </w:tcPr>
          <w:p w14:paraId="0560C051"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1200</w:t>
            </w:r>
          </w:p>
        </w:tc>
        <w:tc>
          <w:tcPr>
            <w:tcW w:w="1004" w:type="dxa"/>
            <w:tcBorders>
              <w:top w:val="single" w:sz="4" w:space="0" w:color="auto"/>
              <w:left w:val="single" w:sz="4" w:space="0" w:color="auto"/>
              <w:bottom w:val="single" w:sz="4" w:space="0" w:color="auto"/>
            </w:tcBorders>
            <w:vAlign w:val="center"/>
          </w:tcPr>
          <w:p w14:paraId="6BBE91CE"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1200</w:t>
            </w:r>
          </w:p>
        </w:tc>
        <w:tc>
          <w:tcPr>
            <w:tcW w:w="1005" w:type="dxa"/>
            <w:tcBorders>
              <w:top w:val="single" w:sz="4" w:space="0" w:color="auto"/>
              <w:left w:val="single" w:sz="4" w:space="0" w:color="auto"/>
              <w:bottom w:val="single" w:sz="4" w:space="0" w:color="auto"/>
              <w:right w:val="single" w:sz="4" w:space="0" w:color="auto"/>
            </w:tcBorders>
            <w:vAlign w:val="center"/>
          </w:tcPr>
          <w:p w14:paraId="08EC7663"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1200</w:t>
            </w:r>
          </w:p>
        </w:tc>
        <w:tc>
          <w:tcPr>
            <w:tcW w:w="4049" w:type="dxa"/>
            <w:vMerge/>
            <w:tcBorders>
              <w:left w:val="single" w:sz="4" w:space="0" w:color="auto"/>
            </w:tcBorders>
          </w:tcPr>
          <w:p w14:paraId="728672D4" w14:textId="77777777" w:rsidR="008E5F1C" w:rsidRPr="008E5F1C" w:rsidRDefault="008E5F1C" w:rsidP="008E5F1C">
            <w:pPr>
              <w:spacing w:after="120" w:line="259" w:lineRule="auto"/>
              <w:rPr>
                <w:rFonts w:asciiTheme="minorHAnsi" w:eastAsiaTheme="minorHAnsi" w:hAnsiTheme="minorHAnsi" w:cs="Arial"/>
                <w:sz w:val="20"/>
                <w:szCs w:val="20"/>
                <w:lang w:eastAsia="en-US"/>
              </w:rPr>
            </w:pPr>
          </w:p>
        </w:tc>
      </w:tr>
      <w:tr w:rsidR="008E5F1C" w:rsidRPr="008E5F1C" w14:paraId="6E741C38" w14:textId="77777777" w:rsidTr="006D6775">
        <w:trPr>
          <w:cantSplit/>
          <w:trHeight w:hRule="exact" w:val="400"/>
        </w:trPr>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57D81120" w14:textId="77777777" w:rsidR="008E5F1C" w:rsidRPr="008E5F1C" w:rsidRDefault="008E5F1C" w:rsidP="008E5F1C">
            <w:pPr>
              <w:spacing w:after="120" w:line="259" w:lineRule="auto"/>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C- mm</w:t>
            </w:r>
          </w:p>
        </w:tc>
        <w:tc>
          <w:tcPr>
            <w:tcW w:w="866" w:type="dxa"/>
            <w:tcBorders>
              <w:top w:val="single" w:sz="4" w:space="0" w:color="auto"/>
              <w:bottom w:val="single" w:sz="4" w:space="0" w:color="auto"/>
              <w:right w:val="single" w:sz="4" w:space="0" w:color="auto"/>
            </w:tcBorders>
            <w:vAlign w:val="center"/>
          </w:tcPr>
          <w:p w14:paraId="1715E75F" w14:textId="77777777" w:rsidR="008E5F1C" w:rsidRPr="008E5F1C" w:rsidRDefault="008E5F1C" w:rsidP="008E5F1C">
            <w:pPr>
              <w:spacing w:after="120" w:line="259" w:lineRule="auto"/>
              <w:jc w:val="center"/>
              <w:rPr>
                <w:rFonts w:asciiTheme="minorHAnsi" w:eastAsiaTheme="minorHAnsi" w:hAnsiTheme="minorHAnsi" w:cs="Arial"/>
                <w:sz w:val="15"/>
                <w:szCs w:val="15"/>
                <w:lang w:eastAsia="en-US"/>
              </w:rPr>
            </w:pPr>
            <w:r w:rsidRPr="008E5F1C">
              <w:rPr>
                <w:rFonts w:asciiTheme="minorHAnsi" w:eastAsiaTheme="minorHAnsi" w:hAnsiTheme="minorHAnsi" w:cs="Arial"/>
                <w:sz w:val="15"/>
                <w:szCs w:val="15"/>
                <w:lang w:eastAsia="en-US"/>
              </w:rPr>
              <w:t>1800</w:t>
            </w:r>
          </w:p>
        </w:tc>
        <w:tc>
          <w:tcPr>
            <w:tcW w:w="1142" w:type="dxa"/>
            <w:tcBorders>
              <w:top w:val="single" w:sz="4" w:space="0" w:color="auto"/>
              <w:bottom w:val="single" w:sz="4" w:space="0" w:color="auto"/>
              <w:right w:val="single" w:sz="4" w:space="0" w:color="auto"/>
            </w:tcBorders>
            <w:vAlign w:val="center"/>
          </w:tcPr>
          <w:p w14:paraId="3E59ECD2"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1800</w:t>
            </w:r>
          </w:p>
        </w:tc>
        <w:tc>
          <w:tcPr>
            <w:tcW w:w="1004" w:type="dxa"/>
            <w:tcBorders>
              <w:top w:val="single" w:sz="4" w:space="0" w:color="auto"/>
              <w:left w:val="single" w:sz="4" w:space="0" w:color="auto"/>
              <w:bottom w:val="single" w:sz="4" w:space="0" w:color="auto"/>
            </w:tcBorders>
            <w:vAlign w:val="center"/>
          </w:tcPr>
          <w:p w14:paraId="1ADF0ECE"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2000</w:t>
            </w:r>
          </w:p>
        </w:tc>
        <w:tc>
          <w:tcPr>
            <w:tcW w:w="1005" w:type="dxa"/>
            <w:tcBorders>
              <w:top w:val="single" w:sz="4" w:space="0" w:color="auto"/>
              <w:left w:val="single" w:sz="4" w:space="0" w:color="auto"/>
              <w:bottom w:val="single" w:sz="4" w:space="0" w:color="auto"/>
              <w:right w:val="single" w:sz="4" w:space="0" w:color="auto"/>
            </w:tcBorders>
            <w:vAlign w:val="center"/>
          </w:tcPr>
          <w:p w14:paraId="7A47B87E"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2000</w:t>
            </w:r>
          </w:p>
        </w:tc>
        <w:tc>
          <w:tcPr>
            <w:tcW w:w="4049" w:type="dxa"/>
            <w:vMerge/>
            <w:tcBorders>
              <w:left w:val="single" w:sz="4" w:space="0" w:color="auto"/>
            </w:tcBorders>
          </w:tcPr>
          <w:p w14:paraId="2C7DBACD" w14:textId="77777777" w:rsidR="008E5F1C" w:rsidRPr="008E5F1C" w:rsidRDefault="008E5F1C" w:rsidP="008E5F1C">
            <w:pPr>
              <w:spacing w:after="120" w:line="259" w:lineRule="auto"/>
              <w:rPr>
                <w:rFonts w:asciiTheme="minorHAnsi" w:eastAsiaTheme="minorHAnsi" w:hAnsiTheme="minorHAnsi" w:cs="Arial"/>
                <w:sz w:val="20"/>
                <w:szCs w:val="20"/>
                <w:lang w:eastAsia="en-US"/>
              </w:rPr>
            </w:pPr>
          </w:p>
        </w:tc>
      </w:tr>
      <w:tr w:rsidR="008E5F1C" w:rsidRPr="008E5F1C" w14:paraId="28C891A9" w14:textId="77777777" w:rsidTr="006D6775">
        <w:trPr>
          <w:cantSplit/>
          <w:trHeight w:hRule="exact" w:val="400"/>
        </w:trPr>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776B70B3" w14:textId="77777777" w:rsidR="008E5F1C" w:rsidRPr="008E5F1C" w:rsidRDefault="008E5F1C" w:rsidP="008E5F1C">
            <w:pPr>
              <w:spacing w:after="120" w:line="259" w:lineRule="auto"/>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D- mm</w:t>
            </w:r>
          </w:p>
        </w:tc>
        <w:tc>
          <w:tcPr>
            <w:tcW w:w="866" w:type="dxa"/>
            <w:tcBorders>
              <w:top w:val="single" w:sz="4" w:space="0" w:color="auto"/>
              <w:bottom w:val="single" w:sz="4" w:space="0" w:color="auto"/>
              <w:right w:val="single" w:sz="4" w:space="0" w:color="auto"/>
            </w:tcBorders>
            <w:vAlign w:val="center"/>
          </w:tcPr>
          <w:p w14:paraId="6FCF73A4"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1200</w:t>
            </w:r>
          </w:p>
        </w:tc>
        <w:tc>
          <w:tcPr>
            <w:tcW w:w="1142" w:type="dxa"/>
            <w:tcBorders>
              <w:top w:val="single" w:sz="4" w:space="0" w:color="auto"/>
              <w:bottom w:val="single" w:sz="4" w:space="0" w:color="auto"/>
              <w:right w:val="single" w:sz="4" w:space="0" w:color="auto"/>
            </w:tcBorders>
            <w:vAlign w:val="center"/>
          </w:tcPr>
          <w:p w14:paraId="04945B16"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1200</w:t>
            </w:r>
          </w:p>
        </w:tc>
        <w:tc>
          <w:tcPr>
            <w:tcW w:w="1004" w:type="dxa"/>
            <w:tcBorders>
              <w:top w:val="single" w:sz="4" w:space="0" w:color="auto"/>
              <w:left w:val="single" w:sz="4" w:space="0" w:color="auto"/>
              <w:bottom w:val="single" w:sz="4" w:space="0" w:color="auto"/>
            </w:tcBorders>
            <w:vAlign w:val="center"/>
          </w:tcPr>
          <w:p w14:paraId="4A76FBE3"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1200</w:t>
            </w:r>
          </w:p>
        </w:tc>
        <w:tc>
          <w:tcPr>
            <w:tcW w:w="1005" w:type="dxa"/>
            <w:tcBorders>
              <w:top w:val="single" w:sz="4" w:space="0" w:color="auto"/>
              <w:left w:val="single" w:sz="4" w:space="0" w:color="auto"/>
              <w:bottom w:val="single" w:sz="4" w:space="0" w:color="auto"/>
              <w:right w:val="single" w:sz="4" w:space="0" w:color="auto"/>
            </w:tcBorders>
            <w:vAlign w:val="center"/>
          </w:tcPr>
          <w:p w14:paraId="51AA0356"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1200</w:t>
            </w:r>
          </w:p>
        </w:tc>
        <w:tc>
          <w:tcPr>
            <w:tcW w:w="4049" w:type="dxa"/>
            <w:vMerge/>
            <w:tcBorders>
              <w:left w:val="single" w:sz="4" w:space="0" w:color="auto"/>
            </w:tcBorders>
          </w:tcPr>
          <w:p w14:paraId="024EEC36" w14:textId="77777777" w:rsidR="008E5F1C" w:rsidRPr="008E5F1C" w:rsidRDefault="008E5F1C" w:rsidP="008E5F1C">
            <w:pPr>
              <w:spacing w:after="120" w:line="259" w:lineRule="auto"/>
              <w:rPr>
                <w:rFonts w:asciiTheme="minorHAnsi" w:eastAsiaTheme="minorHAnsi" w:hAnsiTheme="minorHAnsi" w:cs="Arial"/>
                <w:sz w:val="20"/>
                <w:szCs w:val="20"/>
                <w:lang w:eastAsia="en-US"/>
              </w:rPr>
            </w:pPr>
          </w:p>
        </w:tc>
      </w:tr>
      <w:tr w:rsidR="008E5F1C" w:rsidRPr="008E5F1C" w14:paraId="225824D0" w14:textId="77777777" w:rsidTr="006D6775">
        <w:trPr>
          <w:cantSplit/>
          <w:trHeight w:hRule="exact" w:val="400"/>
        </w:trPr>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3188C329" w14:textId="77777777" w:rsidR="008E5F1C" w:rsidRPr="008E5F1C" w:rsidRDefault="008E5F1C" w:rsidP="008E5F1C">
            <w:pPr>
              <w:spacing w:after="120" w:line="259" w:lineRule="auto"/>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E- mm</w:t>
            </w:r>
          </w:p>
        </w:tc>
        <w:tc>
          <w:tcPr>
            <w:tcW w:w="866" w:type="dxa"/>
            <w:tcBorders>
              <w:top w:val="single" w:sz="4" w:space="0" w:color="auto"/>
              <w:bottom w:val="single" w:sz="4" w:space="0" w:color="auto"/>
              <w:right w:val="single" w:sz="4" w:space="0" w:color="auto"/>
            </w:tcBorders>
            <w:vAlign w:val="center"/>
          </w:tcPr>
          <w:p w14:paraId="66B3C04D"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800</w:t>
            </w:r>
          </w:p>
        </w:tc>
        <w:tc>
          <w:tcPr>
            <w:tcW w:w="1142" w:type="dxa"/>
            <w:tcBorders>
              <w:top w:val="single" w:sz="4" w:space="0" w:color="auto"/>
              <w:bottom w:val="single" w:sz="4" w:space="0" w:color="auto"/>
              <w:right w:val="single" w:sz="4" w:space="0" w:color="auto"/>
            </w:tcBorders>
            <w:vAlign w:val="center"/>
          </w:tcPr>
          <w:p w14:paraId="18E543F5"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800</w:t>
            </w:r>
          </w:p>
        </w:tc>
        <w:tc>
          <w:tcPr>
            <w:tcW w:w="1004" w:type="dxa"/>
            <w:tcBorders>
              <w:top w:val="single" w:sz="4" w:space="0" w:color="auto"/>
              <w:left w:val="single" w:sz="4" w:space="0" w:color="auto"/>
              <w:bottom w:val="single" w:sz="4" w:space="0" w:color="auto"/>
            </w:tcBorders>
            <w:vAlign w:val="center"/>
          </w:tcPr>
          <w:p w14:paraId="2E6CDCC1"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800</w:t>
            </w:r>
          </w:p>
        </w:tc>
        <w:tc>
          <w:tcPr>
            <w:tcW w:w="1005" w:type="dxa"/>
            <w:tcBorders>
              <w:top w:val="single" w:sz="4" w:space="0" w:color="auto"/>
              <w:left w:val="single" w:sz="4" w:space="0" w:color="auto"/>
              <w:bottom w:val="single" w:sz="4" w:space="0" w:color="auto"/>
              <w:right w:val="single" w:sz="4" w:space="0" w:color="auto"/>
            </w:tcBorders>
            <w:vAlign w:val="center"/>
          </w:tcPr>
          <w:p w14:paraId="215DAE48"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800</w:t>
            </w:r>
          </w:p>
        </w:tc>
        <w:tc>
          <w:tcPr>
            <w:tcW w:w="4049" w:type="dxa"/>
            <w:vMerge/>
            <w:tcBorders>
              <w:left w:val="single" w:sz="4" w:space="0" w:color="auto"/>
            </w:tcBorders>
          </w:tcPr>
          <w:p w14:paraId="21F3D5A7" w14:textId="77777777" w:rsidR="008E5F1C" w:rsidRPr="008E5F1C" w:rsidRDefault="008E5F1C" w:rsidP="008E5F1C">
            <w:pPr>
              <w:spacing w:after="120" w:line="259" w:lineRule="auto"/>
              <w:rPr>
                <w:rFonts w:asciiTheme="minorHAnsi" w:eastAsiaTheme="minorHAnsi" w:hAnsiTheme="minorHAnsi" w:cs="Arial"/>
                <w:sz w:val="20"/>
                <w:szCs w:val="20"/>
                <w:lang w:eastAsia="en-US"/>
              </w:rPr>
            </w:pPr>
          </w:p>
        </w:tc>
      </w:tr>
      <w:tr w:rsidR="008E5F1C" w:rsidRPr="008E5F1C" w14:paraId="2DF0F586" w14:textId="77777777" w:rsidTr="006D6775">
        <w:trPr>
          <w:cantSplit/>
          <w:trHeight w:hRule="exact" w:val="400"/>
        </w:trPr>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2A88FB6F" w14:textId="77777777" w:rsidR="008E5F1C" w:rsidRPr="008E5F1C" w:rsidRDefault="008E5F1C" w:rsidP="008E5F1C">
            <w:pPr>
              <w:spacing w:after="120" w:line="259" w:lineRule="auto"/>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F- kg. (*)</w:t>
            </w:r>
          </w:p>
        </w:tc>
        <w:tc>
          <w:tcPr>
            <w:tcW w:w="866" w:type="dxa"/>
            <w:tcBorders>
              <w:top w:val="single" w:sz="4" w:space="0" w:color="auto"/>
              <w:bottom w:val="single" w:sz="4" w:space="0" w:color="auto"/>
              <w:right w:val="single" w:sz="4" w:space="0" w:color="auto"/>
            </w:tcBorders>
            <w:vAlign w:val="center"/>
          </w:tcPr>
          <w:p w14:paraId="642289D1"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500</w:t>
            </w:r>
          </w:p>
        </w:tc>
        <w:tc>
          <w:tcPr>
            <w:tcW w:w="1142" w:type="dxa"/>
            <w:tcBorders>
              <w:top w:val="single" w:sz="4" w:space="0" w:color="auto"/>
              <w:bottom w:val="single" w:sz="4" w:space="0" w:color="auto"/>
              <w:right w:val="single" w:sz="4" w:space="0" w:color="auto"/>
            </w:tcBorders>
            <w:vAlign w:val="center"/>
          </w:tcPr>
          <w:p w14:paraId="1C0E157B"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600</w:t>
            </w:r>
          </w:p>
        </w:tc>
        <w:tc>
          <w:tcPr>
            <w:tcW w:w="1004" w:type="dxa"/>
            <w:tcBorders>
              <w:top w:val="single" w:sz="4" w:space="0" w:color="auto"/>
              <w:left w:val="single" w:sz="4" w:space="0" w:color="auto"/>
              <w:bottom w:val="single" w:sz="4" w:space="0" w:color="auto"/>
            </w:tcBorders>
            <w:vAlign w:val="center"/>
          </w:tcPr>
          <w:p w14:paraId="635AE181"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200</w:t>
            </w:r>
          </w:p>
        </w:tc>
        <w:tc>
          <w:tcPr>
            <w:tcW w:w="1005" w:type="dxa"/>
            <w:tcBorders>
              <w:top w:val="single" w:sz="4" w:space="0" w:color="auto"/>
              <w:left w:val="single" w:sz="4" w:space="0" w:color="auto"/>
              <w:bottom w:val="single" w:sz="4" w:space="0" w:color="auto"/>
              <w:right w:val="single" w:sz="4" w:space="0" w:color="auto"/>
            </w:tcBorders>
            <w:vAlign w:val="center"/>
          </w:tcPr>
          <w:p w14:paraId="3089F931"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500</w:t>
            </w:r>
          </w:p>
        </w:tc>
        <w:tc>
          <w:tcPr>
            <w:tcW w:w="4049" w:type="dxa"/>
            <w:vMerge/>
            <w:tcBorders>
              <w:left w:val="single" w:sz="4" w:space="0" w:color="auto"/>
            </w:tcBorders>
          </w:tcPr>
          <w:p w14:paraId="382992C9" w14:textId="77777777" w:rsidR="008E5F1C" w:rsidRPr="008E5F1C" w:rsidRDefault="008E5F1C" w:rsidP="008E5F1C">
            <w:pPr>
              <w:spacing w:after="120" w:line="259" w:lineRule="auto"/>
              <w:rPr>
                <w:rFonts w:asciiTheme="minorHAnsi" w:eastAsiaTheme="minorHAnsi" w:hAnsiTheme="minorHAnsi" w:cs="Arial"/>
                <w:sz w:val="20"/>
                <w:szCs w:val="20"/>
                <w:lang w:eastAsia="en-US"/>
              </w:rPr>
            </w:pPr>
          </w:p>
        </w:tc>
      </w:tr>
      <w:tr w:rsidR="008E5F1C" w:rsidRPr="008E5F1C" w14:paraId="77B11123" w14:textId="77777777" w:rsidTr="006D6775">
        <w:trPr>
          <w:cantSplit/>
          <w:trHeight w:hRule="exact" w:val="400"/>
        </w:trPr>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1007DA9E" w14:textId="77777777" w:rsidR="008E5F1C" w:rsidRPr="008E5F1C" w:rsidRDefault="008E5F1C" w:rsidP="008E5F1C">
            <w:pPr>
              <w:spacing w:after="120" w:line="259" w:lineRule="auto"/>
              <w:rPr>
                <w:rFonts w:asciiTheme="minorHAnsi" w:eastAsiaTheme="minorHAnsi" w:hAnsiTheme="minorHAnsi" w:cs="Arial"/>
                <w:b/>
                <w:bCs/>
                <w:sz w:val="16"/>
                <w:szCs w:val="16"/>
                <w:lang w:eastAsia="en-US"/>
              </w:rPr>
            </w:pPr>
            <w:r w:rsidRPr="008E5F1C">
              <w:rPr>
                <w:rFonts w:asciiTheme="minorHAnsi" w:eastAsiaTheme="minorHAnsi" w:hAnsiTheme="minorHAnsi" w:cs="Arial"/>
                <w:b/>
                <w:bCs/>
                <w:sz w:val="16"/>
                <w:szCs w:val="16"/>
                <w:lang w:eastAsia="en-US"/>
              </w:rPr>
              <w:t>Załadunek od strony</w:t>
            </w:r>
          </w:p>
        </w:tc>
        <w:tc>
          <w:tcPr>
            <w:tcW w:w="866" w:type="dxa"/>
            <w:tcBorders>
              <w:top w:val="single" w:sz="4" w:space="0" w:color="auto"/>
              <w:bottom w:val="single" w:sz="4" w:space="0" w:color="auto"/>
              <w:right w:val="single" w:sz="4" w:space="0" w:color="auto"/>
            </w:tcBorders>
            <w:vAlign w:val="center"/>
          </w:tcPr>
          <w:p w14:paraId="185A9713"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A</w:t>
            </w:r>
          </w:p>
        </w:tc>
        <w:tc>
          <w:tcPr>
            <w:tcW w:w="1142" w:type="dxa"/>
            <w:tcBorders>
              <w:top w:val="single" w:sz="4" w:space="0" w:color="auto"/>
              <w:bottom w:val="single" w:sz="4" w:space="0" w:color="auto"/>
              <w:right w:val="single" w:sz="4" w:space="0" w:color="auto"/>
            </w:tcBorders>
            <w:vAlign w:val="center"/>
          </w:tcPr>
          <w:p w14:paraId="666265CD"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A</w:t>
            </w:r>
          </w:p>
        </w:tc>
        <w:tc>
          <w:tcPr>
            <w:tcW w:w="1004" w:type="dxa"/>
            <w:tcBorders>
              <w:top w:val="single" w:sz="4" w:space="0" w:color="auto"/>
              <w:left w:val="single" w:sz="4" w:space="0" w:color="auto"/>
              <w:bottom w:val="single" w:sz="4" w:space="0" w:color="auto"/>
            </w:tcBorders>
            <w:vAlign w:val="center"/>
          </w:tcPr>
          <w:p w14:paraId="67E868A0"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A</w:t>
            </w:r>
          </w:p>
        </w:tc>
        <w:tc>
          <w:tcPr>
            <w:tcW w:w="1005" w:type="dxa"/>
            <w:tcBorders>
              <w:top w:val="single" w:sz="4" w:space="0" w:color="auto"/>
              <w:left w:val="single" w:sz="4" w:space="0" w:color="auto"/>
              <w:bottom w:val="single" w:sz="4" w:space="0" w:color="auto"/>
              <w:right w:val="single" w:sz="4" w:space="0" w:color="auto"/>
            </w:tcBorders>
            <w:vAlign w:val="center"/>
          </w:tcPr>
          <w:p w14:paraId="5A02A554" w14:textId="77777777" w:rsidR="008E5F1C" w:rsidRPr="008E5F1C" w:rsidRDefault="008E5F1C" w:rsidP="008E5F1C">
            <w:pPr>
              <w:spacing w:after="120" w:line="259" w:lineRule="auto"/>
              <w:jc w:val="center"/>
              <w:rPr>
                <w:rFonts w:asciiTheme="minorHAnsi" w:eastAsiaTheme="minorHAnsi" w:hAnsiTheme="minorHAnsi" w:cs="Arial"/>
                <w:sz w:val="18"/>
                <w:szCs w:val="18"/>
                <w:lang w:eastAsia="en-US"/>
              </w:rPr>
            </w:pPr>
            <w:r w:rsidRPr="008E5F1C">
              <w:rPr>
                <w:rFonts w:asciiTheme="minorHAnsi" w:eastAsiaTheme="minorHAnsi" w:hAnsiTheme="minorHAnsi" w:cs="Arial"/>
                <w:sz w:val="18"/>
                <w:szCs w:val="18"/>
                <w:lang w:eastAsia="en-US"/>
              </w:rPr>
              <w:t>A</w:t>
            </w:r>
          </w:p>
        </w:tc>
        <w:tc>
          <w:tcPr>
            <w:tcW w:w="4049" w:type="dxa"/>
            <w:vMerge/>
            <w:tcBorders>
              <w:left w:val="single" w:sz="4" w:space="0" w:color="auto"/>
            </w:tcBorders>
          </w:tcPr>
          <w:p w14:paraId="328D743D" w14:textId="77777777" w:rsidR="008E5F1C" w:rsidRPr="008E5F1C" w:rsidRDefault="008E5F1C" w:rsidP="008E5F1C">
            <w:pPr>
              <w:spacing w:after="120" w:line="259" w:lineRule="auto"/>
              <w:rPr>
                <w:rFonts w:asciiTheme="minorHAnsi" w:eastAsiaTheme="minorHAnsi" w:hAnsiTheme="minorHAnsi" w:cs="Arial"/>
                <w:sz w:val="20"/>
                <w:szCs w:val="20"/>
                <w:lang w:eastAsia="en-US"/>
              </w:rPr>
            </w:pPr>
          </w:p>
        </w:tc>
      </w:tr>
    </w:tbl>
    <w:p w14:paraId="5EEB68C5" w14:textId="77777777" w:rsidR="008E5F1C" w:rsidRPr="008E5F1C" w:rsidRDefault="008E5F1C" w:rsidP="008E5F1C">
      <w:pPr>
        <w:spacing w:after="160" w:line="259" w:lineRule="auto"/>
        <w:rPr>
          <w:rFonts w:asciiTheme="minorHAnsi" w:eastAsiaTheme="minorHAnsi" w:hAnsiTheme="minorHAnsi" w:cstheme="minorBidi"/>
          <w:sz w:val="22"/>
          <w:szCs w:val="22"/>
          <w:lang w:eastAsia="en-US"/>
        </w:rPr>
      </w:pPr>
    </w:p>
    <w:p w14:paraId="081F2D8E"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p>
    <w:p w14:paraId="2F2347DA"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Sekcja 1 posiada </w:t>
      </w:r>
      <w:bookmarkStart w:id="1" w:name="_Hlk107211577"/>
      <w:r w:rsidRPr="008E5F1C">
        <w:rPr>
          <w:rFonts w:asciiTheme="minorHAnsi" w:eastAsiaTheme="minorHAnsi" w:hAnsiTheme="minorHAnsi" w:cstheme="minorBidi"/>
          <w:sz w:val="22"/>
          <w:szCs w:val="22"/>
          <w:lang w:eastAsia="en-US"/>
        </w:rPr>
        <w:t>belki (trawersy) o szerokościach:</w:t>
      </w:r>
      <w:bookmarkEnd w:id="1"/>
    </w:p>
    <w:p w14:paraId="77883090" w14:textId="77777777" w:rsidR="008E5F1C" w:rsidRPr="008E5F1C" w:rsidRDefault="008E5F1C" w:rsidP="008E5F1C">
      <w:pPr>
        <w:numPr>
          <w:ilvl w:val="1"/>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3 belki na szerokość 4 europalet (moduł 3600)</w:t>
      </w:r>
    </w:p>
    <w:p w14:paraId="3EBBF142" w14:textId="77777777" w:rsidR="008E5F1C" w:rsidRPr="008E5F1C" w:rsidRDefault="008E5F1C" w:rsidP="008E5F1C">
      <w:pPr>
        <w:numPr>
          <w:ilvl w:val="1"/>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2 belki na szerokość 3 europalet (moduł 2700)</w:t>
      </w:r>
    </w:p>
    <w:p w14:paraId="4B234F03"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Sekcja 2 posiada belki (trawersy) o szerokościach:</w:t>
      </w:r>
    </w:p>
    <w:p w14:paraId="249AFE5B" w14:textId="77777777" w:rsidR="008E5F1C" w:rsidRPr="008E5F1C" w:rsidRDefault="008E5F1C" w:rsidP="008E5F1C">
      <w:pPr>
        <w:numPr>
          <w:ilvl w:val="1"/>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5 belek na szerokość 4 europalet (moduł 3600)</w:t>
      </w:r>
    </w:p>
    <w:p w14:paraId="691CC1D9"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Wysokość nóg regałów: nie mniej niż 7,5 metra.</w:t>
      </w:r>
    </w:p>
    <w:p w14:paraId="0F45850A"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Składowanie towarów na 4 poziomach</w:t>
      </w:r>
    </w:p>
    <w:p w14:paraId="790D96FD"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Pojemność regałów magazynowych:</w:t>
      </w:r>
    </w:p>
    <w:p w14:paraId="19665742" w14:textId="77777777" w:rsidR="008E5F1C" w:rsidRPr="008E5F1C" w:rsidRDefault="008E5F1C" w:rsidP="008E5F1C">
      <w:pPr>
        <w:numPr>
          <w:ilvl w:val="1"/>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Sekcja 1: </w:t>
      </w:r>
      <w:r w:rsidRPr="008E5F1C">
        <w:rPr>
          <w:rFonts w:asciiTheme="minorHAnsi" w:eastAsiaTheme="minorHAnsi" w:hAnsiTheme="minorHAnsi" w:cstheme="minorBidi"/>
          <w:sz w:val="22"/>
          <w:szCs w:val="22"/>
          <w:lang w:eastAsia="en-US"/>
        </w:rPr>
        <w:tab/>
        <w:t>1.296 Europalet</w:t>
      </w:r>
    </w:p>
    <w:p w14:paraId="062E2F76" w14:textId="77777777" w:rsidR="008E5F1C" w:rsidRPr="008E5F1C" w:rsidRDefault="008E5F1C" w:rsidP="008E5F1C">
      <w:pPr>
        <w:numPr>
          <w:ilvl w:val="1"/>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Sekcja 2: </w:t>
      </w:r>
      <w:r w:rsidRPr="008E5F1C">
        <w:rPr>
          <w:rFonts w:asciiTheme="minorHAnsi" w:eastAsiaTheme="minorHAnsi" w:hAnsiTheme="minorHAnsi" w:cstheme="minorBidi"/>
          <w:sz w:val="22"/>
          <w:szCs w:val="22"/>
          <w:lang w:eastAsia="en-US"/>
        </w:rPr>
        <w:tab/>
        <w:t>1.600 Europalet</w:t>
      </w:r>
    </w:p>
    <w:p w14:paraId="34DF62FD" w14:textId="77777777" w:rsidR="008E5F1C" w:rsidRPr="008E5F1C" w:rsidRDefault="008E5F1C" w:rsidP="008E5F1C">
      <w:pPr>
        <w:numPr>
          <w:ilvl w:val="1"/>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Regały stałe: nie mniej niż 340 Europalet.</w:t>
      </w:r>
    </w:p>
    <w:p w14:paraId="78E54253"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Obciążenia:</w:t>
      </w:r>
    </w:p>
    <w:p w14:paraId="0E2E4FC2" w14:textId="77777777" w:rsidR="008E5F1C" w:rsidRPr="008E5F1C" w:rsidRDefault="008E5F1C" w:rsidP="008E5F1C">
      <w:pPr>
        <w:numPr>
          <w:ilvl w:val="1"/>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Maksymalne obciążenie na moduł 3600: </w:t>
      </w:r>
      <w:r w:rsidRPr="008E5F1C">
        <w:rPr>
          <w:rFonts w:asciiTheme="minorHAnsi" w:eastAsiaTheme="minorHAnsi" w:hAnsiTheme="minorHAnsi" w:cstheme="minorBidi"/>
          <w:sz w:val="22"/>
          <w:szCs w:val="22"/>
          <w:lang w:eastAsia="en-US"/>
        </w:rPr>
        <w:tab/>
        <w:t>7.200 kg.</w:t>
      </w:r>
    </w:p>
    <w:p w14:paraId="21B684A5" w14:textId="77777777" w:rsidR="008E5F1C" w:rsidRPr="008E5F1C" w:rsidRDefault="008E5F1C" w:rsidP="008E5F1C">
      <w:pPr>
        <w:numPr>
          <w:ilvl w:val="1"/>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Maksymalne obciążenie na moduł 2700:</w:t>
      </w:r>
      <w:r w:rsidRPr="008E5F1C">
        <w:rPr>
          <w:rFonts w:asciiTheme="minorHAnsi" w:eastAsiaTheme="minorHAnsi" w:hAnsiTheme="minorHAnsi" w:cstheme="minorBidi"/>
          <w:sz w:val="22"/>
          <w:szCs w:val="22"/>
          <w:lang w:eastAsia="en-US"/>
        </w:rPr>
        <w:tab/>
        <w:t>5.400 kg</w:t>
      </w:r>
    </w:p>
    <w:p w14:paraId="720B6623" w14:textId="77777777" w:rsidR="008E5F1C" w:rsidRPr="008E5F1C" w:rsidRDefault="008E5F1C" w:rsidP="008E5F1C">
      <w:pPr>
        <w:numPr>
          <w:ilvl w:val="1"/>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Maksymalne obciążenie na podstawę:</w:t>
      </w:r>
      <w:r w:rsidRPr="008E5F1C">
        <w:rPr>
          <w:rFonts w:asciiTheme="minorHAnsi" w:eastAsiaTheme="minorHAnsi" w:hAnsiTheme="minorHAnsi" w:cstheme="minorBidi"/>
          <w:sz w:val="22"/>
          <w:szCs w:val="22"/>
          <w:lang w:eastAsia="en-US"/>
        </w:rPr>
        <w:tab/>
        <w:t>72.000 kg</w:t>
      </w:r>
    </w:p>
    <w:p w14:paraId="3A5A2F65"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lastRenderedPageBreak/>
        <w:t>Prędkość przesuwania: 3,5 -4,0 metry/minuta</w:t>
      </w:r>
    </w:p>
    <w:p w14:paraId="30D91813"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Belki nośne: dopuszczalne ugięcie L/200</w:t>
      </w:r>
    </w:p>
    <w:p w14:paraId="137D5757"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Po przeciwnych ścianach znajdują się regały statyczne pojedyncze.</w:t>
      </w:r>
    </w:p>
    <w:p w14:paraId="4A8C4E31"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Szerokość dwóch korytarzy do obsługi wózka musi wynosić minimum 3300 mm.</w:t>
      </w:r>
    </w:p>
    <w:p w14:paraId="03A08060"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Ze względu na brak szczególnej normy, należy opierać się na obliczeniach na podstawie europejskiej Normy EN 15512:2020. Stalowe statyczne systemy składowania. Regały paletowe o zmiennej konfiguracji. Zasady projektowania konstrukcji.</w:t>
      </w:r>
    </w:p>
    <w:p w14:paraId="3F699CCC"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Wymagana zgodność z normą EN 15878 „Stalowe statyczne systemy składowania – Terminy i definicje".</w:t>
      </w:r>
    </w:p>
    <w:p w14:paraId="51B1013F" w14:textId="77777777" w:rsidR="008E5F1C" w:rsidRPr="008E5F1C" w:rsidRDefault="008E5F1C" w:rsidP="008E5F1C">
      <w:pPr>
        <w:numPr>
          <w:ilvl w:val="0"/>
          <w:numId w:val="22"/>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DYREKTYWY, które musi spełniać oferowany system regałów:</w:t>
      </w:r>
    </w:p>
    <w:p w14:paraId="0E899E23"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Dyrektywy WE: </w:t>
      </w:r>
    </w:p>
    <w:p w14:paraId="50846CCC"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2006/42/WE: Dyrektywa maszynowa </w:t>
      </w:r>
    </w:p>
    <w:p w14:paraId="034E9DE9"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2014/35 WE: Dyrektywa niskonapięciowa </w:t>
      </w:r>
    </w:p>
    <w:p w14:paraId="7A0CB847"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2014/30/EWG: Dyrektywa dotycząca kompatybilności elektromagnetycznej </w:t>
      </w:r>
    </w:p>
    <w:p w14:paraId="55066452"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p>
    <w:p w14:paraId="7143772D"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Zastosowane normy zharmonizowane: </w:t>
      </w:r>
    </w:p>
    <w:p w14:paraId="443FEDF0"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EN ISO 12100  Bezpieczeństwo maszyn. Pojęcia podstawowe, ogólne zasady projektowania. Ocena ryzyka i zmniejszanie ryzyka. </w:t>
      </w:r>
    </w:p>
    <w:p w14:paraId="6397DBF0"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p>
    <w:p w14:paraId="53DD7887"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EN 60204 Bezpieczeństwo maszyn. Wyposażenie elektryczne maszyn. </w:t>
      </w:r>
    </w:p>
    <w:p w14:paraId="7265B3EC"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EN 61496 Bezpieczeństwo maszyn. Elektroczułe wyposażenie ochronne. </w:t>
      </w:r>
    </w:p>
    <w:p w14:paraId="42B45F9E"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EN ISO 13849 Bezpieczeństwo maszyn. Elementy systemów sterowania związane z bezpieczeństwem. </w:t>
      </w:r>
    </w:p>
    <w:p w14:paraId="1CC5060B"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EN ISO 13850  Bezpieczeństwo maszyn. Stop awaryjny. Zasady projektowania. </w:t>
      </w:r>
    </w:p>
    <w:p w14:paraId="4D859F13"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EN ISO 13857 Bezpieczeństwo maszyn. Odległości bezpieczeństwa uniemożliwiające sięganie kończynami górnymi i dolnymi do stref niebezpiecznych. </w:t>
      </w:r>
    </w:p>
    <w:p w14:paraId="1A3475E5"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EN 349 Bezpieczeństwo maszyn. Minimalne odstępy zapobiegające zgnieceniu części ciała człowieka. </w:t>
      </w:r>
    </w:p>
    <w:p w14:paraId="699B8B6F"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EN 15095 Regały przejezdne paletowe i półkowe, obrotowe i okrężne oraz ze sprzętem podnoszącym, z </w:t>
      </w:r>
    </w:p>
    <w:p w14:paraId="0F4118D7"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napędem mechanicznym - Wymagania bezpieczeństwa.  </w:t>
      </w:r>
    </w:p>
    <w:p w14:paraId="4F6298B7" w14:textId="77777777" w:rsidR="008E5F1C" w:rsidRPr="008E5F1C" w:rsidRDefault="008E5F1C" w:rsidP="008E5F1C">
      <w:pPr>
        <w:spacing w:after="160" w:line="259" w:lineRule="auto"/>
        <w:rPr>
          <w:rFonts w:asciiTheme="minorHAnsi" w:eastAsiaTheme="minorHAnsi" w:hAnsiTheme="minorHAnsi" w:cstheme="minorBidi"/>
          <w:b/>
          <w:bCs/>
          <w:sz w:val="22"/>
          <w:szCs w:val="22"/>
          <w:u w:val="single"/>
          <w:lang w:eastAsia="en-US"/>
        </w:rPr>
      </w:pPr>
      <w:r w:rsidRPr="008E5F1C">
        <w:rPr>
          <w:rFonts w:asciiTheme="minorHAnsi" w:eastAsiaTheme="minorHAnsi" w:hAnsiTheme="minorHAnsi" w:cstheme="minorBidi"/>
          <w:b/>
          <w:bCs/>
          <w:sz w:val="22"/>
          <w:szCs w:val="22"/>
          <w:u w:val="single"/>
          <w:lang w:eastAsia="en-US"/>
        </w:rPr>
        <w:t>SYSTEM BEZPIECZEŃSTWA i SYSTEM STEROWNICZY:</w:t>
      </w:r>
    </w:p>
    <w:p w14:paraId="14898F8E" w14:textId="77777777" w:rsidR="008E5F1C" w:rsidRPr="008E5F1C" w:rsidRDefault="008E5F1C" w:rsidP="008E5F1C">
      <w:pPr>
        <w:numPr>
          <w:ilvl w:val="0"/>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System sterowniczy ma zarządzać różnymi poleceniami przekazywanymi między szafą główną a poszczególnymi podstawami. Sterownik PLC powinien być zamontowany w szafie głównej.</w:t>
      </w:r>
    </w:p>
    <w:p w14:paraId="7C5503B6" w14:textId="77777777" w:rsidR="008E5F1C" w:rsidRPr="008E5F1C" w:rsidRDefault="008E5F1C" w:rsidP="008E5F1C">
      <w:pPr>
        <w:numPr>
          <w:ilvl w:val="0"/>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Za pomocą pilota  sterowania radiowego lub przycisku przekazywane jest polecenie otwarcia korytarza.</w:t>
      </w:r>
    </w:p>
    <w:p w14:paraId="647C681B" w14:textId="77777777" w:rsidR="008E5F1C" w:rsidRPr="008E5F1C" w:rsidRDefault="008E5F1C" w:rsidP="008E5F1C">
      <w:pPr>
        <w:numPr>
          <w:ilvl w:val="0"/>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System nie może pozwolić na otwarcie innego korytarza, kiedy operator przebywa w już otwartym korytarzu.</w:t>
      </w:r>
    </w:p>
    <w:p w14:paraId="13B2D1EA" w14:textId="77777777" w:rsidR="008E5F1C" w:rsidRPr="008E5F1C" w:rsidRDefault="008E5F1C" w:rsidP="008E5F1C">
      <w:pPr>
        <w:numPr>
          <w:ilvl w:val="0"/>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Szafa z pulpitem sterowniczym powinna zapewniać tryb pracy:</w:t>
      </w:r>
    </w:p>
    <w:p w14:paraId="4E2BCC62" w14:textId="77777777" w:rsidR="008E5F1C" w:rsidRPr="008E5F1C" w:rsidRDefault="008E5F1C" w:rsidP="008E5F1C">
      <w:pPr>
        <w:numPr>
          <w:ilvl w:val="1"/>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Automatyczny. Po wybraniu tej pozycji, zarządzanie otwieraniem korytarzy jest przekazywane do szafy głównej, umożliwiając wybór trybów działania.</w:t>
      </w:r>
    </w:p>
    <w:p w14:paraId="014CA54B" w14:textId="77777777" w:rsidR="008E5F1C" w:rsidRPr="008E5F1C" w:rsidRDefault="008E5F1C" w:rsidP="008E5F1C">
      <w:pPr>
        <w:numPr>
          <w:ilvl w:val="1"/>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Ręczny. W tej pozycji podstawy poruszają się po wciśnięciu i przytrzymaniu przycisku z przodu podstawy.</w:t>
      </w:r>
    </w:p>
    <w:p w14:paraId="746DF1FA" w14:textId="77777777" w:rsidR="008E5F1C" w:rsidRPr="008E5F1C" w:rsidRDefault="008E5F1C" w:rsidP="008E5F1C">
      <w:pPr>
        <w:numPr>
          <w:ilvl w:val="0"/>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Tryby działania:</w:t>
      </w:r>
    </w:p>
    <w:p w14:paraId="38E90BD1" w14:textId="77777777" w:rsidR="008E5F1C" w:rsidRPr="008E5F1C" w:rsidRDefault="008E5F1C" w:rsidP="008E5F1C">
      <w:pPr>
        <w:numPr>
          <w:ilvl w:val="1"/>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Jeden korytarz: otwierany jest jeden korytarz, w którym można pracować.</w:t>
      </w:r>
    </w:p>
    <w:p w14:paraId="5F772A04" w14:textId="77777777" w:rsidR="008E5F1C" w:rsidRPr="008E5F1C" w:rsidRDefault="008E5F1C" w:rsidP="008E5F1C">
      <w:pPr>
        <w:numPr>
          <w:ilvl w:val="1"/>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lastRenderedPageBreak/>
        <w:t>Parking: kiedy wybierana jest ta pozycja, korytarz dostępu znika i jego przestrzeń rozkłada się pomiędzy wszystkimi korytarzami instalacji.</w:t>
      </w:r>
    </w:p>
    <w:p w14:paraId="7993B42A" w14:textId="77777777" w:rsidR="008E5F1C" w:rsidRPr="008E5F1C" w:rsidRDefault="008E5F1C" w:rsidP="008E5F1C">
      <w:pPr>
        <w:numPr>
          <w:ilvl w:val="1"/>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System sterujący umożliwia jednoczesne otwarcie maksymalnie 3 korytarzy, umożliwiając do nich dostęp i przeprowadzenie operacji kompletacji. Po otwarciu korytarze muszą mieć co najmniej 1150 mm wolnej przestrzeni (zgodnie z normą EN 547). Operację tę można przeprowadzić za pomocą pilota lub przycisków na szafach regałowych i pulpicie.</w:t>
      </w:r>
    </w:p>
    <w:p w14:paraId="3273B1DC" w14:textId="77777777" w:rsidR="008E5F1C" w:rsidRPr="008E5F1C" w:rsidRDefault="008E5F1C" w:rsidP="008E5F1C">
      <w:pPr>
        <w:numPr>
          <w:ilvl w:val="0"/>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Sterowanie oświetleniem korytarzy,</w:t>
      </w:r>
    </w:p>
    <w:p w14:paraId="1B7B0F7A"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W celu zapewnienia jak największej oszczędności energii elektrycznej konieczne jest oświetlenie tylko tego korytarza, który jest otwarty. Sterownik systemu regałowym musi sterować zapalaniem poszczególnych linii oświetlenia. Oświetlenie jest wykonywane na koszt inwestora.</w:t>
      </w:r>
    </w:p>
    <w:p w14:paraId="5B0D8AE5" w14:textId="77777777" w:rsidR="008E5F1C" w:rsidRPr="008E5F1C" w:rsidRDefault="008E5F1C" w:rsidP="008E5F1C">
      <w:pPr>
        <w:numPr>
          <w:ilvl w:val="0"/>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Elementy bezpieczeństwa w które powinno być wyposażone sterowanie:</w:t>
      </w:r>
    </w:p>
    <w:p w14:paraId="31964949" w14:textId="77777777" w:rsidR="008E5F1C" w:rsidRPr="008E5F1C" w:rsidRDefault="008E5F1C" w:rsidP="008E5F1C">
      <w:pPr>
        <w:numPr>
          <w:ilvl w:val="1"/>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Zewnętrzna bariera bezpieczeństwa</w:t>
      </w:r>
    </w:p>
    <w:p w14:paraId="6D86440B" w14:textId="77777777" w:rsidR="008E5F1C" w:rsidRPr="008E5F1C" w:rsidRDefault="008E5F1C" w:rsidP="008E5F1C">
      <w:pPr>
        <w:numPr>
          <w:ilvl w:val="1"/>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Przyciski uzbrojenia</w:t>
      </w:r>
    </w:p>
    <w:p w14:paraId="52ED419F" w14:textId="77777777" w:rsidR="008E5F1C" w:rsidRPr="008E5F1C" w:rsidRDefault="008E5F1C" w:rsidP="008E5F1C">
      <w:pPr>
        <w:numPr>
          <w:ilvl w:val="1"/>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Fotokomórka bezpieczeństwa podstawy</w:t>
      </w:r>
    </w:p>
    <w:p w14:paraId="72FB52B1" w14:textId="77777777" w:rsidR="008E5F1C" w:rsidRPr="008E5F1C" w:rsidRDefault="008E5F1C" w:rsidP="008E5F1C">
      <w:pPr>
        <w:numPr>
          <w:ilvl w:val="1"/>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Przyciski awaryjne, umieszczone przynajmniej w następujących punktach:</w:t>
      </w:r>
    </w:p>
    <w:p w14:paraId="2EA039A7" w14:textId="77777777" w:rsidR="008E5F1C" w:rsidRPr="008E5F1C" w:rsidRDefault="008E5F1C" w:rsidP="008E5F1C">
      <w:pPr>
        <w:numPr>
          <w:ilvl w:val="2"/>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Na przodzie każdej podstawy.</w:t>
      </w:r>
    </w:p>
    <w:p w14:paraId="53D07E21" w14:textId="77777777" w:rsidR="008E5F1C" w:rsidRPr="008E5F1C" w:rsidRDefault="008E5F1C" w:rsidP="008E5F1C">
      <w:pPr>
        <w:numPr>
          <w:ilvl w:val="2"/>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W głównej szafie sterowniczej.</w:t>
      </w:r>
    </w:p>
    <w:p w14:paraId="00839641" w14:textId="77777777" w:rsidR="008E5F1C" w:rsidRPr="008E5F1C" w:rsidRDefault="008E5F1C" w:rsidP="008E5F1C">
      <w:pPr>
        <w:numPr>
          <w:ilvl w:val="2"/>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Na pulpicie BM.</w:t>
      </w:r>
    </w:p>
    <w:p w14:paraId="5327DC0E" w14:textId="77777777" w:rsidR="008E5F1C" w:rsidRPr="008E5F1C" w:rsidRDefault="008E5F1C" w:rsidP="008E5F1C">
      <w:pPr>
        <w:numPr>
          <w:ilvl w:val="0"/>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Piloty do sterowania regałami: przynajmniej 3 sztuki.</w:t>
      </w:r>
    </w:p>
    <w:p w14:paraId="3B31F7E1" w14:textId="77777777" w:rsidR="008E5F1C" w:rsidRPr="008E5F1C" w:rsidRDefault="008E5F1C" w:rsidP="008E5F1C">
      <w:pPr>
        <w:numPr>
          <w:ilvl w:val="0"/>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System wyposażony w sygnalizację świetlną i dźwiękową, uaktywnianą na przykład podczas przesuwu regałów lub w przypadku przerwania bariery.</w:t>
      </w:r>
    </w:p>
    <w:p w14:paraId="06FF3C2C" w14:textId="77777777" w:rsidR="008E5F1C" w:rsidRPr="008E5F1C" w:rsidRDefault="008E5F1C" w:rsidP="008E5F1C">
      <w:pPr>
        <w:numPr>
          <w:ilvl w:val="0"/>
          <w:numId w:val="25"/>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Elementy zasilające:</w:t>
      </w:r>
    </w:p>
    <w:p w14:paraId="08B417C3"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Pobór prądu poprzez kable</w:t>
      </w:r>
    </w:p>
    <w:p w14:paraId="00005B07"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Instalacja okablowania nadziemna, zawieszona pod dachem</w:t>
      </w:r>
    </w:p>
    <w:p w14:paraId="28B0BE16" w14:textId="77777777" w:rsidR="008E5F1C" w:rsidRPr="008E5F1C" w:rsidRDefault="008E5F1C" w:rsidP="008E5F1C">
      <w:pPr>
        <w:spacing w:after="160" w:line="259" w:lineRule="auto"/>
        <w:ind w:left="360"/>
        <w:contextualSpacing/>
        <w:rPr>
          <w:rFonts w:asciiTheme="minorHAnsi" w:eastAsiaTheme="minorHAnsi" w:hAnsiTheme="minorHAnsi" w:cstheme="minorBidi"/>
          <w:sz w:val="22"/>
          <w:szCs w:val="22"/>
          <w:lang w:eastAsia="en-US"/>
        </w:rPr>
      </w:pPr>
    </w:p>
    <w:p w14:paraId="1F7921B8" w14:textId="77777777" w:rsidR="008E5F1C" w:rsidRPr="008E5F1C" w:rsidRDefault="008E5F1C" w:rsidP="008E5F1C">
      <w:pPr>
        <w:spacing w:after="160" w:line="259" w:lineRule="auto"/>
        <w:rPr>
          <w:rFonts w:asciiTheme="minorHAnsi" w:eastAsiaTheme="minorHAnsi" w:hAnsiTheme="minorHAnsi" w:cstheme="minorBidi"/>
          <w:b/>
          <w:bCs/>
          <w:sz w:val="22"/>
          <w:szCs w:val="22"/>
          <w:u w:val="single"/>
          <w:lang w:eastAsia="en-US"/>
        </w:rPr>
      </w:pPr>
      <w:r w:rsidRPr="008E5F1C">
        <w:rPr>
          <w:rFonts w:asciiTheme="minorHAnsi" w:eastAsiaTheme="minorHAnsi" w:hAnsiTheme="minorHAnsi" w:cstheme="minorBidi"/>
          <w:b/>
          <w:bCs/>
          <w:sz w:val="22"/>
          <w:szCs w:val="22"/>
          <w:u w:val="single"/>
          <w:lang w:eastAsia="en-US"/>
        </w:rPr>
        <w:t>HALA MAGAZYNOWA INWESTORA:</w:t>
      </w:r>
    </w:p>
    <w:p w14:paraId="050F5B4D" w14:textId="77777777" w:rsidR="008E5F1C" w:rsidRPr="008E5F1C" w:rsidRDefault="008E5F1C" w:rsidP="008E5F1C">
      <w:pPr>
        <w:numPr>
          <w:ilvl w:val="0"/>
          <w:numId w:val="23"/>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Budynek jest w realizacji. Podczas montażu szyn i systemu regałowego należy stosować się do wytycznych Generalnego Wykonawcy w zakresie BHP</w:t>
      </w:r>
    </w:p>
    <w:p w14:paraId="392E4914" w14:textId="77777777" w:rsidR="008E5F1C" w:rsidRPr="008E5F1C" w:rsidRDefault="008E5F1C" w:rsidP="008E5F1C">
      <w:pPr>
        <w:numPr>
          <w:ilvl w:val="0"/>
          <w:numId w:val="23"/>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Przekrój magazynu przedstawiają 2 rysunki:</w:t>
      </w:r>
    </w:p>
    <w:p w14:paraId="3FB64F45" w14:textId="77777777" w:rsidR="008E5F1C" w:rsidRPr="008E5F1C" w:rsidRDefault="008E5F1C" w:rsidP="008E5F1C">
      <w:pPr>
        <w:spacing w:after="160" w:line="259" w:lineRule="auto"/>
        <w:ind w:left="720"/>
        <w:contextualSpacing/>
        <w:rPr>
          <w:rFonts w:asciiTheme="minorHAnsi" w:eastAsiaTheme="minorHAnsi" w:hAnsiTheme="minorHAnsi" w:cstheme="minorBidi"/>
          <w:b/>
          <w:bCs/>
          <w:sz w:val="22"/>
          <w:szCs w:val="22"/>
          <w:lang w:eastAsia="en-US"/>
        </w:rPr>
      </w:pPr>
      <w:r w:rsidRPr="008E5F1C">
        <w:rPr>
          <w:rFonts w:asciiTheme="minorHAnsi" w:eastAsiaTheme="minorHAnsi" w:hAnsiTheme="minorHAnsi" w:cstheme="minorBidi"/>
          <w:b/>
          <w:bCs/>
          <w:sz w:val="22"/>
          <w:szCs w:val="22"/>
          <w:lang w:eastAsia="en-US"/>
        </w:rPr>
        <w:t>ZAŁĄCZNIK NR 3. PRZEKRÓJ CC_projekt budowlany</w:t>
      </w:r>
    </w:p>
    <w:p w14:paraId="500BDD16" w14:textId="77777777" w:rsidR="008E5F1C" w:rsidRPr="008E5F1C" w:rsidRDefault="008E5F1C" w:rsidP="008E5F1C">
      <w:pPr>
        <w:spacing w:after="160" w:line="259" w:lineRule="auto"/>
        <w:ind w:left="720"/>
        <w:contextualSpacing/>
        <w:rPr>
          <w:rFonts w:asciiTheme="minorHAnsi" w:eastAsiaTheme="minorHAnsi" w:hAnsiTheme="minorHAnsi" w:cstheme="minorBidi"/>
          <w:b/>
          <w:bCs/>
          <w:sz w:val="22"/>
          <w:szCs w:val="22"/>
          <w:lang w:eastAsia="en-US"/>
        </w:rPr>
      </w:pPr>
      <w:r w:rsidRPr="008E5F1C">
        <w:rPr>
          <w:rFonts w:asciiTheme="minorHAnsi" w:eastAsiaTheme="minorHAnsi" w:hAnsiTheme="minorHAnsi" w:cstheme="minorBidi"/>
          <w:b/>
          <w:bCs/>
          <w:sz w:val="22"/>
          <w:szCs w:val="22"/>
          <w:lang w:eastAsia="en-US"/>
        </w:rPr>
        <w:t>ZAŁĄCZNIK NR 4. PRZEKRÓJ CC_projekt wykonawczy</w:t>
      </w:r>
    </w:p>
    <w:p w14:paraId="722D78B8" w14:textId="77777777" w:rsidR="008E5F1C" w:rsidRPr="008E5F1C" w:rsidRDefault="008E5F1C" w:rsidP="008E5F1C">
      <w:pPr>
        <w:numPr>
          <w:ilvl w:val="0"/>
          <w:numId w:val="23"/>
        </w:numPr>
        <w:spacing w:after="160" w:line="259" w:lineRule="auto"/>
        <w:contextualSpacing/>
        <w:rPr>
          <w:rFonts w:asciiTheme="minorHAnsi" w:eastAsiaTheme="minorHAnsi" w:hAnsiTheme="minorHAnsi" w:cstheme="minorBidi"/>
          <w:b/>
          <w:bCs/>
          <w:sz w:val="22"/>
          <w:szCs w:val="22"/>
          <w:lang w:eastAsia="en-US"/>
        </w:rPr>
      </w:pPr>
      <w:r w:rsidRPr="008E5F1C">
        <w:rPr>
          <w:rFonts w:asciiTheme="minorHAnsi" w:eastAsiaTheme="minorHAnsi" w:hAnsiTheme="minorHAnsi" w:cstheme="minorBidi"/>
          <w:sz w:val="22"/>
          <w:szCs w:val="22"/>
          <w:lang w:eastAsia="en-US"/>
        </w:rPr>
        <w:t>Na magazynie jest już wykonana pierwsza warstwa betonowania.</w:t>
      </w:r>
    </w:p>
    <w:p w14:paraId="557D21FB" w14:textId="77777777" w:rsidR="008E5F1C" w:rsidRPr="008E5F1C" w:rsidRDefault="008E5F1C" w:rsidP="008E5F1C">
      <w:pPr>
        <w:spacing w:after="160" w:line="259" w:lineRule="auto"/>
        <w:ind w:left="720"/>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Druga warstwa betonowania w której zostaną umieszczone szyny jezdne będzie miała grubość 200 mm.</w:t>
      </w:r>
    </w:p>
    <w:p w14:paraId="3C8D6CD4" w14:textId="77777777" w:rsidR="008E5F1C" w:rsidRPr="008E5F1C" w:rsidRDefault="008E5F1C" w:rsidP="008E5F1C">
      <w:pPr>
        <w:spacing w:after="160" w:line="259" w:lineRule="auto"/>
        <w:ind w:left="720"/>
        <w:contextualSpacing/>
        <w:rPr>
          <w:rFonts w:asciiTheme="minorHAnsi" w:eastAsiaTheme="minorHAnsi" w:hAnsiTheme="minorHAnsi" w:cstheme="minorBidi"/>
          <w:sz w:val="22"/>
          <w:szCs w:val="22"/>
          <w:lang w:eastAsia="en-US"/>
        </w:rPr>
      </w:pPr>
    </w:p>
    <w:p w14:paraId="1894E845" w14:textId="77777777" w:rsidR="008E5F1C" w:rsidRPr="008E5F1C" w:rsidRDefault="008E5F1C" w:rsidP="008E5F1C">
      <w:pPr>
        <w:spacing w:after="160" w:line="259" w:lineRule="auto"/>
        <w:rPr>
          <w:rFonts w:asciiTheme="minorHAnsi" w:eastAsiaTheme="minorHAnsi" w:hAnsiTheme="minorHAnsi" w:cstheme="minorBidi"/>
          <w:b/>
          <w:bCs/>
          <w:sz w:val="22"/>
          <w:szCs w:val="22"/>
          <w:u w:val="single"/>
          <w:lang w:eastAsia="en-US"/>
        </w:rPr>
      </w:pPr>
      <w:r w:rsidRPr="008E5F1C">
        <w:rPr>
          <w:rFonts w:asciiTheme="minorHAnsi" w:eastAsiaTheme="minorHAnsi" w:hAnsiTheme="minorHAnsi" w:cstheme="minorBidi"/>
          <w:b/>
          <w:bCs/>
          <w:sz w:val="22"/>
          <w:szCs w:val="22"/>
          <w:u w:val="single"/>
          <w:lang w:eastAsia="en-US"/>
        </w:rPr>
        <w:t>OFERTA, wymagania:</w:t>
      </w:r>
    </w:p>
    <w:p w14:paraId="239F5E15" w14:textId="77777777" w:rsidR="008E5F1C" w:rsidRPr="008E5F1C" w:rsidRDefault="008E5F1C" w:rsidP="008E5F1C">
      <w:pPr>
        <w:numPr>
          <w:ilvl w:val="0"/>
          <w:numId w:val="24"/>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Oferta powinna być całościowa i zapewniać:</w:t>
      </w:r>
    </w:p>
    <w:p w14:paraId="33E91C41" w14:textId="5A5213F5" w:rsidR="008E5F1C" w:rsidRPr="008E5F1C" w:rsidRDefault="008E5F1C" w:rsidP="008E5F1C">
      <w:pPr>
        <w:numPr>
          <w:ilvl w:val="1"/>
          <w:numId w:val="24"/>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Dostawę i rozładunek szyn jezdnych w terminie </w:t>
      </w:r>
      <w:r>
        <w:rPr>
          <w:rFonts w:asciiTheme="minorHAnsi" w:eastAsiaTheme="minorHAnsi" w:hAnsiTheme="minorHAnsi" w:cstheme="minorBidi"/>
          <w:sz w:val="22"/>
          <w:szCs w:val="22"/>
          <w:lang w:eastAsia="en-US"/>
        </w:rPr>
        <w:t xml:space="preserve">do </w:t>
      </w:r>
      <w:r w:rsidRPr="008E5F1C">
        <w:rPr>
          <w:rFonts w:asciiTheme="minorHAnsi" w:eastAsiaTheme="minorHAnsi" w:hAnsiTheme="minorHAnsi" w:cstheme="minorBidi"/>
          <w:sz w:val="22"/>
          <w:szCs w:val="22"/>
          <w:lang w:eastAsia="en-US"/>
        </w:rPr>
        <w:t xml:space="preserve">6 tygodni od </w:t>
      </w:r>
      <w:r>
        <w:rPr>
          <w:rFonts w:asciiTheme="minorHAnsi" w:eastAsiaTheme="minorHAnsi" w:hAnsiTheme="minorHAnsi" w:cstheme="minorBidi"/>
          <w:sz w:val="22"/>
          <w:szCs w:val="22"/>
          <w:lang w:eastAsia="en-US"/>
        </w:rPr>
        <w:t xml:space="preserve">dnia podpisania </w:t>
      </w:r>
      <w:r w:rsidRPr="008E5F1C">
        <w:rPr>
          <w:rFonts w:asciiTheme="minorHAnsi" w:eastAsiaTheme="minorHAnsi" w:hAnsiTheme="minorHAnsi" w:cstheme="minorBidi"/>
          <w:sz w:val="22"/>
          <w:szCs w:val="22"/>
          <w:lang w:eastAsia="en-US"/>
        </w:rPr>
        <w:t>umowy.</w:t>
      </w:r>
    </w:p>
    <w:p w14:paraId="10EDAE2D" w14:textId="77777777" w:rsidR="008E5F1C" w:rsidRPr="008E5F1C" w:rsidRDefault="008E5F1C" w:rsidP="008E5F1C">
      <w:pPr>
        <w:numPr>
          <w:ilvl w:val="1"/>
          <w:numId w:val="24"/>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Montaż szyn jezdnych na pierwszej warstwie betonowania w terminie 1 tygodnia po dostawie.</w:t>
      </w:r>
    </w:p>
    <w:p w14:paraId="093FAF8B" w14:textId="77777777" w:rsidR="008E5F1C" w:rsidRPr="008E5F1C" w:rsidRDefault="008E5F1C" w:rsidP="008E5F1C">
      <w:pPr>
        <w:numPr>
          <w:ilvl w:val="1"/>
          <w:numId w:val="24"/>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 xml:space="preserve">Dostawę, rozładunek i montaż gotowego systemu regałów w terminie 15 października -30 listopada 2022 r. </w:t>
      </w:r>
    </w:p>
    <w:p w14:paraId="6B3E2E00" w14:textId="77777777" w:rsidR="008E5F1C" w:rsidRPr="008E5F1C" w:rsidRDefault="008E5F1C" w:rsidP="008E5F1C">
      <w:pPr>
        <w:numPr>
          <w:ilvl w:val="1"/>
          <w:numId w:val="24"/>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Uruchomienie i szkolenie w terminie 1 grudnia -20 grudnia 2022 r.</w:t>
      </w:r>
    </w:p>
    <w:p w14:paraId="4B77B348" w14:textId="77777777" w:rsidR="008E5F1C" w:rsidRPr="008E5F1C" w:rsidRDefault="008E5F1C" w:rsidP="008E5F1C">
      <w:pPr>
        <w:numPr>
          <w:ilvl w:val="0"/>
          <w:numId w:val="24"/>
        </w:numPr>
        <w:spacing w:after="160" w:line="259" w:lineRule="auto"/>
        <w:contextualSpacing/>
        <w:rPr>
          <w:rFonts w:asciiTheme="minorHAnsi" w:eastAsiaTheme="minorHAnsi" w:hAnsiTheme="minorHAnsi" w:cstheme="minorBidi"/>
          <w:b/>
          <w:bCs/>
          <w:sz w:val="22"/>
          <w:szCs w:val="22"/>
          <w:lang w:eastAsia="en-US"/>
        </w:rPr>
      </w:pPr>
      <w:r w:rsidRPr="008E5F1C">
        <w:rPr>
          <w:rFonts w:asciiTheme="minorHAnsi" w:eastAsiaTheme="minorHAnsi" w:hAnsiTheme="minorHAnsi" w:cstheme="minorBidi"/>
          <w:sz w:val="22"/>
          <w:szCs w:val="22"/>
          <w:lang w:eastAsia="en-US"/>
        </w:rPr>
        <w:t>Dostawca kompletnego systemu regałowego zobowiązany jest do asysty technicznej i kontroli prawidłowości ustawienia szyn podczas wykonywania drugiej warstwy betonowania.</w:t>
      </w:r>
    </w:p>
    <w:p w14:paraId="4A259F9B" w14:textId="77777777" w:rsidR="008E5F1C" w:rsidRPr="008E5F1C" w:rsidRDefault="008E5F1C" w:rsidP="008E5F1C">
      <w:pPr>
        <w:spacing w:after="160" w:line="259" w:lineRule="auto"/>
        <w:rPr>
          <w:rFonts w:asciiTheme="minorHAnsi" w:eastAsiaTheme="minorHAnsi" w:hAnsiTheme="minorHAnsi" w:cstheme="minorBidi"/>
          <w:b/>
          <w:bCs/>
          <w:sz w:val="22"/>
          <w:szCs w:val="22"/>
          <w:lang w:eastAsia="en-US"/>
        </w:rPr>
      </w:pPr>
    </w:p>
    <w:p w14:paraId="2068DDF8" w14:textId="77777777" w:rsidR="008E5F1C" w:rsidRPr="008E5F1C" w:rsidRDefault="008E5F1C" w:rsidP="008E5F1C">
      <w:pPr>
        <w:spacing w:after="160" w:line="259" w:lineRule="auto"/>
        <w:rPr>
          <w:rFonts w:asciiTheme="minorHAnsi" w:eastAsiaTheme="minorHAnsi" w:hAnsiTheme="minorHAnsi" w:cstheme="minorBidi"/>
          <w:b/>
          <w:bCs/>
          <w:sz w:val="22"/>
          <w:szCs w:val="22"/>
          <w:lang w:eastAsia="en-US"/>
        </w:rPr>
      </w:pPr>
      <w:r w:rsidRPr="008E5F1C">
        <w:rPr>
          <w:rFonts w:asciiTheme="minorHAnsi" w:eastAsiaTheme="minorHAnsi" w:hAnsiTheme="minorHAnsi" w:cstheme="minorBidi"/>
          <w:b/>
          <w:bCs/>
          <w:sz w:val="22"/>
          <w:szCs w:val="22"/>
          <w:lang w:eastAsia="en-US"/>
        </w:rPr>
        <w:lastRenderedPageBreak/>
        <w:t>WARUNKI PŁATNOŚCI:</w:t>
      </w:r>
    </w:p>
    <w:p w14:paraId="255E2BC3" w14:textId="77777777" w:rsidR="008E5F1C" w:rsidRPr="008E5F1C" w:rsidRDefault="008E5F1C" w:rsidP="008E5F1C">
      <w:pPr>
        <w:numPr>
          <w:ilvl w:val="1"/>
          <w:numId w:val="24"/>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Zaliczka w wysokości 30 % w terminie 3 dni po rozstrzygnięciu przetargu i podpisaniu umowy.</w:t>
      </w:r>
    </w:p>
    <w:p w14:paraId="28C1A1CC" w14:textId="77777777" w:rsidR="008E5F1C" w:rsidRPr="008E5F1C" w:rsidRDefault="008E5F1C" w:rsidP="008E5F1C">
      <w:pPr>
        <w:numPr>
          <w:ilvl w:val="1"/>
          <w:numId w:val="24"/>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20 % w terminie 7 dni po dostawie szyn</w:t>
      </w:r>
    </w:p>
    <w:p w14:paraId="2768CD4D" w14:textId="77777777" w:rsidR="008E5F1C" w:rsidRPr="008E5F1C" w:rsidRDefault="008E5F1C" w:rsidP="008E5F1C">
      <w:pPr>
        <w:numPr>
          <w:ilvl w:val="1"/>
          <w:numId w:val="24"/>
        </w:numPr>
        <w:spacing w:after="160" w:line="259" w:lineRule="auto"/>
        <w:contextualSpacing/>
        <w:rPr>
          <w:rFonts w:asciiTheme="minorHAnsi" w:eastAsiaTheme="minorHAnsi" w:hAnsiTheme="minorHAnsi" w:cstheme="minorBidi"/>
          <w:sz w:val="22"/>
          <w:szCs w:val="22"/>
          <w:lang w:eastAsia="en-US"/>
        </w:rPr>
      </w:pPr>
      <w:r w:rsidRPr="008E5F1C">
        <w:rPr>
          <w:rFonts w:asciiTheme="minorHAnsi" w:eastAsiaTheme="minorHAnsi" w:hAnsiTheme="minorHAnsi" w:cstheme="minorBidi"/>
          <w:sz w:val="22"/>
          <w:szCs w:val="22"/>
          <w:lang w:eastAsia="en-US"/>
        </w:rPr>
        <w:t>Płatność końcowa 50 % w terminie 14 dni po odbiorze końcowym i wystawieniu faktury VAT.</w:t>
      </w:r>
    </w:p>
    <w:p w14:paraId="2C698F8B" w14:textId="77777777" w:rsidR="008E5F1C" w:rsidRPr="003369F9" w:rsidRDefault="008E5F1C" w:rsidP="003369F9">
      <w:pPr>
        <w:rPr>
          <w:rFonts w:asciiTheme="minorHAnsi" w:hAnsiTheme="minorHAnsi" w:cstheme="minorHAnsi"/>
          <w:sz w:val="20"/>
          <w:szCs w:val="20"/>
        </w:rPr>
      </w:pPr>
    </w:p>
    <w:sectPr w:rsidR="008E5F1C" w:rsidRPr="003369F9" w:rsidSect="00C23FED">
      <w:headerReference w:type="default" r:id="rId9"/>
      <w:footerReference w:type="default" r:id="rId10"/>
      <w:pgSz w:w="11906" w:h="16838"/>
      <w:pgMar w:top="1985" w:right="1417" w:bottom="1135" w:left="1417" w:header="680"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1D313" w14:textId="77777777" w:rsidR="002357E6" w:rsidRDefault="002357E6">
      <w:r>
        <w:separator/>
      </w:r>
    </w:p>
  </w:endnote>
  <w:endnote w:type="continuationSeparator" w:id="0">
    <w:p w14:paraId="2CFEE029" w14:textId="77777777" w:rsidR="002357E6" w:rsidRDefault="0023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03D6" w14:textId="77777777" w:rsidR="00DE7F40" w:rsidRDefault="003A6B2A">
    <w:pPr>
      <w:pStyle w:val="Nagwek"/>
      <w:tabs>
        <w:tab w:val="clear" w:pos="9072"/>
        <w:tab w:val="right" w:pos="9866"/>
      </w:tabs>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1" allowOverlap="1" wp14:anchorId="38AA087B" wp14:editId="6E143ADC">
              <wp:simplePos x="0" y="0"/>
              <wp:positionH relativeFrom="column">
                <wp:posOffset>-375920</wp:posOffset>
              </wp:positionH>
              <wp:positionV relativeFrom="paragraph">
                <wp:posOffset>-21590</wp:posOffset>
              </wp:positionV>
              <wp:extent cx="6448425" cy="342900"/>
              <wp:effectExtent l="24130" t="26035" r="33020" b="5016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3429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19230482" w14:textId="77777777" w:rsidR="004E0978" w:rsidRPr="004B275B" w:rsidRDefault="004E0978" w:rsidP="004E0978">
                          <w:pPr>
                            <w:jc w:val="center"/>
                            <w:rPr>
                              <w:b/>
                            </w:rPr>
                          </w:pPr>
                          <w:r w:rsidRPr="004B275B">
                            <w:rPr>
                              <w:b/>
                            </w:rPr>
                            <w:t>www.mapadotacji.gov.pl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A087B" id="Rectangle 1" o:spid="_x0000_s1026" style="position:absolute;margin-left:-29.6pt;margin-top:-1.7pt;width:507.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" fillcolor="#5b9bd5" strokecolor="#f2f2f2" strokeweight="3pt">
              <v:shadow on="t" color="#1f4d78" opacity=".5" offset="1pt"/>
              <v:textbox>
                <w:txbxContent>
                  <w:p w14:paraId="19230482" w14:textId="77777777" w:rsidR="004E0978" w:rsidRPr="004B275B" w:rsidRDefault="004E0978" w:rsidP="004E0978">
                    <w:pPr>
                      <w:jc w:val="center"/>
                      <w:rPr>
                        <w:b/>
                      </w:rPr>
                    </w:pPr>
                    <w:r w:rsidRPr="004B275B">
                      <w:rPr>
                        <w:b/>
                      </w:rPr>
                      <w:t>www.mapadotacji.gov.pl</w:t>
                    </w:r>
                  </w:p>
                </w:txbxContent>
              </v:textbox>
            </v:rect>
          </w:pict>
        </mc:Fallback>
      </mc:AlternateContent>
    </w:r>
  </w:p>
  <w:p w14:paraId="0F40F09A" w14:textId="77777777" w:rsidR="00DE7F40" w:rsidRPr="00C109E1" w:rsidRDefault="00DE7F40" w:rsidP="00DE7F40">
    <w:pPr>
      <w:pStyle w:val="Stopka"/>
      <w:spacing w:line="276" w:lineRule="auto"/>
      <w:jc w:val="center"/>
      <w:rPr>
        <w:rFonts w:ascii="Arial" w:hAnsi="Arial" w:cs="Arial"/>
        <w:sz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E69A" w14:textId="77777777" w:rsidR="002357E6" w:rsidRDefault="002357E6">
      <w:r>
        <w:separator/>
      </w:r>
    </w:p>
  </w:footnote>
  <w:footnote w:type="continuationSeparator" w:id="0">
    <w:p w14:paraId="2CD1A2BD" w14:textId="77777777" w:rsidR="002357E6" w:rsidRDefault="00235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EF17" w14:textId="77777777" w:rsidR="00DE7F40" w:rsidRPr="00D66666" w:rsidRDefault="003A6B2A" w:rsidP="00D66666">
    <w:pPr>
      <w:pStyle w:val="Nagwek"/>
      <w:tabs>
        <w:tab w:val="clear" w:pos="4536"/>
        <w:tab w:val="clear" w:pos="9072"/>
        <w:tab w:val="left" w:pos="7530"/>
      </w:tabs>
    </w:pPr>
    <w:r>
      <w:rPr>
        <w:noProof/>
      </w:rPr>
      <w:drawing>
        <wp:inline distT="0" distB="0" distL="0" distR="0" wp14:anchorId="71BA7FD8" wp14:editId="1AC774C9">
          <wp:extent cx="1362075" cy="723900"/>
          <wp:effectExtent l="0" t="0" r="0" b="0"/>
          <wp:docPr id="1" name="Obraz 1" descr="logo_FE_Inteligentny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Inteligentny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23900"/>
                  </a:xfrm>
                  <a:prstGeom prst="rect">
                    <a:avLst/>
                  </a:prstGeom>
                  <a:noFill/>
                  <a:ln>
                    <a:noFill/>
                  </a:ln>
                </pic:spPr>
              </pic:pic>
            </a:graphicData>
          </a:graphic>
        </wp:inline>
      </w:drawing>
    </w:r>
    <w:r w:rsidR="00D66666">
      <w:rPr>
        <w:noProof/>
      </w:rPr>
      <w:t xml:space="preserve">  </w:t>
    </w:r>
    <w:r w:rsidR="003D48C4">
      <w:rPr>
        <w:noProof/>
      </w:rPr>
      <w:t xml:space="preserve">    </w:t>
    </w:r>
    <w:r w:rsidR="00D66666">
      <w:rPr>
        <w:noProof/>
      </w:rPr>
      <w:t xml:space="preserve"> </w:t>
    </w:r>
    <w:r>
      <w:rPr>
        <w:noProof/>
      </w:rPr>
      <w:drawing>
        <wp:inline distT="0" distB="0" distL="0" distR="0" wp14:anchorId="70D80B79" wp14:editId="2B3D1399">
          <wp:extent cx="1981200" cy="657225"/>
          <wp:effectExtent l="0" t="0" r="0" b="0"/>
          <wp:docPr id="2" name="Obraz 2" descr="znak_barw_rp_poziom_szara_ram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barw_rp_poziom_szara_ramka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657225"/>
                  </a:xfrm>
                  <a:prstGeom prst="rect">
                    <a:avLst/>
                  </a:prstGeom>
                  <a:noFill/>
                  <a:ln>
                    <a:noFill/>
                  </a:ln>
                </pic:spPr>
              </pic:pic>
            </a:graphicData>
          </a:graphic>
        </wp:inline>
      </w:drawing>
    </w:r>
    <w:r w:rsidR="00E817A4">
      <w:rPr>
        <w:noProof/>
      </w:rPr>
      <w:t xml:space="preserve">   </w:t>
    </w:r>
    <w:r w:rsidRPr="001E6CE6">
      <w:rPr>
        <w:noProof/>
      </w:rPr>
      <w:drawing>
        <wp:inline distT="0" distB="0" distL="0" distR="0" wp14:anchorId="6125AB1F" wp14:editId="7D22BC98">
          <wp:extent cx="2009775" cy="676275"/>
          <wp:effectExtent l="0" t="0" r="0" b="0"/>
          <wp:docPr id="3" name="Obraz 2" descr="Znak Unii Europejskiej z podpisem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Unii Europejskiej z podpisem Europejski Fundusz Rozwoju Regional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CAC"/>
    <w:multiLevelType w:val="hybridMultilevel"/>
    <w:tmpl w:val="38DE1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1F42B8"/>
    <w:multiLevelType w:val="hybridMultilevel"/>
    <w:tmpl w:val="F5766F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1B3422"/>
    <w:multiLevelType w:val="hybridMultilevel"/>
    <w:tmpl w:val="91607A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2D4B74"/>
    <w:multiLevelType w:val="hybridMultilevel"/>
    <w:tmpl w:val="6520EE42"/>
    <w:lvl w:ilvl="0" w:tplc="04150001">
      <w:start w:val="1"/>
      <w:numFmt w:val="bullet"/>
      <w:lvlText w:val=""/>
      <w:lvlJc w:val="left"/>
      <w:pPr>
        <w:ind w:left="723" w:hanging="360"/>
      </w:pPr>
      <w:rPr>
        <w:rFonts w:ascii="Symbol" w:hAnsi="Symbol" w:hint="default"/>
      </w:rPr>
    </w:lvl>
    <w:lvl w:ilvl="1" w:tplc="04150003">
      <w:start w:val="1"/>
      <w:numFmt w:val="bullet"/>
      <w:lvlText w:val="o"/>
      <w:lvlJc w:val="left"/>
      <w:pPr>
        <w:ind w:left="1443" w:hanging="360"/>
      </w:pPr>
      <w:rPr>
        <w:rFonts w:ascii="Courier New" w:hAnsi="Courier New" w:cs="Courier New" w:hint="default"/>
      </w:rPr>
    </w:lvl>
    <w:lvl w:ilvl="2" w:tplc="04150005">
      <w:start w:val="1"/>
      <w:numFmt w:val="bullet"/>
      <w:lvlText w:val=""/>
      <w:lvlJc w:val="left"/>
      <w:pPr>
        <w:ind w:left="2163" w:hanging="360"/>
      </w:pPr>
      <w:rPr>
        <w:rFonts w:ascii="Wingdings" w:hAnsi="Wingdings" w:hint="default"/>
      </w:rPr>
    </w:lvl>
    <w:lvl w:ilvl="3" w:tplc="04150001">
      <w:start w:val="1"/>
      <w:numFmt w:val="bullet"/>
      <w:lvlText w:val=""/>
      <w:lvlJc w:val="left"/>
      <w:pPr>
        <w:ind w:left="2883" w:hanging="360"/>
      </w:pPr>
      <w:rPr>
        <w:rFonts w:ascii="Symbol" w:hAnsi="Symbol" w:hint="default"/>
      </w:rPr>
    </w:lvl>
    <w:lvl w:ilvl="4" w:tplc="04150003">
      <w:start w:val="1"/>
      <w:numFmt w:val="bullet"/>
      <w:lvlText w:val="o"/>
      <w:lvlJc w:val="left"/>
      <w:pPr>
        <w:ind w:left="3603" w:hanging="360"/>
      </w:pPr>
      <w:rPr>
        <w:rFonts w:ascii="Courier New" w:hAnsi="Courier New" w:cs="Courier New" w:hint="default"/>
      </w:rPr>
    </w:lvl>
    <w:lvl w:ilvl="5" w:tplc="04150005">
      <w:start w:val="1"/>
      <w:numFmt w:val="bullet"/>
      <w:lvlText w:val=""/>
      <w:lvlJc w:val="left"/>
      <w:pPr>
        <w:ind w:left="4323" w:hanging="360"/>
      </w:pPr>
      <w:rPr>
        <w:rFonts w:ascii="Wingdings" w:hAnsi="Wingdings" w:hint="default"/>
      </w:rPr>
    </w:lvl>
    <w:lvl w:ilvl="6" w:tplc="04150001">
      <w:start w:val="1"/>
      <w:numFmt w:val="bullet"/>
      <w:lvlText w:val=""/>
      <w:lvlJc w:val="left"/>
      <w:pPr>
        <w:ind w:left="5043" w:hanging="360"/>
      </w:pPr>
      <w:rPr>
        <w:rFonts w:ascii="Symbol" w:hAnsi="Symbol" w:hint="default"/>
      </w:rPr>
    </w:lvl>
    <w:lvl w:ilvl="7" w:tplc="04150003">
      <w:start w:val="1"/>
      <w:numFmt w:val="bullet"/>
      <w:lvlText w:val="o"/>
      <w:lvlJc w:val="left"/>
      <w:pPr>
        <w:ind w:left="5763" w:hanging="360"/>
      </w:pPr>
      <w:rPr>
        <w:rFonts w:ascii="Courier New" w:hAnsi="Courier New" w:cs="Courier New" w:hint="default"/>
      </w:rPr>
    </w:lvl>
    <w:lvl w:ilvl="8" w:tplc="04150005">
      <w:start w:val="1"/>
      <w:numFmt w:val="bullet"/>
      <w:lvlText w:val=""/>
      <w:lvlJc w:val="left"/>
      <w:pPr>
        <w:ind w:left="6483" w:hanging="360"/>
      </w:pPr>
      <w:rPr>
        <w:rFonts w:ascii="Wingdings" w:hAnsi="Wingdings" w:hint="default"/>
      </w:rPr>
    </w:lvl>
  </w:abstractNum>
  <w:abstractNum w:abstractNumId="5" w15:restartNumberingAfterBreak="0">
    <w:nsid w:val="1EA60329"/>
    <w:multiLevelType w:val="hybridMultilevel"/>
    <w:tmpl w:val="3816275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154459A"/>
    <w:multiLevelType w:val="hybridMultilevel"/>
    <w:tmpl w:val="BE3ED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7A57BE"/>
    <w:multiLevelType w:val="hybridMultilevel"/>
    <w:tmpl w:val="8DD0C54C"/>
    <w:lvl w:ilvl="0" w:tplc="0415000F">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F43545"/>
    <w:multiLevelType w:val="hybridMultilevel"/>
    <w:tmpl w:val="A38A9270"/>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742982"/>
    <w:multiLevelType w:val="hybridMultilevel"/>
    <w:tmpl w:val="E99EF0C8"/>
    <w:lvl w:ilvl="0" w:tplc="89E483E4">
      <w:start w:val="1"/>
      <w:numFmt w:val="decimal"/>
      <w:lvlText w:val="%1."/>
      <w:lvlJc w:val="left"/>
      <w:pPr>
        <w:ind w:left="360" w:hanging="360"/>
      </w:pPr>
      <w:rPr>
        <w:rFonts w:cs="Times New Roman"/>
        <w:b w:val="0"/>
      </w:rPr>
    </w:lvl>
    <w:lvl w:ilvl="1" w:tplc="04150019">
      <w:start w:val="1"/>
      <w:numFmt w:val="decimal"/>
      <w:lvlText w:val="%2."/>
      <w:lvlJc w:val="left"/>
      <w:pPr>
        <w:tabs>
          <w:tab w:val="num" w:pos="1080"/>
        </w:tabs>
        <w:ind w:left="1080" w:hanging="360"/>
      </w:pPr>
    </w:lvl>
    <w:lvl w:ilvl="2" w:tplc="207A52A4">
      <w:start w:val="1"/>
      <w:numFmt w:val="decimal"/>
      <w:lvlText w:val="%3."/>
      <w:lvlJc w:val="left"/>
      <w:pPr>
        <w:ind w:left="1800" w:hanging="180"/>
      </w:pPr>
      <w:rPr>
        <w:sz w:val="22"/>
        <w:szCs w:val="20"/>
      </w:r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0" w15:restartNumberingAfterBreak="0">
    <w:nsid w:val="320A6DA6"/>
    <w:multiLevelType w:val="hybridMultilevel"/>
    <w:tmpl w:val="F7D2B9C6"/>
    <w:lvl w:ilvl="0" w:tplc="7E3055F2">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38D5903"/>
    <w:multiLevelType w:val="hybridMultilevel"/>
    <w:tmpl w:val="74123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081E89"/>
    <w:multiLevelType w:val="hybridMultilevel"/>
    <w:tmpl w:val="FA2E48A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446A6555"/>
    <w:multiLevelType w:val="hybridMultilevel"/>
    <w:tmpl w:val="1D5494A6"/>
    <w:lvl w:ilvl="0" w:tplc="2460E60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6A7450C"/>
    <w:multiLevelType w:val="hybridMultilevel"/>
    <w:tmpl w:val="E73223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97D14AD"/>
    <w:multiLevelType w:val="hybridMultilevel"/>
    <w:tmpl w:val="094AC7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0F5A7A"/>
    <w:multiLevelType w:val="hybridMultilevel"/>
    <w:tmpl w:val="05027828"/>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FEA7E05"/>
    <w:multiLevelType w:val="hybridMultilevel"/>
    <w:tmpl w:val="A1DC0DA0"/>
    <w:lvl w:ilvl="0" w:tplc="4F82837C">
      <w:start w:val="2"/>
      <w:numFmt w:val="decimal"/>
      <w:lvlText w:val="%1."/>
      <w:lvlJc w:val="left"/>
      <w:pPr>
        <w:ind w:left="360" w:hanging="360"/>
      </w:pPr>
      <w:rPr>
        <w:rFonts w:cs="Times New Roman" w:hint="default"/>
        <w:b w:val="0"/>
      </w:rPr>
    </w:lvl>
    <w:lvl w:ilvl="1" w:tplc="04150019">
      <w:start w:val="1"/>
      <w:numFmt w:val="decimal"/>
      <w:lvlText w:val="%2."/>
      <w:lvlJc w:val="left"/>
      <w:pPr>
        <w:tabs>
          <w:tab w:val="num" w:pos="1080"/>
        </w:tabs>
        <w:ind w:left="1080" w:hanging="360"/>
      </w:pPr>
    </w:lvl>
    <w:lvl w:ilvl="2" w:tplc="207A52A4">
      <w:start w:val="1"/>
      <w:numFmt w:val="decimal"/>
      <w:lvlText w:val="%3."/>
      <w:lvlJc w:val="left"/>
      <w:pPr>
        <w:ind w:left="1800" w:hanging="180"/>
      </w:pPr>
      <w:rPr>
        <w:sz w:val="22"/>
        <w:szCs w:val="20"/>
      </w:r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8" w15:restartNumberingAfterBreak="0">
    <w:nsid w:val="5E147E32"/>
    <w:multiLevelType w:val="hybridMultilevel"/>
    <w:tmpl w:val="4B789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AD3960"/>
    <w:multiLevelType w:val="singleLevel"/>
    <w:tmpl w:val="1C565D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1" w15:restartNumberingAfterBreak="0">
    <w:nsid w:val="7D0171D1"/>
    <w:multiLevelType w:val="hybridMultilevel"/>
    <w:tmpl w:val="8A9275E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42966525">
    <w:abstractNumId w:val="7"/>
  </w:num>
  <w:num w:numId="2" w16cid:durableId="353112853">
    <w:abstractNumId w:val="16"/>
  </w:num>
  <w:num w:numId="3" w16cid:durableId="2045521687">
    <w:abstractNumId w:val="15"/>
  </w:num>
  <w:num w:numId="4" w16cid:durableId="784425884">
    <w:abstractNumId w:val="6"/>
  </w:num>
  <w:num w:numId="5" w16cid:durableId="1300837697">
    <w:abstractNumId w:val="18"/>
  </w:num>
  <w:num w:numId="6" w16cid:durableId="1101805505">
    <w:abstractNumId w:val="1"/>
  </w:num>
  <w:num w:numId="7" w16cid:durableId="1105735863">
    <w:abstractNumId w:val="19"/>
  </w:num>
  <w:num w:numId="8" w16cid:durableId="2034843016">
    <w:abstractNumId w:val="5"/>
  </w:num>
  <w:num w:numId="9" w16cid:durableId="4211421">
    <w:abstractNumId w:val="11"/>
  </w:num>
  <w:num w:numId="10" w16cid:durableId="483010331">
    <w:abstractNumId w:val="12"/>
  </w:num>
  <w:num w:numId="11" w16cid:durableId="428309903">
    <w:abstractNumId w:val="9"/>
  </w:num>
  <w:num w:numId="12" w16cid:durableId="1086725674">
    <w:abstractNumId w:val="4"/>
  </w:num>
  <w:num w:numId="13" w16cid:durableId="973366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1561797">
    <w:abstractNumId w:val="20"/>
  </w:num>
  <w:num w:numId="15" w16cid:durableId="468787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869748">
    <w:abstractNumId w:val="3"/>
  </w:num>
  <w:num w:numId="17" w16cid:durableId="798719270">
    <w:abstractNumId w:val="8"/>
  </w:num>
  <w:num w:numId="18" w16cid:durableId="1890729273">
    <w:abstractNumId w:val="17"/>
  </w:num>
  <w:num w:numId="19" w16cid:durableId="50201170">
    <w:abstractNumId w:val="2"/>
  </w:num>
  <w:num w:numId="20" w16cid:durableId="1562598862">
    <w:abstractNumId w:val="0"/>
  </w:num>
  <w:num w:numId="21" w16cid:durableId="1366558696">
    <w:abstractNumId w:val="0"/>
  </w:num>
  <w:num w:numId="22" w16cid:durableId="2041389539">
    <w:abstractNumId w:val="14"/>
  </w:num>
  <w:num w:numId="23" w16cid:durableId="1021472422">
    <w:abstractNumId w:val="13"/>
  </w:num>
  <w:num w:numId="24" w16cid:durableId="815295228">
    <w:abstractNumId w:val="10"/>
  </w:num>
  <w:num w:numId="25" w16cid:durableId="5111164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E1"/>
    <w:rsid w:val="0000362E"/>
    <w:rsid w:val="00007C03"/>
    <w:rsid w:val="00014C4F"/>
    <w:rsid w:val="00020EF8"/>
    <w:rsid w:val="00035EFA"/>
    <w:rsid w:val="00035F42"/>
    <w:rsid w:val="00043D37"/>
    <w:rsid w:val="000444F0"/>
    <w:rsid w:val="000527F1"/>
    <w:rsid w:val="00061555"/>
    <w:rsid w:val="00067589"/>
    <w:rsid w:val="000801A9"/>
    <w:rsid w:val="00082BF3"/>
    <w:rsid w:val="000A043E"/>
    <w:rsid w:val="000A19F4"/>
    <w:rsid w:val="000A733F"/>
    <w:rsid w:val="000B23AB"/>
    <w:rsid w:val="000B33BD"/>
    <w:rsid w:val="000D3C79"/>
    <w:rsid w:val="000D79BD"/>
    <w:rsid w:val="000D7B17"/>
    <w:rsid w:val="000E3FAA"/>
    <w:rsid w:val="000E5DFA"/>
    <w:rsid w:val="000F5D81"/>
    <w:rsid w:val="000F74B1"/>
    <w:rsid w:val="001067B6"/>
    <w:rsid w:val="00122C66"/>
    <w:rsid w:val="00124B64"/>
    <w:rsid w:val="00140386"/>
    <w:rsid w:val="00160C23"/>
    <w:rsid w:val="0016451F"/>
    <w:rsid w:val="00173382"/>
    <w:rsid w:val="00176C6C"/>
    <w:rsid w:val="00180ED5"/>
    <w:rsid w:val="001929D1"/>
    <w:rsid w:val="001C17C8"/>
    <w:rsid w:val="001D682D"/>
    <w:rsid w:val="001D749D"/>
    <w:rsid w:val="001E53A9"/>
    <w:rsid w:val="00202658"/>
    <w:rsid w:val="00213313"/>
    <w:rsid w:val="00213713"/>
    <w:rsid w:val="002215D1"/>
    <w:rsid w:val="0022281D"/>
    <w:rsid w:val="00224180"/>
    <w:rsid w:val="00226287"/>
    <w:rsid w:val="00231778"/>
    <w:rsid w:val="002357E6"/>
    <w:rsid w:val="0024064A"/>
    <w:rsid w:val="00245B60"/>
    <w:rsid w:val="00257BF7"/>
    <w:rsid w:val="0026130A"/>
    <w:rsid w:val="00272AC9"/>
    <w:rsid w:val="002765DA"/>
    <w:rsid w:val="00283797"/>
    <w:rsid w:val="00293042"/>
    <w:rsid w:val="00297E49"/>
    <w:rsid w:val="002A6FD6"/>
    <w:rsid w:val="002C4B27"/>
    <w:rsid w:val="002D201E"/>
    <w:rsid w:val="002D53AA"/>
    <w:rsid w:val="002E055A"/>
    <w:rsid w:val="002E7612"/>
    <w:rsid w:val="00307216"/>
    <w:rsid w:val="0031366E"/>
    <w:rsid w:val="00335354"/>
    <w:rsid w:val="003369F9"/>
    <w:rsid w:val="003526DC"/>
    <w:rsid w:val="00352F4B"/>
    <w:rsid w:val="003536D0"/>
    <w:rsid w:val="00354F45"/>
    <w:rsid w:val="00376BAA"/>
    <w:rsid w:val="003829B2"/>
    <w:rsid w:val="003856C3"/>
    <w:rsid w:val="0038582F"/>
    <w:rsid w:val="0039311F"/>
    <w:rsid w:val="003A6B2A"/>
    <w:rsid w:val="003B1F82"/>
    <w:rsid w:val="003B2AD5"/>
    <w:rsid w:val="003B54B5"/>
    <w:rsid w:val="003C5AC5"/>
    <w:rsid w:val="003D1C95"/>
    <w:rsid w:val="003D48C4"/>
    <w:rsid w:val="003F041F"/>
    <w:rsid w:val="003F054D"/>
    <w:rsid w:val="003F6748"/>
    <w:rsid w:val="0040330E"/>
    <w:rsid w:val="004043CC"/>
    <w:rsid w:val="00405E24"/>
    <w:rsid w:val="004122B2"/>
    <w:rsid w:val="004220A2"/>
    <w:rsid w:val="00430BED"/>
    <w:rsid w:val="00447A94"/>
    <w:rsid w:val="00462591"/>
    <w:rsid w:val="00465342"/>
    <w:rsid w:val="00476DDD"/>
    <w:rsid w:val="00495113"/>
    <w:rsid w:val="004A0B9B"/>
    <w:rsid w:val="004B275B"/>
    <w:rsid w:val="004B557B"/>
    <w:rsid w:val="004B57AF"/>
    <w:rsid w:val="004C5DB9"/>
    <w:rsid w:val="004C60F5"/>
    <w:rsid w:val="004E0978"/>
    <w:rsid w:val="004E5EF9"/>
    <w:rsid w:val="004E5FFD"/>
    <w:rsid w:val="004E6593"/>
    <w:rsid w:val="004F2CC4"/>
    <w:rsid w:val="005030BF"/>
    <w:rsid w:val="0050713E"/>
    <w:rsid w:val="005115B1"/>
    <w:rsid w:val="00513633"/>
    <w:rsid w:val="005144F1"/>
    <w:rsid w:val="00514F7F"/>
    <w:rsid w:val="00527E54"/>
    <w:rsid w:val="00536A17"/>
    <w:rsid w:val="00540045"/>
    <w:rsid w:val="00545BB8"/>
    <w:rsid w:val="00554F66"/>
    <w:rsid w:val="00554FCA"/>
    <w:rsid w:val="0055639C"/>
    <w:rsid w:val="00557B3B"/>
    <w:rsid w:val="00562A7F"/>
    <w:rsid w:val="00571A7E"/>
    <w:rsid w:val="00577388"/>
    <w:rsid w:val="005935D0"/>
    <w:rsid w:val="0059471E"/>
    <w:rsid w:val="005A2B61"/>
    <w:rsid w:val="005B3ECC"/>
    <w:rsid w:val="005B6F33"/>
    <w:rsid w:val="005B7579"/>
    <w:rsid w:val="005D2C2B"/>
    <w:rsid w:val="005D6980"/>
    <w:rsid w:val="005E40D6"/>
    <w:rsid w:val="005E7BB3"/>
    <w:rsid w:val="005F1FA9"/>
    <w:rsid w:val="005F5A7B"/>
    <w:rsid w:val="005F7660"/>
    <w:rsid w:val="006040AD"/>
    <w:rsid w:val="00611849"/>
    <w:rsid w:val="00621188"/>
    <w:rsid w:val="006234AA"/>
    <w:rsid w:val="006349B4"/>
    <w:rsid w:val="00634A7D"/>
    <w:rsid w:val="00655BFF"/>
    <w:rsid w:val="00655ECC"/>
    <w:rsid w:val="00657B31"/>
    <w:rsid w:val="006615C7"/>
    <w:rsid w:val="00666FD7"/>
    <w:rsid w:val="00674AA0"/>
    <w:rsid w:val="006761FF"/>
    <w:rsid w:val="00681044"/>
    <w:rsid w:val="006917EC"/>
    <w:rsid w:val="00692F18"/>
    <w:rsid w:val="006A7B67"/>
    <w:rsid w:val="006B33C7"/>
    <w:rsid w:val="006C24BE"/>
    <w:rsid w:val="006C7209"/>
    <w:rsid w:val="006D0F62"/>
    <w:rsid w:val="006D1AD4"/>
    <w:rsid w:val="006D38DD"/>
    <w:rsid w:val="006D6080"/>
    <w:rsid w:val="006D7C2E"/>
    <w:rsid w:val="006E0525"/>
    <w:rsid w:val="006E5C46"/>
    <w:rsid w:val="006E6489"/>
    <w:rsid w:val="006E7722"/>
    <w:rsid w:val="007039E5"/>
    <w:rsid w:val="007105FE"/>
    <w:rsid w:val="00715D16"/>
    <w:rsid w:val="00722DBD"/>
    <w:rsid w:val="007235C0"/>
    <w:rsid w:val="00731397"/>
    <w:rsid w:val="00741B1C"/>
    <w:rsid w:val="00745565"/>
    <w:rsid w:val="0075508B"/>
    <w:rsid w:val="007676FD"/>
    <w:rsid w:val="00777D40"/>
    <w:rsid w:val="0078141A"/>
    <w:rsid w:val="007827D7"/>
    <w:rsid w:val="0078463E"/>
    <w:rsid w:val="00787170"/>
    <w:rsid w:val="00791619"/>
    <w:rsid w:val="007A085A"/>
    <w:rsid w:val="007B60E9"/>
    <w:rsid w:val="007C503E"/>
    <w:rsid w:val="007C6209"/>
    <w:rsid w:val="007D2C03"/>
    <w:rsid w:val="007F0F16"/>
    <w:rsid w:val="007F7326"/>
    <w:rsid w:val="00804C67"/>
    <w:rsid w:val="008056F0"/>
    <w:rsid w:val="008155B4"/>
    <w:rsid w:val="00820549"/>
    <w:rsid w:val="008249C7"/>
    <w:rsid w:val="008338EC"/>
    <w:rsid w:val="00841C39"/>
    <w:rsid w:val="008455E1"/>
    <w:rsid w:val="00855553"/>
    <w:rsid w:val="008609C5"/>
    <w:rsid w:val="0086216B"/>
    <w:rsid w:val="0086767D"/>
    <w:rsid w:val="00867D65"/>
    <w:rsid w:val="00874449"/>
    <w:rsid w:val="00874522"/>
    <w:rsid w:val="00877892"/>
    <w:rsid w:val="00890894"/>
    <w:rsid w:val="00891BA9"/>
    <w:rsid w:val="00896296"/>
    <w:rsid w:val="008A78B6"/>
    <w:rsid w:val="008B4539"/>
    <w:rsid w:val="008C1C0D"/>
    <w:rsid w:val="008C3299"/>
    <w:rsid w:val="008E5F1C"/>
    <w:rsid w:val="008F15B9"/>
    <w:rsid w:val="008F175E"/>
    <w:rsid w:val="008F20F4"/>
    <w:rsid w:val="008F524C"/>
    <w:rsid w:val="00901A5C"/>
    <w:rsid w:val="00902D08"/>
    <w:rsid w:val="009079CC"/>
    <w:rsid w:val="00907A8C"/>
    <w:rsid w:val="009167E2"/>
    <w:rsid w:val="00917F32"/>
    <w:rsid w:val="00921196"/>
    <w:rsid w:val="009228C4"/>
    <w:rsid w:val="00934E17"/>
    <w:rsid w:val="00936B76"/>
    <w:rsid w:val="009416F1"/>
    <w:rsid w:val="009626B8"/>
    <w:rsid w:val="009706EB"/>
    <w:rsid w:val="00973269"/>
    <w:rsid w:val="00977BF8"/>
    <w:rsid w:val="00994EF6"/>
    <w:rsid w:val="009A31CE"/>
    <w:rsid w:val="009B7641"/>
    <w:rsid w:val="009C37CF"/>
    <w:rsid w:val="009C6C8E"/>
    <w:rsid w:val="009F7CAA"/>
    <w:rsid w:val="00A01CE1"/>
    <w:rsid w:val="00A109AB"/>
    <w:rsid w:val="00A22C0E"/>
    <w:rsid w:val="00A24046"/>
    <w:rsid w:val="00A335AD"/>
    <w:rsid w:val="00A42E0D"/>
    <w:rsid w:val="00A917C9"/>
    <w:rsid w:val="00AB67D6"/>
    <w:rsid w:val="00AC4D7E"/>
    <w:rsid w:val="00AD0E0D"/>
    <w:rsid w:val="00AD39D9"/>
    <w:rsid w:val="00AE3727"/>
    <w:rsid w:val="00AE60F7"/>
    <w:rsid w:val="00AF133F"/>
    <w:rsid w:val="00AF33D2"/>
    <w:rsid w:val="00B2140C"/>
    <w:rsid w:val="00B26FD8"/>
    <w:rsid w:val="00B326FA"/>
    <w:rsid w:val="00B5419C"/>
    <w:rsid w:val="00B625C2"/>
    <w:rsid w:val="00B66275"/>
    <w:rsid w:val="00B71926"/>
    <w:rsid w:val="00B776EC"/>
    <w:rsid w:val="00B86F93"/>
    <w:rsid w:val="00BA03F3"/>
    <w:rsid w:val="00BA5591"/>
    <w:rsid w:val="00BD1A0C"/>
    <w:rsid w:val="00BD1F62"/>
    <w:rsid w:val="00C025F4"/>
    <w:rsid w:val="00C02FC4"/>
    <w:rsid w:val="00C059BC"/>
    <w:rsid w:val="00C109E1"/>
    <w:rsid w:val="00C23FED"/>
    <w:rsid w:val="00C25995"/>
    <w:rsid w:val="00C27F8B"/>
    <w:rsid w:val="00C32320"/>
    <w:rsid w:val="00C33219"/>
    <w:rsid w:val="00C34478"/>
    <w:rsid w:val="00C4506D"/>
    <w:rsid w:val="00C57D42"/>
    <w:rsid w:val="00C61373"/>
    <w:rsid w:val="00C72ECA"/>
    <w:rsid w:val="00C862F7"/>
    <w:rsid w:val="00C8761F"/>
    <w:rsid w:val="00CA63BE"/>
    <w:rsid w:val="00CC1B83"/>
    <w:rsid w:val="00CC7AB6"/>
    <w:rsid w:val="00CD2F16"/>
    <w:rsid w:val="00CD36E0"/>
    <w:rsid w:val="00D105E4"/>
    <w:rsid w:val="00D2115F"/>
    <w:rsid w:val="00D23CCB"/>
    <w:rsid w:val="00D30590"/>
    <w:rsid w:val="00D4428A"/>
    <w:rsid w:val="00D6133C"/>
    <w:rsid w:val="00D64A3B"/>
    <w:rsid w:val="00D66666"/>
    <w:rsid w:val="00D72BD8"/>
    <w:rsid w:val="00D76056"/>
    <w:rsid w:val="00D92F8A"/>
    <w:rsid w:val="00D979A2"/>
    <w:rsid w:val="00DA356D"/>
    <w:rsid w:val="00DA484E"/>
    <w:rsid w:val="00DA635F"/>
    <w:rsid w:val="00DB6C15"/>
    <w:rsid w:val="00DC3E07"/>
    <w:rsid w:val="00DC6296"/>
    <w:rsid w:val="00DD2C10"/>
    <w:rsid w:val="00DD5E2C"/>
    <w:rsid w:val="00DE7F40"/>
    <w:rsid w:val="00DF425B"/>
    <w:rsid w:val="00DF4D08"/>
    <w:rsid w:val="00DF59DF"/>
    <w:rsid w:val="00E03D10"/>
    <w:rsid w:val="00E16AB7"/>
    <w:rsid w:val="00E20550"/>
    <w:rsid w:val="00E24B44"/>
    <w:rsid w:val="00E35448"/>
    <w:rsid w:val="00E47B3B"/>
    <w:rsid w:val="00E51D9B"/>
    <w:rsid w:val="00E6129C"/>
    <w:rsid w:val="00E61945"/>
    <w:rsid w:val="00E64E13"/>
    <w:rsid w:val="00E66C64"/>
    <w:rsid w:val="00E778E0"/>
    <w:rsid w:val="00E814F3"/>
    <w:rsid w:val="00E817A4"/>
    <w:rsid w:val="00E82E37"/>
    <w:rsid w:val="00E904F2"/>
    <w:rsid w:val="00E9547E"/>
    <w:rsid w:val="00EA091B"/>
    <w:rsid w:val="00EB13A2"/>
    <w:rsid w:val="00EB2187"/>
    <w:rsid w:val="00ED0F07"/>
    <w:rsid w:val="00ED6990"/>
    <w:rsid w:val="00F030B8"/>
    <w:rsid w:val="00F07F3F"/>
    <w:rsid w:val="00F17860"/>
    <w:rsid w:val="00F26188"/>
    <w:rsid w:val="00F76745"/>
    <w:rsid w:val="00F810EE"/>
    <w:rsid w:val="00F82568"/>
    <w:rsid w:val="00F9022A"/>
    <w:rsid w:val="00FA7C73"/>
    <w:rsid w:val="00FB04B2"/>
    <w:rsid w:val="00FB4474"/>
    <w:rsid w:val="00FD21D6"/>
    <w:rsid w:val="00FD3DFB"/>
    <w:rsid w:val="00FD42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E919E4"/>
  <w15:chartTrackingRefBased/>
  <w15:docId w15:val="{8975C55A-0224-4CCD-AD42-E21372BD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rFonts w:ascii="Myriad Pro" w:hAnsi="Myriad Pro"/>
      <w:b/>
    </w:rPr>
  </w:style>
  <w:style w:type="paragraph" w:styleId="Nagwek2">
    <w:name w:val="heading 2"/>
    <w:basedOn w:val="Normalny"/>
    <w:next w:val="Normalny"/>
    <w:link w:val="Nagwek2Znak"/>
    <w:uiPriority w:val="9"/>
    <w:semiHidden/>
    <w:unhideWhenUsed/>
    <w:qFormat/>
    <w:rsid w:val="00DC6296"/>
    <w:pPr>
      <w:keepNext/>
      <w:spacing w:before="240" w:after="60"/>
      <w:outlineLvl w:val="1"/>
    </w:pPr>
    <w:rPr>
      <w:rFonts w:ascii="Cambria" w:hAnsi="Cambria"/>
      <w:b/>
      <w:bCs/>
      <w:i/>
      <w:iCs/>
      <w:sz w:val="28"/>
      <w:szCs w:val="28"/>
    </w:rPr>
  </w:style>
  <w:style w:type="paragraph" w:styleId="Nagwek6">
    <w:name w:val="heading 6"/>
    <w:basedOn w:val="Normalny"/>
    <w:next w:val="Normalny"/>
    <w:link w:val="Nagwek6Znak"/>
    <w:qFormat/>
    <w:pPr>
      <w:keepNext/>
      <w:tabs>
        <w:tab w:val="left" w:pos="709"/>
      </w:tabs>
      <w:outlineLvl w:val="5"/>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semiHidden/>
    <w:pPr>
      <w:tabs>
        <w:tab w:val="center" w:pos="4536"/>
        <w:tab w:val="right" w:pos="9072"/>
      </w:tabs>
    </w:pPr>
  </w:style>
  <w:style w:type="paragraph" w:styleId="Tekstprzypisukocowego">
    <w:name w:val="endnote text"/>
    <w:basedOn w:val="Normalny"/>
    <w:semiHidden/>
    <w:rPr>
      <w:sz w:val="20"/>
      <w:szCs w:val="20"/>
    </w:rPr>
  </w:style>
  <w:style w:type="character" w:styleId="Hipercze">
    <w:name w:val="Hyperlink"/>
    <w:semiHidden/>
    <w:rPr>
      <w:color w:val="0000FF"/>
      <w:u w:val="single"/>
    </w:rPr>
  </w:style>
  <w:style w:type="character" w:customStyle="1" w:styleId="NagwekZnak">
    <w:name w:val="Nagłówek Znak"/>
    <w:link w:val="Nagwek"/>
    <w:rsid w:val="00657B31"/>
    <w:rPr>
      <w:sz w:val="24"/>
      <w:szCs w:val="24"/>
    </w:rPr>
  </w:style>
  <w:style w:type="paragraph" w:styleId="Tekstdymka">
    <w:name w:val="Balloon Text"/>
    <w:basedOn w:val="Normalny"/>
    <w:link w:val="TekstdymkaZnak"/>
    <w:uiPriority w:val="99"/>
    <w:semiHidden/>
    <w:unhideWhenUsed/>
    <w:rsid w:val="00657B31"/>
    <w:rPr>
      <w:rFonts w:ascii="Tahoma" w:hAnsi="Tahoma" w:cs="Tahoma"/>
      <w:sz w:val="16"/>
      <w:szCs w:val="16"/>
    </w:rPr>
  </w:style>
  <w:style w:type="character" w:customStyle="1" w:styleId="TekstdymkaZnak">
    <w:name w:val="Tekst dymka Znak"/>
    <w:link w:val="Tekstdymka"/>
    <w:uiPriority w:val="99"/>
    <w:semiHidden/>
    <w:rsid w:val="00657B31"/>
    <w:rPr>
      <w:rFonts w:ascii="Tahoma" w:hAnsi="Tahoma" w:cs="Tahoma"/>
      <w:sz w:val="16"/>
      <w:szCs w:val="16"/>
    </w:rPr>
  </w:style>
  <w:style w:type="character" w:styleId="Odwoanieprzypisukocowego">
    <w:name w:val="endnote reference"/>
    <w:uiPriority w:val="99"/>
    <w:semiHidden/>
    <w:unhideWhenUsed/>
    <w:rsid w:val="00C4506D"/>
    <w:rPr>
      <w:vertAlign w:val="superscript"/>
    </w:rPr>
  </w:style>
  <w:style w:type="character" w:customStyle="1" w:styleId="Nagwek6Znak">
    <w:name w:val="Nagłówek 6 Znak"/>
    <w:link w:val="Nagwek6"/>
    <w:rsid w:val="00D30590"/>
    <w:rPr>
      <w:sz w:val="24"/>
    </w:rPr>
  </w:style>
  <w:style w:type="paragraph" w:styleId="Tekstprzypisudolnego">
    <w:name w:val="footnote text"/>
    <w:aliases w:val="Podrozdział,Footnote,Podrozdzia3"/>
    <w:basedOn w:val="Normalny"/>
    <w:link w:val="TekstprzypisudolnegoZnak"/>
    <w:uiPriority w:val="99"/>
    <w:semiHidden/>
    <w:rsid w:val="004043CC"/>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4043CC"/>
  </w:style>
  <w:style w:type="character" w:styleId="Odwoanieprzypisudolnego">
    <w:name w:val="footnote reference"/>
    <w:aliases w:val="Footnote Reference Number"/>
    <w:uiPriority w:val="99"/>
    <w:semiHidden/>
    <w:rsid w:val="004043CC"/>
    <w:rPr>
      <w:vertAlign w:val="superscript"/>
    </w:rPr>
  </w:style>
  <w:style w:type="paragraph" w:styleId="Akapitzlist">
    <w:name w:val="List Paragraph"/>
    <w:basedOn w:val="Normalny"/>
    <w:uiPriority w:val="34"/>
    <w:qFormat/>
    <w:rsid w:val="004043CC"/>
    <w:pPr>
      <w:ind w:left="720"/>
      <w:contextualSpacing/>
    </w:pPr>
    <w:rPr>
      <w:sz w:val="20"/>
      <w:szCs w:val="20"/>
    </w:rPr>
  </w:style>
  <w:style w:type="character" w:customStyle="1" w:styleId="Nagwek2Znak">
    <w:name w:val="Nagłówek 2 Znak"/>
    <w:link w:val="Nagwek2"/>
    <w:uiPriority w:val="9"/>
    <w:semiHidden/>
    <w:rsid w:val="00DC6296"/>
    <w:rPr>
      <w:rFonts w:ascii="Cambria" w:eastAsia="Times New Roman" w:hAnsi="Cambria" w:cs="Times New Roman"/>
      <w:b/>
      <w:bCs/>
      <w:i/>
      <w:iCs/>
      <w:sz w:val="28"/>
      <w:szCs w:val="28"/>
    </w:rPr>
  </w:style>
  <w:style w:type="character" w:styleId="Odwoaniedokomentarza">
    <w:name w:val="annotation reference"/>
    <w:uiPriority w:val="99"/>
    <w:semiHidden/>
    <w:unhideWhenUsed/>
    <w:rsid w:val="00DC6296"/>
    <w:rPr>
      <w:sz w:val="16"/>
      <w:szCs w:val="16"/>
    </w:rPr>
  </w:style>
  <w:style w:type="paragraph" w:styleId="Tekstkomentarza">
    <w:name w:val="annotation text"/>
    <w:basedOn w:val="Normalny"/>
    <w:link w:val="TekstkomentarzaZnak1"/>
    <w:uiPriority w:val="99"/>
    <w:semiHidden/>
    <w:unhideWhenUsed/>
    <w:rsid w:val="00DC6296"/>
    <w:pPr>
      <w:suppressAutoHyphens/>
    </w:pPr>
    <w:rPr>
      <w:sz w:val="20"/>
      <w:szCs w:val="20"/>
      <w:lang w:eastAsia="zh-CN"/>
    </w:rPr>
  </w:style>
  <w:style w:type="character" w:customStyle="1" w:styleId="TekstkomentarzaZnak">
    <w:name w:val="Tekst komentarza Znak"/>
    <w:basedOn w:val="Domylnaczcionkaakapitu"/>
    <w:uiPriority w:val="99"/>
    <w:semiHidden/>
    <w:rsid w:val="00DC6296"/>
  </w:style>
  <w:style w:type="character" w:customStyle="1" w:styleId="TekstkomentarzaZnak1">
    <w:name w:val="Tekst komentarza Znak1"/>
    <w:link w:val="Tekstkomentarza"/>
    <w:uiPriority w:val="99"/>
    <w:semiHidden/>
    <w:rsid w:val="00DC6296"/>
    <w:rPr>
      <w:lang w:eastAsia="zh-CN"/>
    </w:rPr>
  </w:style>
  <w:style w:type="paragraph" w:styleId="Tematkomentarza">
    <w:name w:val="annotation subject"/>
    <w:basedOn w:val="Tekstkomentarza"/>
    <w:next w:val="Tekstkomentarza"/>
    <w:link w:val="TematkomentarzaZnak"/>
    <w:uiPriority w:val="99"/>
    <w:semiHidden/>
    <w:unhideWhenUsed/>
    <w:rsid w:val="00896296"/>
    <w:pPr>
      <w:suppressAutoHyphens w:val="0"/>
    </w:pPr>
    <w:rPr>
      <w:b/>
      <w:bCs/>
      <w:lang w:eastAsia="pl-PL"/>
    </w:rPr>
  </w:style>
  <w:style w:type="character" w:customStyle="1" w:styleId="TematkomentarzaZnak">
    <w:name w:val="Temat komentarza Znak"/>
    <w:link w:val="Tematkomentarza"/>
    <w:uiPriority w:val="99"/>
    <w:semiHidden/>
    <w:rsid w:val="00896296"/>
    <w:rPr>
      <w:b/>
      <w:bCs/>
      <w:lang w:eastAsia="zh-CN"/>
    </w:rPr>
  </w:style>
  <w:style w:type="table" w:styleId="Tabela-Siatka">
    <w:name w:val="Table Grid"/>
    <w:basedOn w:val="Standardowy"/>
    <w:uiPriority w:val="59"/>
    <w:rsid w:val="00CD3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82B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3092">
      <w:bodyDiv w:val="1"/>
      <w:marLeft w:val="0"/>
      <w:marRight w:val="0"/>
      <w:marTop w:val="0"/>
      <w:marBottom w:val="0"/>
      <w:divBdr>
        <w:top w:val="none" w:sz="0" w:space="0" w:color="auto"/>
        <w:left w:val="none" w:sz="0" w:space="0" w:color="auto"/>
        <w:bottom w:val="none" w:sz="0" w:space="0" w:color="auto"/>
        <w:right w:val="none" w:sz="0" w:space="0" w:color="auto"/>
      </w:divBdr>
    </w:div>
    <w:div w:id="1377120206">
      <w:bodyDiv w:val="1"/>
      <w:marLeft w:val="0"/>
      <w:marRight w:val="0"/>
      <w:marTop w:val="0"/>
      <w:marBottom w:val="0"/>
      <w:divBdr>
        <w:top w:val="none" w:sz="0" w:space="0" w:color="auto"/>
        <w:left w:val="none" w:sz="0" w:space="0" w:color="auto"/>
        <w:bottom w:val="none" w:sz="0" w:space="0" w:color="auto"/>
        <w:right w:val="none" w:sz="0" w:space="0" w:color="auto"/>
      </w:divBdr>
    </w:div>
    <w:div w:id="1605065580">
      <w:bodyDiv w:val="1"/>
      <w:marLeft w:val="0"/>
      <w:marRight w:val="0"/>
      <w:marTop w:val="0"/>
      <w:marBottom w:val="0"/>
      <w:divBdr>
        <w:top w:val="none" w:sz="0" w:space="0" w:color="auto"/>
        <w:left w:val="none" w:sz="0" w:space="0" w:color="auto"/>
        <w:bottom w:val="none" w:sz="0" w:space="0" w:color="auto"/>
        <w:right w:val="none" w:sz="0" w:space="0" w:color="auto"/>
      </w:divBdr>
    </w:div>
    <w:div w:id="1913420598">
      <w:bodyDiv w:val="1"/>
      <w:marLeft w:val="0"/>
      <w:marRight w:val="0"/>
      <w:marTop w:val="0"/>
      <w:marBottom w:val="0"/>
      <w:divBdr>
        <w:top w:val="none" w:sz="0" w:space="0" w:color="auto"/>
        <w:left w:val="none" w:sz="0" w:space="0" w:color="auto"/>
        <w:bottom w:val="none" w:sz="0" w:space="0" w:color="auto"/>
        <w:right w:val="none" w:sz="0" w:space="0" w:color="auto"/>
      </w:divBdr>
    </w:div>
    <w:div w:id="21279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45A39-1526-4D06-8B19-FC7E34FF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5714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DPR-II-4/0725/67/07</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DPR-II-4/0725/67/07</dc:title>
  <dc:subject/>
  <dc:creator>LAPTOP</dc:creator>
  <cp:keywords/>
  <cp:lastModifiedBy>Grzegorz Holyszewski</cp:lastModifiedBy>
  <cp:revision>3</cp:revision>
  <cp:lastPrinted>2017-02-22T12:01:00Z</cp:lastPrinted>
  <dcterms:created xsi:type="dcterms:W3CDTF">2019-09-20T07:12:00Z</dcterms:created>
  <dcterms:modified xsi:type="dcterms:W3CDTF">2022-06-27T12:11:00Z</dcterms:modified>
</cp:coreProperties>
</file>