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ABE7" w14:textId="77777777" w:rsidR="006934DC" w:rsidRDefault="006934DC" w:rsidP="006934DC">
      <w:pPr>
        <w:rPr>
          <w:rFonts w:asciiTheme="majorHAnsi" w:hAnsiTheme="majorHAnsi" w:cstheme="majorHAnsi"/>
          <w:b/>
          <w:bCs/>
        </w:rPr>
      </w:pPr>
      <w:r w:rsidRPr="004F5076">
        <w:rPr>
          <w:rFonts w:asciiTheme="majorHAnsi" w:hAnsiTheme="majorHAnsi" w:cstheme="majorHAnsi"/>
          <w:b/>
          <w:bCs/>
        </w:rPr>
        <w:t xml:space="preserve">Załącznik nr </w:t>
      </w:r>
      <w:r>
        <w:rPr>
          <w:rFonts w:asciiTheme="majorHAnsi" w:hAnsiTheme="majorHAnsi" w:cstheme="majorHAnsi"/>
          <w:b/>
          <w:bCs/>
        </w:rPr>
        <w:t>2</w:t>
      </w:r>
      <w:r w:rsidRPr="004F507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   Specyfikacja Przedmiotu Zamówienia </w:t>
      </w:r>
    </w:p>
    <w:p w14:paraId="5807712E" w14:textId="7550C3FD" w:rsidR="006934DC" w:rsidRDefault="006934DC" w:rsidP="006934DC">
      <w:pPr>
        <w:rPr>
          <w:rFonts w:asciiTheme="majorHAnsi" w:eastAsia="Times New Roman" w:hAnsiTheme="majorHAnsi" w:cstheme="majorHAnsi"/>
          <w:b/>
          <w:lang w:eastAsia="pl-PL"/>
        </w:rPr>
      </w:pPr>
      <w:r w:rsidRPr="004F5076">
        <w:rPr>
          <w:rFonts w:asciiTheme="majorHAnsi" w:hAnsiTheme="majorHAnsi" w:cstheme="majorHAnsi"/>
          <w:b/>
          <w:bCs/>
        </w:rPr>
        <w:t xml:space="preserve">do </w:t>
      </w:r>
      <w:r w:rsidR="00A5521A">
        <w:rPr>
          <w:rFonts w:asciiTheme="majorHAnsi" w:hAnsiTheme="majorHAnsi" w:cstheme="majorHAnsi"/>
          <w:b/>
          <w:bCs/>
        </w:rPr>
        <w:t>Z</w:t>
      </w:r>
      <w:r w:rsidRPr="004F5076">
        <w:rPr>
          <w:rFonts w:asciiTheme="majorHAnsi" w:hAnsiTheme="majorHAnsi" w:cstheme="majorHAnsi"/>
          <w:b/>
          <w:bCs/>
        </w:rPr>
        <w:t xml:space="preserve">apytania </w:t>
      </w:r>
      <w:r w:rsidRPr="009219CE">
        <w:rPr>
          <w:rFonts w:asciiTheme="majorHAnsi" w:eastAsia="Times New Roman" w:hAnsiTheme="majorHAnsi" w:cstheme="majorHAnsi"/>
          <w:b/>
          <w:lang w:eastAsia="pl-PL"/>
        </w:rPr>
        <w:t xml:space="preserve">ofertowego nr </w:t>
      </w:r>
      <w:r w:rsidR="00A5521A" w:rsidRPr="00A5521A">
        <w:rPr>
          <w:rFonts w:asciiTheme="majorHAnsi" w:eastAsia="Times New Roman" w:hAnsiTheme="majorHAnsi" w:cstheme="majorHAnsi"/>
          <w:b/>
          <w:lang w:eastAsia="pl-PL"/>
        </w:rPr>
        <w:t>1</w:t>
      </w:r>
      <w:r w:rsidR="009B7A26">
        <w:rPr>
          <w:rFonts w:asciiTheme="majorHAnsi" w:eastAsia="Times New Roman" w:hAnsiTheme="majorHAnsi" w:cstheme="majorHAnsi"/>
          <w:b/>
          <w:lang w:eastAsia="pl-PL"/>
        </w:rPr>
        <w:t>A</w:t>
      </w:r>
      <w:r w:rsidR="00A5521A" w:rsidRPr="00A5521A">
        <w:rPr>
          <w:rFonts w:asciiTheme="majorHAnsi" w:eastAsia="Times New Roman" w:hAnsiTheme="majorHAnsi" w:cstheme="majorHAnsi"/>
          <w:b/>
          <w:lang w:eastAsia="pl-PL"/>
        </w:rPr>
        <w:t>/ Z 2</w:t>
      </w:r>
      <w:r w:rsidR="007146B0">
        <w:rPr>
          <w:rFonts w:asciiTheme="majorHAnsi" w:eastAsia="Times New Roman" w:hAnsiTheme="majorHAnsi" w:cstheme="majorHAnsi"/>
          <w:b/>
          <w:lang w:eastAsia="pl-PL"/>
        </w:rPr>
        <w:t>,</w:t>
      </w:r>
      <w:r w:rsidR="00AC1F07">
        <w:rPr>
          <w:rFonts w:asciiTheme="majorHAnsi" w:eastAsia="Times New Roman" w:hAnsiTheme="majorHAnsi" w:cstheme="majorHAnsi"/>
          <w:b/>
          <w:lang w:eastAsia="pl-PL"/>
        </w:rPr>
        <w:t>1</w:t>
      </w:r>
      <w:r w:rsidR="003A2A6E">
        <w:rPr>
          <w:rFonts w:asciiTheme="majorHAnsi" w:eastAsia="Times New Roman" w:hAnsiTheme="majorHAnsi" w:cstheme="majorHAnsi"/>
          <w:b/>
          <w:lang w:eastAsia="pl-PL"/>
        </w:rPr>
        <w:t>1</w:t>
      </w:r>
      <w:r w:rsidR="00A5521A" w:rsidRPr="00A5521A">
        <w:rPr>
          <w:rFonts w:asciiTheme="majorHAnsi" w:eastAsia="Times New Roman" w:hAnsiTheme="majorHAnsi" w:cstheme="majorHAnsi"/>
          <w:b/>
          <w:lang w:eastAsia="pl-PL"/>
        </w:rPr>
        <w:t>/POIR.01.01.01-00-0141/21-00</w:t>
      </w:r>
    </w:p>
    <w:p w14:paraId="4B172E46" w14:textId="087408BC" w:rsidR="006934DC" w:rsidRDefault="006934DC" w:rsidP="006934DC">
      <w:pPr>
        <w:rPr>
          <w:rFonts w:asciiTheme="majorHAnsi" w:eastAsia="Times New Roman" w:hAnsiTheme="majorHAnsi" w:cstheme="majorHAnsi"/>
          <w:b/>
          <w:lang w:eastAsia="pl-PL"/>
        </w:rPr>
      </w:pPr>
    </w:p>
    <w:p w14:paraId="667FBB55" w14:textId="77777777" w:rsidR="006934DC" w:rsidRDefault="006934DC" w:rsidP="006934DC">
      <w:pPr>
        <w:rPr>
          <w:rFonts w:asciiTheme="majorHAnsi" w:eastAsia="Times New Roman" w:hAnsiTheme="majorHAnsi" w:cstheme="majorHAnsi"/>
          <w:b/>
          <w:lang w:eastAsia="pl-PL"/>
        </w:rPr>
      </w:pPr>
    </w:p>
    <w:p w14:paraId="7AB4C624" w14:textId="0FB6EB7D" w:rsidR="006934DC" w:rsidRPr="003B6768" w:rsidRDefault="006934DC" w:rsidP="006934DC">
      <w:pPr>
        <w:ind w:left="2124" w:firstLine="708"/>
        <w:rPr>
          <w:rFonts w:asciiTheme="majorHAnsi" w:hAnsiTheme="majorHAnsi" w:cstheme="majorHAnsi"/>
        </w:rPr>
      </w:pPr>
      <w:r w:rsidRPr="003B6768">
        <w:rPr>
          <w:rFonts w:asciiTheme="majorHAnsi" w:hAnsiTheme="majorHAnsi" w:cstheme="majorHAnsi"/>
          <w:b/>
          <w:bCs/>
        </w:rPr>
        <w:t xml:space="preserve">Data sporządzenia załącznika: </w:t>
      </w:r>
      <w:r w:rsidRPr="003B6768">
        <w:rPr>
          <w:rFonts w:asciiTheme="majorHAnsi" w:hAnsiTheme="majorHAnsi" w:cstheme="majorHAnsi"/>
          <w:b/>
          <w:bCs/>
        </w:rPr>
        <w:tab/>
      </w:r>
      <w:r w:rsidRPr="003B6768">
        <w:rPr>
          <w:rFonts w:asciiTheme="majorHAnsi" w:hAnsiTheme="majorHAnsi" w:cstheme="majorHAnsi"/>
        </w:rPr>
        <w:t>…………......……….....................................</w:t>
      </w:r>
    </w:p>
    <w:p w14:paraId="042243ED" w14:textId="77777777" w:rsidR="006934DC" w:rsidRPr="003B6768" w:rsidRDefault="006934DC" w:rsidP="006934DC">
      <w:pPr>
        <w:tabs>
          <w:tab w:val="left" w:pos="6480"/>
        </w:tabs>
        <w:spacing w:line="360" w:lineRule="auto"/>
        <w:jc w:val="right"/>
        <w:rPr>
          <w:rFonts w:asciiTheme="majorHAnsi" w:hAnsiTheme="majorHAnsi" w:cstheme="majorHAnsi"/>
        </w:rPr>
      </w:pPr>
      <w:r w:rsidRPr="003B6768">
        <w:rPr>
          <w:rFonts w:asciiTheme="majorHAnsi" w:hAnsiTheme="majorHAnsi" w:cstheme="majorHAnsi"/>
        </w:rPr>
        <w:tab/>
        <w:t xml:space="preserve">     ( miejscowość , data )</w:t>
      </w:r>
    </w:p>
    <w:p w14:paraId="31947D7E" w14:textId="77777777" w:rsidR="006934DC" w:rsidRPr="003B6768" w:rsidRDefault="006934DC" w:rsidP="006934DC">
      <w:pPr>
        <w:tabs>
          <w:tab w:val="left" w:pos="6480"/>
        </w:tabs>
        <w:spacing w:line="360" w:lineRule="auto"/>
        <w:rPr>
          <w:rFonts w:asciiTheme="majorHAnsi" w:hAnsiTheme="majorHAnsi" w:cstheme="majorHAnsi"/>
        </w:rPr>
      </w:pPr>
      <w:r w:rsidRPr="003B6768">
        <w:rPr>
          <w:rFonts w:asciiTheme="majorHAnsi" w:hAnsiTheme="majorHAnsi" w:cstheme="majorHAnsi"/>
          <w:b/>
          <w:u w:val="single"/>
        </w:rPr>
        <w:t>OFERENT:</w:t>
      </w:r>
      <w:r w:rsidRPr="003B6768">
        <w:rPr>
          <w:rFonts w:asciiTheme="majorHAnsi" w:hAnsiTheme="majorHAnsi" w:cstheme="majorHAnsi"/>
        </w:rPr>
        <w:tab/>
      </w:r>
    </w:p>
    <w:p w14:paraId="289F0C90" w14:textId="77777777" w:rsidR="006934DC" w:rsidRPr="003B6768" w:rsidRDefault="006934DC" w:rsidP="006934DC">
      <w:pPr>
        <w:spacing w:line="360" w:lineRule="auto"/>
        <w:rPr>
          <w:rFonts w:asciiTheme="majorHAnsi" w:hAnsiTheme="majorHAnsi" w:cstheme="majorHAnsi"/>
        </w:rPr>
      </w:pPr>
      <w:r w:rsidRPr="003B6768">
        <w:rPr>
          <w:rFonts w:asciiTheme="majorHAnsi" w:hAnsiTheme="majorHAnsi" w:cstheme="majorHAnsi"/>
          <w:b/>
        </w:rPr>
        <w:t>Nazwa Oferenta:</w:t>
      </w:r>
    </w:p>
    <w:p w14:paraId="78B1B638" w14:textId="77777777" w:rsidR="006934DC" w:rsidRPr="003B6768" w:rsidRDefault="006934DC" w:rsidP="006934DC">
      <w:pPr>
        <w:spacing w:line="360" w:lineRule="auto"/>
        <w:rPr>
          <w:rFonts w:asciiTheme="majorHAnsi" w:hAnsiTheme="majorHAnsi" w:cstheme="majorHAnsi"/>
          <w:bCs/>
        </w:rPr>
      </w:pPr>
      <w:r w:rsidRPr="003B6768">
        <w:rPr>
          <w:rFonts w:asciiTheme="majorHAnsi" w:hAnsiTheme="majorHAnsi" w:cstheme="majorHAnsi"/>
          <w:bCs/>
        </w:rPr>
        <w:t>………………………………………………….………………………………………………….</w:t>
      </w:r>
    </w:p>
    <w:p w14:paraId="54A86E3D" w14:textId="77777777" w:rsidR="006934DC" w:rsidRPr="003B6768" w:rsidRDefault="006934DC" w:rsidP="006934DC">
      <w:pPr>
        <w:spacing w:line="360" w:lineRule="auto"/>
        <w:rPr>
          <w:rFonts w:asciiTheme="majorHAnsi" w:hAnsiTheme="majorHAnsi" w:cstheme="majorHAnsi"/>
          <w:bCs/>
        </w:rPr>
      </w:pPr>
      <w:r w:rsidRPr="003B6768">
        <w:rPr>
          <w:rFonts w:asciiTheme="majorHAnsi" w:hAnsiTheme="majorHAnsi" w:cstheme="majorHAnsi"/>
          <w:bCs/>
        </w:rPr>
        <w:t>NIP: …………………………………………..</w:t>
      </w:r>
    </w:p>
    <w:p w14:paraId="5C9A0994" w14:textId="77777777" w:rsidR="006934DC" w:rsidRPr="003B6768" w:rsidRDefault="006934DC" w:rsidP="006934DC">
      <w:pPr>
        <w:spacing w:line="360" w:lineRule="auto"/>
        <w:rPr>
          <w:rFonts w:asciiTheme="majorHAnsi" w:hAnsiTheme="majorHAnsi" w:cstheme="majorHAnsi"/>
        </w:rPr>
      </w:pPr>
      <w:r w:rsidRPr="003B6768">
        <w:rPr>
          <w:rFonts w:asciiTheme="majorHAnsi" w:hAnsiTheme="majorHAnsi" w:cstheme="majorHAnsi"/>
          <w:b/>
        </w:rPr>
        <w:t>Adres Oferenta:</w:t>
      </w:r>
    </w:p>
    <w:p w14:paraId="1C6E506E" w14:textId="77777777" w:rsidR="006934DC" w:rsidRPr="003B6768" w:rsidRDefault="006934DC" w:rsidP="006934DC">
      <w:pPr>
        <w:spacing w:line="360" w:lineRule="auto"/>
        <w:rPr>
          <w:rFonts w:asciiTheme="majorHAnsi" w:hAnsiTheme="majorHAnsi" w:cstheme="majorHAnsi"/>
          <w:bCs/>
        </w:rPr>
      </w:pPr>
      <w:r w:rsidRPr="003B6768">
        <w:rPr>
          <w:rFonts w:asciiTheme="majorHAnsi" w:hAnsiTheme="majorHAnsi" w:cstheme="majorHAnsi"/>
          <w:bCs/>
        </w:rPr>
        <w:t>………………………………………………….………………………………………………….</w:t>
      </w:r>
    </w:p>
    <w:p w14:paraId="2D1487C6" w14:textId="1C47F6CA" w:rsidR="006934DC" w:rsidRPr="003B6768" w:rsidRDefault="006934DC" w:rsidP="003B6768">
      <w:pPr>
        <w:spacing w:line="360" w:lineRule="auto"/>
        <w:rPr>
          <w:rFonts w:asciiTheme="majorHAnsi" w:hAnsiTheme="majorHAnsi" w:cstheme="majorHAnsi"/>
          <w:bCs/>
        </w:rPr>
      </w:pPr>
      <w:r w:rsidRPr="003B6768">
        <w:rPr>
          <w:rFonts w:asciiTheme="majorHAnsi" w:hAnsiTheme="majorHAnsi" w:cstheme="majorHAnsi"/>
          <w:bCs/>
        </w:rPr>
        <w:t xml:space="preserve">Tel. ……………………………………………   </w:t>
      </w:r>
      <w:r w:rsidRPr="003B6768">
        <w:rPr>
          <w:rFonts w:asciiTheme="majorHAnsi" w:eastAsia="Times New Roman" w:hAnsiTheme="majorHAnsi" w:cstheme="majorHAnsi"/>
          <w:bCs/>
          <w:lang w:eastAsia="pl-PL"/>
        </w:rPr>
        <w:t>e-mail : ……………………………………..</w:t>
      </w:r>
    </w:p>
    <w:p w14:paraId="07A97C04" w14:textId="77777777" w:rsidR="006934DC" w:rsidRDefault="006934DC" w:rsidP="006934DC">
      <w:pPr>
        <w:ind w:left="2124" w:firstLine="708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</w:t>
      </w:r>
    </w:p>
    <w:p w14:paraId="0C076B11" w14:textId="77777777" w:rsidR="006934DC" w:rsidRDefault="006934DC" w:rsidP="006934DC">
      <w:pPr>
        <w:spacing w:line="360" w:lineRule="auto"/>
        <w:rPr>
          <w:rFonts w:asciiTheme="majorHAnsi" w:hAnsiTheme="majorHAnsi" w:cstheme="majorHAnsi"/>
          <w:b/>
        </w:rPr>
      </w:pPr>
      <w:r w:rsidRPr="009737DD">
        <w:rPr>
          <w:rFonts w:asciiTheme="majorHAnsi" w:hAnsiTheme="majorHAnsi" w:cstheme="majorHAnsi"/>
          <w:bCs/>
        </w:rPr>
        <w:tab/>
      </w:r>
      <w:r w:rsidRPr="009737DD">
        <w:rPr>
          <w:rFonts w:asciiTheme="majorHAnsi" w:hAnsiTheme="majorHAnsi" w:cstheme="majorHAnsi"/>
          <w:bCs/>
        </w:rPr>
        <w:tab/>
      </w:r>
      <w:r w:rsidRPr="004F5076">
        <w:rPr>
          <w:rFonts w:asciiTheme="majorHAnsi" w:hAnsiTheme="majorHAnsi" w:cstheme="majorHAnsi"/>
          <w:b/>
        </w:rPr>
        <w:tab/>
      </w:r>
    </w:p>
    <w:p w14:paraId="13A314D7" w14:textId="77777777" w:rsidR="006934DC" w:rsidRPr="004F5076" w:rsidRDefault="006934DC" w:rsidP="006934DC">
      <w:pPr>
        <w:spacing w:line="360" w:lineRule="auto"/>
        <w:ind w:left="3540" w:firstLine="708"/>
        <w:rPr>
          <w:rFonts w:asciiTheme="majorHAnsi" w:hAnsiTheme="majorHAnsi" w:cstheme="majorHAnsi"/>
        </w:rPr>
      </w:pPr>
      <w:r w:rsidRPr="004F5076">
        <w:rPr>
          <w:rFonts w:asciiTheme="majorHAnsi" w:hAnsiTheme="majorHAnsi" w:cstheme="majorHAnsi"/>
          <w:b/>
          <w:u w:val="single"/>
        </w:rPr>
        <w:t>ZAMAWIAJĄCY:</w:t>
      </w:r>
    </w:p>
    <w:p w14:paraId="72632F47" w14:textId="77777777" w:rsidR="006934DC" w:rsidRPr="004F5076" w:rsidRDefault="006934DC" w:rsidP="006934DC">
      <w:pPr>
        <w:spacing w:line="360" w:lineRule="auto"/>
        <w:rPr>
          <w:rFonts w:asciiTheme="majorHAnsi" w:hAnsiTheme="majorHAnsi" w:cstheme="majorHAnsi"/>
        </w:rPr>
      </w:pPr>
      <w:bookmarkStart w:id="0" w:name="_Hlk25016415"/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>Giełda Papierów Wartościowych w Warszawie SA</w:t>
      </w:r>
    </w:p>
    <w:p w14:paraId="6219B951" w14:textId="77777777" w:rsidR="006934DC" w:rsidRPr="00027936" w:rsidRDefault="006934DC" w:rsidP="006934DC">
      <w:pPr>
        <w:spacing w:line="36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 w:rsidRPr="00027936">
        <w:rPr>
          <w:rFonts w:asciiTheme="majorHAnsi" w:hAnsiTheme="majorHAnsi" w:cstheme="majorHAnsi"/>
          <w:b/>
        </w:rPr>
        <w:tab/>
      </w:r>
      <w:r w:rsidRPr="00027936">
        <w:rPr>
          <w:rFonts w:asciiTheme="majorHAnsi" w:hAnsiTheme="majorHAnsi" w:cstheme="majorHAnsi"/>
          <w:b/>
          <w:bCs/>
        </w:rPr>
        <w:t>ul. Książęca 4  00-498 Warszawa</w:t>
      </w:r>
    </w:p>
    <w:bookmarkEnd w:id="0"/>
    <w:p w14:paraId="0FE74274" w14:textId="77777777" w:rsidR="006934DC" w:rsidRPr="004F5076" w:rsidRDefault="006934DC" w:rsidP="006934DC">
      <w:pPr>
        <w:rPr>
          <w:rFonts w:asciiTheme="majorHAnsi" w:hAnsiTheme="majorHAnsi" w:cstheme="majorHAnsi"/>
          <w:b/>
        </w:rPr>
      </w:pPr>
    </w:p>
    <w:p w14:paraId="35ED1071" w14:textId="77777777" w:rsidR="006934DC" w:rsidRDefault="006934DC" w:rsidP="006934DC">
      <w:pPr>
        <w:pStyle w:val="Nagwek2"/>
        <w:jc w:val="center"/>
        <w:rPr>
          <w:rFonts w:cstheme="majorHAnsi"/>
          <w:sz w:val="22"/>
          <w:szCs w:val="22"/>
          <w:u w:val="single"/>
        </w:rPr>
      </w:pPr>
      <w:r w:rsidRPr="00F23CF6">
        <w:rPr>
          <w:rFonts w:cstheme="majorHAnsi"/>
          <w:sz w:val="22"/>
          <w:szCs w:val="22"/>
          <w:u w:val="single"/>
        </w:rPr>
        <w:t>SPECYFIKACJA PRZEDMIOTU ZAMÓWIENIA</w:t>
      </w:r>
    </w:p>
    <w:p w14:paraId="629C90A5" w14:textId="77777777" w:rsidR="006934DC" w:rsidRPr="00CA7730" w:rsidRDefault="006934DC" w:rsidP="006934DC"/>
    <w:p w14:paraId="2B6602BA" w14:textId="4B887CED" w:rsidR="006934DC" w:rsidRPr="007146B0" w:rsidRDefault="006934DC" w:rsidP="00CB2691">
      <w:pPr>
        <w:contextualSpacing/>
        <w:jc w:val="both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7146B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Celem zamówienia jest wyłonienie </w:t>
      </w:r>
      <w:r w:rsidR="00CB2691" w:rsidRPr="003A2A6E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dostawcy </w:t>
      </w:r>
      <w:bookmarkStart w:id="1" w:name="_Hlk90542826"/>
      <w:r w:rsidR="00CB2691" w:rsidRPr="003A2A6E">
        <w:rPr>
          <w:rFonts w:cstheme="minorHAnsi"/>
          <w:color w:val="000000" w:themeColor="text1"/>
          <w:shd w:val="clear" w:color="auto" w:fill="FFFFFF"/>
        </w:rPr>
        <w:t>„</w:t>
      </w:r>
      <w:r w:rsidR="003A2A6E" w:rsidRPr="003A2A6E">
        <w:rPr>
          <w:rFonts w:cstheme="minorHAnsi"/>
          <w:color w:val="000000" w:themeColor="text1"/>
          <w:shd w:val="clear" w:color="auto" w:fill="FFFFFF"/>
        </w:rPr>
        <w:t>Licencji na system do obsługi DAI</w:t>
      </w:r>
      <w:r w:rsidR="00CB2691" w:rsidRPr="003A2A6E">
        <w:rPr>
          <w:rFonts w:asciiTheme="majorHAnsi" w:hAnsiTheme="majorHAnsi" w:cstheme="majorHAnsi"/>
          <w:color w:val="000000" w:themeColor="text1"/>
          <w:shd w:val="clear" w:color="auto" w:fill="FFFFFF"/>
        </w:rPr>
        <w:t>”</w:t>
      </w:r>
      <w:bookmarkEnd w:id="1"/>
      <w:r w:rsidR="00CB2691" w:rsidRPr="007146B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 </w:t>
      </w:r>
      <w:r w:rsidRPr="007146B0">
        <w:rPr>
          <w:rFonts w:asciiTheme="majorHAnsi" w:hAnsiTheme="majorHAnsi" w:cstheme="majorHAnsi"/>
          <w:color w:val="000000" w:themeColor="text1"/>
          <w:shd w:val="clear" w:color="auto" w:fill="FFFFFF"/>
        </w:rPr>
        <w:t xml:space="preserve">w ramach projektu </w:t>
      </w:r>
      <w:r w:rsidR="003C7616" w:rsidRPr="007146B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 xml:space="preserve">„Opracowanie innowacyjnego systemu TeO – wielomodułowej platformy aukcyjnej przeznaczonej do kompleksowej obsługi transakcji na rynku </w:t>
      </w:r>
      <w:proofErr w:type="spellStart"/>
      <w:r w:rsidR="003C7616" w:rsidRPr="007146B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mediowym</w:t>
      </w:r>
      <w:proofErr w:type="spellEnd"/>
      <w:r w:rsidR="003C7616" w:rsidRPr="007146B0">
        <w:rPr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”</w:t>
      </w:r>
      <w:r w:rsidR="003C7616" w:rsidRPr="007146B0">
        <w:rPr>
          <w:rFonts w:asciiTheme="majorHAnsi" w:hAnsiTheme="majorHAnsi" w:cstheme="majorHAnsi"/>
        </w:rPr>
        <w:t xml:space="preserve"> </w:t>
      </w:r>
      <w:r w:rsidRPr="007146B0">
        <w:rPr>
          <w:rFonts w:asciiTheme="majorHAnsi" w:hAnsiTheme="majorHAnsi" w:cstheme="majorHAnsi"/>
        </w:rPr>
        <w:t>(</w:t>
      </w:r>
      <w:r w:rsidR="003C7616" w:rsidRPr="007146B0">
        <w:rPr>
          <w:rFonts w:asciiTheme="majorHAnsi" w:hAnsiTheme="majorHAnsi" w:cstheme="majorHAnsi"/>
        </w:rPr>
        <w:t>POIR.01.01.01-00-0141/21-00</w:t>
      </w:r>
      <w:r w:rsidRPr="007146B0">
        <w:rPr>
          <w:rFonts w:asciiTheme="majorHAnsi" w:hAnsiTheme="majorHAnsi" w:cstheme="majorHAnsi"/>
        </w:rPr>
        <w:t xml:space="preserve">) w ramach Działania 1.1. Programu Operacyjnego Inteligentny Rozwój 2014-2020 współfinansowanego ze środków Europejskiego Funduszu Rozwoju Regionalnego, </w:t>
      </w:r>
      <w:r w:rsidRPr="007146B0">
        <w:rPr>
          <w:rFonts w:asciiTheme="majorHAnsi" w:hAnsiTheme="majorHAnsi" w:cstheme="majorHAnsi"/>
          <w:color w:val="000000" w:themeColor="text1"/>
          <w:shd w:val="clear" w:color="auto" w:fill="FFFFFF"/>
        </w:rPr>
        <w:t>umożliwiających prowadzenie prac badawcz</w:t>
      </w:r>
      <w:r w:rsidR="003C7616" w:rsidRPr="007146B0">
        <w:rPr>
          <w:rFonts w:asciiTheme="majorHAnsi" w:hAnsiTheme="majorHAnsi" w:cstheme="majorHAnsi"/>
          <w:color w:val="000000" w:themeColor="text1"/>
          <w:shd w:val="clear" w:color="auto" w:fill="FFFFFF"/>
        </w:rPr>
        <w:t>o- rozwojowych.</w:t>
      </w:r>
    </w:p>
    <w:p w14:paraId="03836BEC" w14:textId="77777777" w:rsidR="006934DC" w:rsidRDefault="006934DC" w:rsidP="006934DC">
      <w:pPr>
        <w:spacing w:after="120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</w:p>
    <w:p w14:paraId="63CFE1BF" w14:textId="0F8DA9B0" w:rsidR="006934DC" w:rsidRDefault="006934DC" w:rsidP="006934DC">
      <w:pPr>
        <w:spacing w:after="120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  <w:r w:rsidRPr="006D544C">
        <w:rPr>
          <w:rFonts w:cstheme="minorHAnsi"/>
          <w:color w:val="000000" w:themeColor="text1"/>
          <w:shd w:val="clear" w:color="auto" w:fill="FFFFFF"/>
        </w:rPr>
        <w:t>Dostawa</w:t>
      </w:r>
      <w:r>
        <w:rPr>
          <w:rFonts w:cstheme="minorHAnsi"/>
          <w:color w:val="000000" w:themeColor="text1"/>
          <w:shd w:val="clear" w:color="auto" w:fill="FFFFFF"/>
        </w:rPr>
        <w:t xml:space="preserve"> powinna nastąpić do</w:t>
      </w:r>
      <w:r w:rsidR="006D544C" w:rsidRPr="006D544C">
        <w:t xml:space="preserve"> </w:t>
      </w:r>
      <w:r w:rsidR="006D544C" w:rsidRPr="006D544C">
        <w:rPr>
          <w:rFonts w:cstheme="minorHAnsi"/>
          <w:color w:val="000000" w:themeColor="text1"/>
          <w:shd w:val="clear" w:color="auto" w:fill="FFFFFF"/>
        </w:rPr>
        <w:t>7 dni od dnia zawarcia umowy</w:t>
      </w:r>
      <w:r w:rsidR="006D544C">
        <w:rPr>
          <w:rFonts w:cstheme="minorHAnsi"/>
          <w:color w:val="000000" w:themeColor="text1"/>
          <w:shd w:val="clear" w:color="auto" w:fill="FFFFFF"/>
        </w:rPr>
        <w:t>.</w:t>
      </w:r>
    </w:p>
    <w:p w14:paraId="39145240" w14:textId="77777777" w:rsidR="006934DC" w:rsidRDefault="006934DC" w:rsidP="006934DC">
      <w:pPr>
        <w:spacing w:after="120"/>
        <w:contextualSpacing/>
        <w:jc w:val="both"/>
        <w:rPr>
          <w:rFonts w:cstheme="minorHAnsi"/>
          <w:color w:val="000000" w:themeColor="text1"/>
          <w:shd w:val="clear" w:color="auto" w:fill="FFFFFF"/>
        </w:rPr>
      </w:pPr>
    </w:p>
    <w:p w14:paraId="6251628B" w14:textId="77777777" w:rsidR="00F33FC8" w:rsidRDefault="00F33FC8" w:rsidP="006934DC">
      <w:pPr>
        <w:spacing w:after="120"/>
        <w:contextualSpacing/>
        <w:jc w:val="both"/>
        <w:rPr>
          <w:rFonts w:asciiTheme="majorHAnsi" w:hAnsiTheme="majorHAnsi" w:cstheme="majorHAnsi"/>
          <w:b/>
          <w:bCs/>
        </w:rPr>
      </w:pPr>
    </w:p>
    <w:p w14:paraId="5BA4305F" w14:textId="2A9D5F6E" w:rsidR="006934DC" w:rsidRPr="00CB55C6" w:rsidRDefault="006934DC" w:rsidP="006D544C">
      <w:pPr>
        <w:spacing w:after="120"/>
        <w:contextualSpacing/>
        <w:jc w:val="center"/>
        <w:rPr>
          <w:rFonts w:cstheme="minorHAnsi"/>
          <w:b/>
          <w:bCs/>
          <w:sz w:val="24"/>
          <w:szCs w:val="24"/>
        </w:rPr>
      </w:pPr>
      <w:r w:rsidRPr="00CB55C6">
        <w:rPr>
          <w:rFonts w:cstheme="minorHAnsi"/>
          <w:b/>
          <w:bCs/>
          <w:sz w:val="24"/>
          <w:szCs w:val="24"/>
        </w:rPr>
        <w:lastRenderedPageBreak/>
        <w:t xml:space="preserve">Szczegółowy opis </w:t>
      </w:r>
      <w:r w:rsidR="00CB55C6" w:rsidRPr="00CB55C6">
        <w:rPr>
          <w:rFonts w:cstheme="minorHAnsi"/>
          <w:b/>
          <w:bCs/>
          <w:sz w:val="24"/>
          <w:szCs w:val="24"/>
        </w:rPr>
        <w:t>P</w:t>
      </w:r>
      <w:r w:rsidRPr="00CB55C6">
        <w:rPr>
          <w:rFonts w:cstheme="minorHAnsi"/>
          <w:b/>
          <w:bCs/>
          <w:sz w:val="24"/>
          <w:szCs w:val="24"/>
        </w:rPr>
        <w:t>rzedmiotu zamówienia:</w:t>
      </w:r>
    </w:p>
    <w:p w14:paraId="12F66AFA" w14:textId="215AB37D" w:rsidR="0088360A" w:rsidRDefault="0088360A" w:rsidP="006D544C">
      <w:pPr>
        <w:pStyle w:val="Default"/>
        <w:rPr>
          <w:rFonts w:asciiTheme="minorHAnsi" w:hAnsiTheme="minorHAnsi" w:cstheme="minorHAnsi"/>
          <w:sz w:val="22"/>
          <w:szCs w:val="22"/>
        </w:rPr>
      </w:pPr>
      <w:bookmarkStart w:id="2" w:name="_Hlk34640193"/>
    </w:p>
    <w:p w14:paraId="2FA487DF" w14:textId="55FD3819" w:rsidR="00B01995" w:rsidRDefault="00B01995" w:rsidP="006D54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E5DF8DC" w14:textId="1FC6E9F2" w:rsidR="00B01995" w:rsidRDefault="00B01995" w:rsidP="006D544C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Słownik pojęć</w:t>
      </w:r>
      <w:r w:rsidR="003D0501">
        <w:rPr>
          <w:rFonts w:asciiTheme="minorHAnsi" w:hAnsiTheme="minorHAnsi" w:cstheme="minorHAnsi"/>
          <w:sz w:val="22"/>
          <w:szCs w:val="22"/>
        </w:rPr>
        <w:t>:</w:t>
      </w:r>
    </w:p>
    <w:p w14:paraId="1D7074F2" w14:textId="7E432953" w:rsidR="00B01995" w:rsidRDefault="00B01995" w:rsidP="006D544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46" w:type="dxa"/>
        <w:tblLook w:val="04A0" w:firstRow="1" w:lastRow="0" w:firstColumn="1" w:lastColumn="0" w:noHBand="0" w:noVBand="1"/>
      </w:tblPr>
      <w:tblGrid>
        <w:gridCol w:w="1555"/>
        <w:gridCol w:w="7791"/>
      </w:tblGrid>
      <w:tr w:rsidR="00B01995" w14:paraId="60DC1B5C" w14:textId="77777777" w:rsidTr="00B01995">
        <w:tc>
          <w:tcPr>
            <w:tcW w:w="1555" w:type="dxa"/>
          </w:tcPr>
          <w:p w14:paraId="5882D744" w14:textId="32E28514" w:rsidR="00B01995" w:rsidRDefault="00B01995" w:rsidP="006D544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System</w:t>
            </w:r>
            <w:r w:rsidR="001A1415">
              <w:rPr>
                <w:rFonts w:asciiTheme="minorHAnsi" w:hAnsiTheme="minorHAnsi" w:cstheme="minorHAnsi"/>
                <w:sz w:val="22"/>
                <w:szCs w:val="22"/>
              </w:rPr>
              <w:t xml:space="preserve"> DAI</w:t>
            </w:r>
          </w:p>
        </w:tc>
        <w:tc>
          <w:tcPr>
            <w:tcW w:w="7791" w:type="dxa"/>
          </w:tcPr>
          <w:p w14:paraId="2E8935A7" w14:textId="49A88FBB" w:rsidR="00B01995" w:rsidRDefault="00B01995" w:rsidP="003D0501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Licencja na oprogramowanie działająca w infrastrukturze </w:t>
            </w:r>
            <w:r w:rsidR="003D0501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ostawcy </w:t>
            </w:r>
            <w:r w:rsidRPr="006D544C">
              <w:rPr>
                <w:rFonts w:cstheme="minorHAnsi"/>
              </w:rPr>
              <w:t>umożliwiając</w:t>
            </w:r>
            <w:r w:rsidR="003D0501">
              <w:rPr>
                <w:rFonts w:cstheme="minorHAnsi"/>
              </w:rPr>
              <w:t>a</w:t>
            </w:r>
            <w:r w:rsidRPr="006D544C">
              <w:rPr>
                <w:rFonts w:cstheme="minorHAnsi"/>
              </w:rPr>
              <w:t xml:space="preserve"> </w:t>
            </w:r>
            <w:r w:rsidRPr="00B01995">
              <w:rPr>
                <w:rFonts w:cstheme="minorHAnsi"/>
              </w:rPr>
              <w:t xml:space="preserve"> dynamiczne wstawianiu reklam w wybranych przez Zamawiającego programach telewizji  i ich dystrybucji za pomocą systemu CDN</w:t>
            </w:r>
          </w:p>
        </w:tc>
      </w:tr>
      <w:tr w:rsidR="00B01995" w14:paraId="5C5BC296" w14:textId="77777777" w:rsidTr="00B01995">
        <w:tc>
          <w:tcPr>
            <w:tcW w:w="1555" w:type="dxa"/>
          </w:tcPr>
          <w:p w14:paraId="77129480" w14:textId="31E29864" w:rsidR="00B01995" w:rsidRDefault="00B01995" w:rsidP="006D544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DAI</w:t>
            </w:r>
          </w:p>
        </w:tc>
        <w:tc>
          <w:tcPr>
            <w:tcW w:w="7791" w:type="dxa"/>
          </w:tcPr>
          <w:p w14:paraId="1ED7EAEA" w14:textId="3DC3BAED" w:rsidR="00B01995" w:rsidRDefault="00B01995" w:rsidP="003D05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Dynamiczna podmiana reklam</w:t>
            </w:r>
          </w:p>
        </w:tc>
      </w:tr>
      <w:tr w:rsidR="00B01995" w14:paraId="13BCB17B" w14:textId="77777777" w:rsidTr="00B01995">
        <w:tc>
          <w:tcPr>
            <w:tcW w:w="1555" w:type="dxa"/>
          </w:tcPr>
          <w:p w14:paraId="4744DB72" w14:textId="26703212" w:rsidR="00B01995" w:rsidRDefault="00B01995" w:rsidP="006D544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CDN</w:t>
            </w:r>
          </w:p>
        </w:tc>
        <w:tc>
          <w:tcPr>
            <w:tcW w:w="7791" w:type="dxa"/>
          </w:tcPr>
          <w:p w14:paraId="37A36DEB" w14:textId="438E1B8D" w:rsidR="00B01995" w:rsidRDefault="00B01995" w:rsidP="003D050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System do dystrybucji treści wideo </w:t>
            </w:r>
          </w:p>
        </w:tc>
      </w:tr>
      <w:tr w:rsidR="00B01995" w14:paraId="30432253" w14:textId="77777777" w:rsidTr="00B01995">
        <w:tc>
          <w:tcPr>
            <w:tcW w:w="1555" w:type="dxa"/>
          </w:tcPr>
          <w:p w14:paraId="48F17EBF" w14:textId="31D564F4" w:rsidR="00B01995" w:rsidRDefault="00B01995" w:rsidP="006D544C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OTT</w:t>
            </w:r>
          </w:p>
        </w:tc>
        <w:tc>
          <w:tcPr>
            <w:tcW w:w="7791" w:type="dxa"/>
          </w:tcPr>
          <w:p w14:paraId="73982EAA" w14:textId="04300C7F" w:rsidR="00B01995" w:rsidRDefault="00B01995" w:rsidP="003D0501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B01995">
              <w:rPr>
                <w:rFonts w:asciiTheme="minorHAnsi" w:hAnsiTheme="minorHAnsi" w:cstheme="minorHAnsi"/>
                <w:sz w:val="22"/>
                <w:szCs w:val="22"/>
              </w:rPr>
              <w:t xml:space="preserve">sługa polegająca na dostarczaniu zawartości, usług  lub aplikacji  za pośrednictwem sieci Internet bez bezpośredniego zaangażowania dostawcy usługi dostępu do Internetu. </w:t>
            </w:r>
          </w:p>
        </w:tc>
      </w:tr>
    </w:tbl>
    <w:p w14:paraId="719544F1" w14:textId="77777777" w:rsidR="00B01995" w:rsidRDefault="00B01995" w:rsidP="006D54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B0CA94" w14:textId="77777777" w:rsidR="00B01995" w:rsidRPr="006D544C" w:rsidRDefault="00B01995" w:rsidP="006D544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F9AEF03" w14:textId="6E1B1DF0" w:rsidR="0007719D" w:rsidRPr="0007719D" w:rsidRDefault="0007719D" w:rsidP="0088360A">
      <w:pPr>
        <w:spacing w:before="60" w:after="60" w:line="276" w:lineRule="auto"/>
        <w:ind w:left="-142"/>
        <w:jc w:val="both"/>
        <w:rPr>
          <w:rFonts w:cstheme="minorHAnsi"/>
          <w:b/>
          <w:bCs/>
        </w:rPr>
      </w:pPr>
      <w:r w:rsidRPr="0007719D">
        <w:rPr>
          <w:rFonts w:cstheme="minorHAnsi"/>
          <w:b/>
          <w:bCs/>
        </w:rPr>
        <w:t>Opis Przedmiotu zamówienia:</w:t>
      </w:r>
    </w:p>
    <w:p w14:paraId="40D91E1E" w14:textId="160ED396" w:rsidR="0088360A" w:rsidRPr="006D544C" w:rsidRDefault="00510ED3" w:rsidP="0088360A">
      <w:pPr>
        <w:spacing w:before="60" w:after="60" w:line="276" w:lineRule="auto"/>
        <w:ind w:left="-142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Dostawca</w:t>
      </w:r>
      <w:r w:rsidR="0088360A" w:rsidRPr="006D544C">
        <w:rPr>
          <w:rFonts w:cstheme="minorHAnsi"/>
        </w:rPr>
        <w:t xml:space="preserve"> dostarczy licencj</w:t>
      </w:r>
      <w:r>
        <w:rPr>
          <w:rFonts w:cstheme="minorHAnsi"/>
        </w:rPr>
        <w:t>ę</w:t>
      </w:r>
      <w:r w:rsidR="0088360A" w:rsidRPr="006D544C">
        <w:rPr>
          <w:rFonts w:cstheme="minorHAnsi"/>
        </w:rPr>
        <w:t xml:space="preserve"> czasową na</w:t>
      </w:r>
      <w:r w:rsidR="00FE4A6C">
        <w:rPr>
          <w:rFonts w:cstheme="minorHAnsi"/>
        </w:rPr>
        <w:t xml:space="preserve"> okres 6 miesięcy od daty uruchomienia systemu </w:t>
      </w:r>
      <w:r w:rsidR="0088360A" w:rsidRPr="006D544C">
        <w:rPr>
          <w:rFonts w:cstheme="minorHAnsi"/>
        </w:rPr>
        <w:t xml:space="preserve"> </w:t>
      </w:r>
      <w:r w:rsidR="00B01995" w:rsidRPr="003A2A6E">
        <w:rPr>
          <w:rFonts w:cstheme="minorHAnsi"/>
          <w:color w:val="000000" w:themeColor="text1"/>
          <w:shd w:val="clear" w:color="auto" w:fill="FFFFFF"/>
        </w:rPr>
        <w:t>do obsługi DAI</w:t>
      </w:r>
      <w:r w:rsidR="0088360A" w:rsidRPr="006D544C">
        <w:rPr>
          <w:rFonts w:cstheme="minorHAnsi"/>
        </w:rPr>
        <w:t xml:space="preserve"> </w:t>
      </w:r>
      <w:r w:rsidR="00127A30">
        <w:rPr>
          <w:rFonts w:cstheme="minorHAnsi"/>
        </w:rPr>
        <w:t>(</w:t>
      </w:r>
      <w:r w:rsidR="0088360A" w:rsidRPr="006D544C">
        <w:rPr>
          <w:rFonts w:cstheme="minorHAnsi"/>
        </w:rPr>
        <w:t>zwanym dalej Systemem</w:t>
      </w:r>
      <w:r w:rsidR="001A1415">
        <w:rPr>
          <w:rFonts w:cstheme="minorHAnsi"/>
        </w:rPr>
        <w:t xml:space="preserve"> DAI</w:t>
      </w:r>
      <w:r w:rsidR="00127A30">
        <w:rPr>
          <w:rFonts w:cstheme="minorHAnsi"/>
        </w:rPr>
        <w:t>)</w:t>
      </w:r>
      <w:r w:rsidR="0088360A" w:rsidRPr="006D544C">
        <w:rPr>
          <w:rFonts w:cstheme="minorHAnsi"/>
        </w:rPr>
        <w:t xml:space="preserve"> umożliwiający </w:t>
      </w:r>
      <w:r w:rsidR="0088360A" w:rsidRPr="006D544C">
        <w:rPr>
          <w:rFonts w:cstheme="minorHAnsi"/>
          <w:color w:val="000000" w:themeColor="text1"/>
        </w:rPr>
        <w:t xml:space="preserve"> dynamiczne wstawianiu reklam w wybranych przez Zamawiającego programach telewizji  i ich dystrybucji za pomocą systemu CDN „Content </w:t>
      </w:r>
      <w:proofErr w:type="spellStart"/>
      <w:r w:rsidR="0088360A" w:rsidRPr="006D544C">
        <w:rPr>
          <w:rFonts w:cstheme="minorHAnsi"/>
          <w:color w:val="000000" w:themeColor="text1"/>
        </w:rPr>
        <w:t>delivery</w:t>
      </w:r>
      <w:proofErr w:type="spellEnd"/>
      <w:r w:rsidR="0088360A" w:rsidRPr="006D544C">
        <w:rPr>
          <w:rFonts w:cstheme="minorHAnsi"/>
          <w:color w:val="000000" w:themeColor="text1"/>
        </w:rPr>
        <w:t xml:space="preserve"> network” w sieci Internet do użytkowników końcowych będących klientami komercyjnymi zewnętrznych platform OTT zintegrowanych z Systemem dostarczonym przez </w:t>
      </w:r>
      <w:r w:rsidR="00A208AB">
        <w:rPr>
          <w:rFonts w:cstheme="minorHAnsi"/>
          <w:color w:val="000000" w:themeColor="text1"/>
        </w:rPr>
        <w:t>Dostawcę</w:t>
      </w:r>
      <w:r w:rsidR="0088360A" w:rsidRPr="006D544C">
        <w:rPr>
          <w:rFonts w:cstheme="minorHAnsi"/>
          <w:color w:val="000000" w:themeColor="text1"/>
        </w:rPr>
        <w:t>.</w:t>
      </w:r>
    </w:p>
    <w:p w14:paraId="48A647D0" w14:textId="75A7864A" w:rsidR="0088360A" w:rsidRPr="006D544C" w:rsidRDefault="0088360A" w:rsidP="0088360A">
      <w:pPr>
        <w:spacing w:before="60" w:after="60" w:line="276" w:lineRule="auto"/>
        <w:ind w:left="-142"/>
        <w:jc w:val="both"/>
        <w:rPr>
          <w:rFonts w:cstheme="minorHAnsi"/>
        </w:rPr>
      </w:pPr>
      <w:r w:rsidRPr="006D544C">
        <w:rPr>
          <w:rFonts w:cstheme="minorHAnsi"/>
          <w:color w:val="000000" w:themeColor="text1"/>
        </w:rPr>
        <w:t xml:space="preserve">W ramach usługi </w:t>
      </w:r>
      <w:r w:rsidR="00510ED3">
        <w:rPr>
          <w:rFonts w:cstheme="minorHAnsi"/>
          <w:color w:val="000000" w:themeColor="text1"/>
        </w:rPr>
        <w:t>Dostawca</w:t>
      </w:r>
      <w:r w:rsidRPr="006D544C">
        <w:rPr>
          <w:rFonts w:cstheme="minorHAnsi"/>
          <w:color w:val="000000" w:themeColor="text1"/>
        </w:rPr>
        <w:t xml:space="preserve"> dokona integracji dostarczanego System</w:t>
      </w:r>
      <w:r w:rsidR="00B01995">
        <w:rPr>
          <w:rFonts w:cstheme="minorHAnsi"/>
          <w:color w:val="000000" w:themeColor="text1"/>
        </w:rPr>
        <w:t>u</w:t>
      </w:r>
      <w:r w:rsidR="001A1415">
        <w:rPr>
          <w:rFonts w:cstheme="minorHAnsi"/>
          <w:color w:val="000000" w:themeColor="text1"/>
        </w:rPr>
        <w:t xml:space="preserve"> DAI</w:t>
      </w:r>
      <w:r w:rsidRPr="006D544C">
        <w:rPr>
          <w:rFonts w:cstheme="minorHAnsi"/>
          <w:color w:val="000000" w:themeColor="text1"/>
        </w:rPr>
        <w:t xml:space="preserve"> wraz ze wszystkimi wymaganymi funkcjonalnościami dla pięciu zewnętrznych platform OTT.</w:t>
      </w:r>
    </w:p>
    <w:p w14:paraId="2E1DCE28" w14:textId="6FD91BDB" w:rsidR="0088360A" w:rsidRDefault="0088360A" w:rsidP="0088360A">
      <w:pPr>
        <w:ind w:left="-142"/>
        <w:jc w:val="both"/>
        <w:rPr>
          <w:rFonts w:cstheme="minorHAnsi"/>
        </w:rPr>
      </w:pPr>
      <w:r w:rsidRPr="006D544C">
        <w:rPr>
          <w:rFonts w:cstheme="minorHAnsi"/>
        </w:rPr>
        <w:t xml:space="preserve">W ramach Usługi </w:t>
      </w:r>
      <w:r w:rsidR="00510ED3">
        <w:rPr>
          <w:rFonts w:cstheme="minorHAnsi"/>
        </w:rPr>
        <w:t>Dostawca</w:t>
      </w:r>
      <w:r w:rsidRPr="006D544C">
        <w:rPr>
          <w:rFonts w:cstheme="minorHAnsi"/>
        </w:rPr>
        <w:t xml:space="preserve"> dostarczy System </w:t>
      </w:r>
      <w:r w:rsidR="001A1415">
        <w:rPr>
          <w:rFonts w:cstheme="minorHAnsi"/>
        </w:rPr>
        <w:t xml:space="preserve">DAI </w:t>
      </w:r>
      <w:r w:rsidRPr="006D544C">
        <w:rPr>
          <w:rFonts w:cstheme="minorHAnsi"/>
        </w:rPr>
        <w:t>składający się z dostępu do nielimitowanej wolumenowo usługi CDN o przepustowości minimum 0,5Tbps z funkcjonalnościami pozwalającymi na dynamiczne podstawianie reklam</w:t>
      </w:r>
      <w:r w:rsidR="00FE4A6C">
        <w:rPr>
          <w:rFonts w:cstheme="minorHAnsi"/>
        </w:rPr>
        <w:t xml:space="preserve"> w ilości 1 mln impresji </w:t>
      </w:r>
      <w:r w:rsidRPr="006D544C">
        <w:rPr>
          <w:rFonts w:cstheme="minorHAnsi"/>
        </w:rPr>
        <w:t xml:space="preserve"> w strumieniach video (DAI). Funkcjonalność będzie dostępna wyłącznie dla użytkowników zewnętrznych platform OTT zintegrowanych. </w:t>
      </w:r>
    </w:p>
    <w:p w14:paraId="072EAB1C" w14:textId="283992F3" w:rsidR="00FE4A6C" w:rsidRDefault="00FE4A6C" w:rsidP="00D348CA">
      <w:pPr>
        <w:spacing w:after="200" w:line="276" w:lineRule="auto"/>
        <w:ind w:left="-142"/>
        <w:rPr>
          <w:rFonts w:cstheme="minorHAnsi"/>
        </w:rPr>
      </w:pPr>
      <w:r>
        <w:rPr>
          <w:rFonts w:cstheme="minorHAnsi"/>
        </w:rPr>
        <w:t>Kodowanie reklam będzie realizowane na infrastrukturze dostawcy. Ilość materiałów reklamowych 100 szt.</w:t>
      </w:r>
    </w:p>
    <w:p w14:paraId="487A94F8" w14:textId="770EA075" w:rsidR="0088360A" w:rsidRPr="006D544C" w:rsidRDefault="0088360A" w:rsidP="0088360A">
      <w:pPr>
        <w:spacing w:after="200" w:line="276" w:lineRule="auto"/>
        <w:ind w:left="-142"/>
        <w:jc w:val="both"/>
        <w:rPr>
          <w:rFonts w:cstheme="minorHAnsi"/>
        </w:rPr>
      </w:pPr>
      <w:r w:rsidRPr="006D544C">
        <w:rPr>
          <w:rFonts w:cstheme="minorHAnsi"/>
        </w:rPr>
        <w:t xml:space="preserve">Odtworzenie wideo dostarczanego przez </w:t>
      </w:r>
      <w:r w:rsidR="00B6737F">
        <w:rPr>
          <w:rFonts w:cstheme="minorHAnsi"/>
        </w:rPr>
        <w:t>Dostawcę</w:t>
      </w:r>
      <w:r w:rsidRPr="006D544C">
        <w:rPr>
          <w:rFonts w:cstheme="minorHAnsi"/>
        </w:rPr>
        <w:t xml:space="preserve"> na rzecz Zamawiającego ma odbywać się w</w:t>
      </w:r>
      <w:r w:rsidR="00175E17">
        <w:rPr>
          <w:rFonts w:cstheme="minorHAnsi"/>
        </w:rPr>
        <w:t> </w:t>
      </w:r>
      <w:r w:rsidRPr="006D544C">
        <w:rPr>
          <w:rFonts w:cstheme="minorHAnsi"/>
        </w:rPr>
        <w:t xml:space="preserve">oparciu o </w:t>
      </w:r>
      <w:proofErr w:type="spellStart"/>
      <w:r w:rsidRPr="006D544C">
        <w:rPr>
          <w:rFonts w:cstheme="minorHAnsi"/>
        </w:rPr>
        <w:t>url</w:t>
      </w:r>
      <w:proofErr w:type="spellEnd"/>
      <w:r w:rsidRPr="006D544C">
        <w:rPr>
          <w:rFonts w:cstheme="minorHAnsi"/>
        </w:rPr>
        <w:t xml:space="preserve"> (schemat </w:t>
      </w:r>
      <w:proofErr w:type="spellStart"/>
      <w:r w:rsidRPr="006D544C">
        <w:rPr>
          <w:rFonts w:cstheme="minorHAnsi"/>
        </w:rPr>
        <w:t>url</w:t>
      </w:r>
      <w:proofErr w:type="spellEnd"/>
      <w:r w:rsidRPr="006D544C">
        <w:rPr>
          <w:rFonts w:cstheme="minorHAnsi"/>
        </w:rPr>
        <w:t xml:space="preserve"> zostanie określony przez Zamawiającego). Każdy </w:t>
      </w:r>
      <w:proofErr w:type="spellStart"/>
      <w:r w:rsidRPr="006D544C">
        <w:rPr>
          <w:rFonts w:cstheme="minorHAnsi"/>
        </w:rPr>
        <w:t>url</w:t>
      </w:r>
      <w:proofErr w:type="spellEnd"/>
      <w:r w:rsidRPr="006D544C">
        <w:rPr>
          <w:rFonts w:cstheme="minorHAnsi"/>
        </w:rPr>
        <w:t xml:space="preserve"> będzie objęty </w:t>
      </w:r>
      <w:proofErr w:type="spellStart"/>
      <w:r w:rsidRPr="006D544C">
        <w:rPr>
          <w:rFonts w:cstheme="minorHAnsi"/>
        </w:rPr>
        <w:t>geoblokadą</w:t>
      </w:r>
      <w:proofErr w:type="spellEnd"/>
      <w:r w:rsidRPr="006D544C">
        <w:rPr>
          <w:rFonts w:cstheme="minorHAnsi"/>
        </w:rPr>
        <w:t xml:space="preserve"> ustawioną zgodnie z wymaganiami Zamawiającego. Adresy </w:t>
      </w:r>
      <w:proofErr w:type="spellStart"/>
      <w:r w:rsidRPr="006D544C">
        <w:rPr>
          <w:rFonts w:cstheme="minorHAnsi"/>
        </w:rPr>
        <w:t>url</w:t>
      </w:r>
      <w:proofErr w:type="spellEnd"/>
      <w:r w:rsidRPr="006D544C">
        <w:rPr>
          <w:rFonts w:cstheme="minorHAnsi"/>
        </w:rPr>
        <w:t xml:space="preserve"> muszą być ważne cały czas i</w:t>
      </w:r>
      <w:r w:rsidR="00127A30">
        <w:rPr>
          <w:rFonts w:cstheme="minorHAnsi"/>
        </w:rPr>
        <w:t> </w:t>
      </w:r>
      <w:r w:rsidRPr="006D544C">
        <w:rPr>
          <w:rFonts w:cstheme="minorHAnsi"/>
        </w:rPr>
        <w:t xml:space="preserve"> dostarczane w ilości odpowiadającej dostępnym jakościom możliwym do odtworzenia.</w:t>
      </w:r>
    </w:p>
    <w:p w14:paraId="21B1D007" w14:textId="0CFFF72F" w:rsidR="0088360A" w:rsidRPr="006D544C" w:rsidRDefault="0088360A" w:rsidP="0088360A">
      <w:pPr>
        <w:spacing w:after="200" w:line="276" w:lineRule="auto"/>
        <w:ind w:left="-142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 xml:space="preserve">Żądanie użytkownika o konkretną treść wideo powinno trafić do </w:t>
      </w:r>
      <w:r w:rsidR="001A1415">
        <w:rPr>
          <w:rFonts w:cstheme="minorHAnsi"/>
          <w:color w:val="000000" w:themeColor="text1"/>
        </w:rPr>
        <w:t xml:space="preserve">Systemu DAI </w:t>
      </w:r>
      <w:r w:rsidRPr="006D544C">
        <w:rPr>
          <w:rFonts w:cstheme="minorHAnsi"/>
          <w:color w:val="000000" w:themeColor="text1"/>
        </w:rPr>
        <w:t xml:space="preserve">. Po otrzymaniu żądania system </w:t>
      </w:r>
      <w:r w:rsidR="001A1415">
        <w:rPr>
          <w:rFonts w:cstheme="minorHAnsi"/>
          <w:color w:val="000000" w:themeColor="text1"/>
        </w:rPr>
        <w:t>DAI</w:t>
      </w:r>
      <w:r w:rsidRPr="006D544C">
        <w:rPr>
          <w:rFonts w:cstheme="minorHAnsi"/>
          <w:color w:val="000000" w:themeColor="text1"/>
        </w:rPr>
        <w:t xml:space="preserve"> ma wygenerować unikatowy Identyfikator użytkownika.</w:t>
      </w:r>
      <w:r w:rsidR="001A1415">
        <w:rPr>
          <w:rFonts w:cstheme="minorHAnsi"/>
          <w:color w:val="000000" w:themeColor="text1"/>
        </w:rPr>
        <w:t xml:space="preserve"> System DAI</w:t>
      </w:r>
      <w:r w:rsidRPr="006D544C">
        <w:rPr>
          <w:rFonts w:cstheme="minorHAnsi"/>
          <w:color w:val="000000" w:themeColor="text1"/>
        </w:rPr>
        <w:t xml:space="preserve"> w swojej wewnętrznej bazie będzie przechowywał listę wszystkich identyfikatorów. System </w:t>
      </w:r>
      <w:r w:rsidR="001A1415">
        <w:rPr>
          <w:rFonts w:cstheme="minorHAnsi"/>
          <w:color w:val="000000" w:themeColor="text1"/>
        </w:rPr>
        <w:t>DAI</w:t>
      </w:r>
      <w:r w:rsidRPr="006D544C">
        <w:rPr>
          <w:rFonts w:cstheme="minorHAnsi"/>
          <w:color w:val="000000" w:themeColor="text1"/>
        </w:rPr>
        <w:t xml:space="preserve"> ma zwrócić do użytkownika za pomocą przekierowania 302 informacje o adresie </w:t>
      </w:r>
      <w:proofErr w:type="spellStart"/>
      <w:r w:rsidRPr="006D544C">
        <w:rPr>
          <w:rFonts w:cstheme="minorHAnsi"/>
          <w:color w:val="000000" w:themeColor="text1"/>
        </w:rPr>
        <w:t>url</w:t>
      </w:r>
      <w:proofErr w:type="spellEnd"/>
      <w:r w:rsidRPr="006D544C">
        <w:rPr>
          <w:rFonts w:cstheme="minorHAnsi"/>
          <w:color w:val="000000" w:themeColor="text1"/>
        </w:rPr>
        <w:t xml:space="preserve"> kierującego do konkretnego węzła CDN. Do żądania w treści </w:t>
      </w:r>
      <w:proofErr w:type="spellStart"/>
      <w:r w:rsidRPr="006D544C">
        <w:rPr>
          <w:rFonts w:cstheme="minorHAnsi"/>
          <w:color w:val="000000" w:themeColor="text1"/>
        </w:rPr>
        <w:t>url</w:t>
      </w:r>
      <w:proofErr w:type="spellEnd"/>
      <w:r w:rsidRPr="006D544C">
        <w:rPr>
          <w:rFonts w:cstheme="minorHAnsi"/>
          <w:color w:val="000000" w:themeColor="text1"/>
        </w:rPr>
        <w:t xml:space="preserve"> przekazywany jest również identyfikator użytkownika. System </w:t>
      </w:r>
      <w:r w:rsidR="001A1415">
        <w:rPr>
          <w:rFonts w:cstheme="minorHAnsi"/>
          <w:color w:val="000000" w:themeColor="text1"/>
        </w:rPr>
        <w:t>DAI</w:t>
      </w:r>
      <w:r w:rsidRPr="006D544C">
        <w:rPr>
          <w:rFonts w:cstheme="minorHAnsi"/>
          <w:color w:val="000000" w:themeColor="text1"/>
        </w:rPr>
        <w:t xml:space="preserve"> kieruje użytkownika do serwera brzegowego z zachowaniem w treści </w:t>
      </w:r>
      <w:proofErr w:type="spellStart"/>
      <w:r w:rsidRPr="006D544C">
        <w:rPr>
          <w:rFonts w:cstheme="minorHAnsi"/>
          <w:color w:val="000000" w:themeColor="text1"/>
        </w:rPr>
        <w:t>url</w:t>
      </w:r>
      <w:proofErr w:type="spellEnd"/>
      <w:r w:rsidRPr="006D544C">
        <w:rPr>
          <w:rFonts w:cstheme="minorHAnsi"/>
          <w:color w:val="000000" w:themeColor="text1"/>
        </w:rPr>
        <w:t xml:space="preserve"> identyfikatora użytkownika. Zapytanie od serwera brzegowego trafia do systemu Manifest Manipulator (</w:t>
      </w:r>
      <w:r w:rsidRPr="006D544C">
        <w:rPr>
          <w:rFonts w:cstheme="minorHAnsi"/>
        </w:rPr>
        <w:t>system odpowiedzialny za generowanie personalizowanych manifestów MPEG-DASH, HLS</w:t>
      </w:r>
      <w:r w:rsidRPr="006D544C">
        <w:rPr>
          <w:rFonts w:cstheme="minorHAnsi"/>
          <w:color w:val="000000" w:themeColor="text1"/>
        </w:rPr>
        <w:t>), który przesyła zapytanie do</w:t>
      </w:r>
      <w:r w:rsidR="001A1415">
        <w:rPr>
          <w:rFonts w:cstheme="minorHAnsi"/>
          <w:color w:val="000000" w:themeColor="text1"/>
        </w:rPr>
        <w:t xml:space="preserve"> Systemu DAI </w:t>
      </w:r>
      <w:r w:rsidRPr="006D544C">
        <w:rPr>
          <w:rFonts w:cstheme="minorHAnsi"/>
          <w:color w:val="000000" w:themeColor="text1"/>
        </w:rPr>
        <w:t>CDN podając:</w:t>
      </w:r>
    </w:p>
    <w:p w14:paraId="3D865F88" w14:textId="77777777" w:rsidR="0088360A" w:rsidRPr="006D544C" w:rsidRDefault="0088360A" w:rsidP="0088360A">
      <w:pPr>
        <w:pStyle w:val="Akapitzlist"/>
        <w:numPr>
          <w:ilvl w:val="0"/>
          <w:numId w:val="3"/>
        </w:numPr>
        <w:spacing w:after="200" w:line="276" w:lineRule="auto"/>
        <w:ind w:left="-142" w:firstLine="284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lastRenderedPageBreak/>
        <w:t>identyfikator użytkownika</w:t>
      </w:r>
    </w:p>
    <w:p w14:paraId="670BA6B7" w14:textId="77777777" w:rsidR="0088360A" w:rsidRPr="006D544C" w:rsidRDefault="0088360A" w:rsidP="0088360A">
      <w:pPr>
        <w:pStyle w:val="Akapitzlist"/>
        <w:numPr>
          <w:ilvl w:val="0"/>
          <w:numId w:val="3"/>
        </w:numPr>
        <w:spacing w:after="200" w:line="276" w:lineRule="auto"/>
        <w:ind w:left="-142" w:firstLine="284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nazwę treści</w:t>
      </w:r>
    </w:p>
    <w:p w14:paraId="4507B12B" w14:textId="77777777" w:rsidR="0088360A" w:rsidRPr="006D544C" w:rsidRDefault="0088360A" w:rsidP="0088360A">
      <w:pPr>
        <w:pStyle w:val="Akapitzlist"/>
        <w:numPr>
          <w:ilvl w:val="0"/>
          <w:numId w:val="3"/>
        </w:numPr>
        <w:spacing w:after="200" w:line="276" w:lineRule="auto"/>
        <w:ind w:left="-142" w:firstLine="284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adres IP</w:t>
      </w:r>
    </w:p>
    <w:p w14:paraId="53248DAB" w14:textId="77777777" w:rsidR="0088360A" w:rsidRPr="006D544C" w:rsidRDefault="0088360A" w:rsidP="0088360A">
      <w:pPr>
        <w:pStyle w:val="Akapitzlist"/>
        <w:numPr>
          <w:ilvl w:val="0"/>
          <w:numId w:val="3"/>
        </w:numPr>
        <w:spacing w:after="200" w:line="276" w:lineRule="auto"/>
        <w:ind w:left="-142" w:firstLine="284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długość slotu na reklamę</w:t>
      </w:r>
    </w:p>
    <w:p w14:paraId="635548B4" w14:textId="3768F098" w:rsidR="0088360A" w:rsidRPr="006D544C" w:rsidRDefault="001A1415" w:rsidP="001A1415">
      <w:pPr>
        <w:spacing w:after="200" w:line="276" w:lineRule="auto"/>
        <w:ind w:left="-142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System DAI </w:t>
      </w:r>
      <w:r w:rsidR="0088360A" w:rsidRPr="006D544C">
        <w:rPr>
          <w:rFonts w:cstheme="minorHAnsi"/>
          <w:color w:val="000000" w:themeColor="text1"/>
        </w:rPr>
        <w:t xml:space="preserve">przekazuje zapytanie do systemu </w:t>
      </w:r>
      <w:proofErr w:type="spellStart"/>
      <w:r w:rsidR="0088360A" w:rsidRPr="006D544C">
        <w:rPr>
          <w:rFonts w:cstheme="minorHAnsi"/>
          <w:color w:val="000000" w:themeColor="text1"/>
        </w:rPr>
        <w:t>AdServer</w:t>
      </w:r>
      <w:proofErr w:type="spellEnd"/>
      <w:r w:rsidR="0088360A" w:rsidRPr="006D544C">
        <w:rPr>
          <w:rFonts w:cstheme="minorHAnsi"/>
          <w:color w:val="000000" w:themeColor="text1"/>
        </w:rPr>
        <w:t xml:space="preserve"> (Zamawiającego) zamieniając Identyfikator użytkownika na </w:t>
      </w:r>
      <w:proofErr w:type="spellStart"/>
      <w:r w:rsidR="0088360A" w:rsidRPr="006D544C">
        <w:rPr>
          <w:rFonts w:cstheme="minorHAnsi"/>
          <w:color w:val="000000" w:themeColor="text1"/>
        </w:rPr>
        <w:t>cookies</w:t>
      </w:r>
      <w:proofErr w:type="spellEnd"/>
      <w:r w:rsidR="0088360A" w:rsidRPr="006D544C">
        <w:rPr>
          <w:rFonts w:cstheme="minorHAnsi"/>
          <w:color w:val="000000" w:themeColor="text1"/>
        </w:rPr>
        <w:t xml:space="preserve">. </w:t>
      </w:r>
      <w:proofErr w:type="spellStart"/>
      <w:r w:rsidR="0088360A" w:rsidRPr="006D544C">
        <w:rPr>
          <w:rFonts w:cstheme="minorHAnsi"/>
          <w:color w:val="000000" w:themeColor="text1"/>
        </w:rPr>
        <w:t>AdServer</w:t>
      </w:r>
      <w:proofErr w:type="spellEnd"/>
      <w:r w:rsidR="0088360A" w:rsidRPr="006D544C">
        <w:rPr>
          <w:rFonts w:cstheme="minorHAnsi"/>
          <w:color w:val="000000" w:themeColor="text1"/>
        </w:rPr>
        <w:t xml:space="preserve"> zwraca reklamę do systemu </w:t>
      </w:r>
      <w:r>
        <w:rPr>
          <w:rFonts w:cstheme="minorHAnsi"/>
          <w:color w:val="000000" w:themeColor="text1"/>
        </w:rPr>
        <w:t>DAI</w:t>
      </w:r>
      <w:r w:rsidR="0088360A" w:rsidRPr="006D544C">
        <w:rPr>
          <w:rFonts w:cstheme="minorHAnsi"/>
          <w:color w:val="000000" w:themeColor="text1"/>
        </w:rPr>
        <w:t>, który przekazuje odpowiedź do systemu Manifest Manipulator, który na podstawie odpowiedzi generuje event podmiany reklamy i</w:t>
      </w:r>
      <w:r w:rsidR="00440128">
        <w:rPr>
          <w:rFonts w:cstheme="minorHAnsi"/>
          <w:color w:val="000000" w:themeColor="text1"/>
        </w:rPr>
        <w:t> </w:t>
      </w:r>
      <w:r w:rsidR="0088360A" w:rsidRPr="006D544C">
        <w:rPr>
          <w:rFonts w:cstheme="minorHAnsi"/>
          <w:color w:val="000000" w:themeColor="text1"/>
        </w:rPr>
        <w:t xml:space="preserve">zwraca zmieniony </w:t>
      </w:r>
      <w:r w:rsidR="00440128">
        <w:rPr>
          <w:rFonts w:cstheme="minorHAnsi"/>
          <w:color w:val="000000" w:themeColor="text1"/>
        </w:rPr>
        <w:t>M</w:t>
      </w:r>
      <w:r w:rsidR="0088360A" w:rsidRPr="006D544C">
        <w:rPr>
          <w:rFonts w:cstheme="minorHAnsi"/>
          <w:color w:val="000000" w:themeColor="text1"/>
        </w:rPr>
        <w:t>anifest do serwera brzegowego i dalej do użytkownika. System Manifest Manipulator, serwer brzegowy</w:t>
      </w:r>
      <w:r>
        <w:rPr>
          <w:rFonts w:cstheme="minorHAnsi"/>
          <w:color w:val="000000" w:themeColor="text1"/>
        </w:rPr>
        <w:t xml:space="preserve"> </w:t>
      </w:r>
      <w:r w:rsidR="0088360A" w:rsidRPr="006D544C">
        <w:rPr>
          <w:rFonts w:cstheme="minorHAnsi"/>
          <w:color w:val="000000" w:themeColor="text1"/>
        </w:rPr>
        <w:t xml:space="preserve"> generują logi i przekazują je do wskazanej przez Zamawiającego firmy Badawczej, która na ich podstawie tworzy raporty.  </w:t>
      </w:r>
    </w:p>
    <w:p w14:paraId="59D31BE6" w14:textId="77777777" w:rsidR="0088360A" w:rsidRPr="006D544C" w:rsidRDefault="0088360A" w:rsidP="001A1415">
      <w:pPr>
        <w:pStyle w:val="NormalnyWeb"/>
        <w:spacing w:before="60" w:beforeAutospacing="0" w:after="60" w:afterAutospacing="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E21FB9" w14:textId="77777777" w:rsidR="0088360A" w:rsidRPr="006D544C" w:rsidRDefault="0088360A" w:rsidP="0088360A">
      <w:pPr>
        <w:spacing w:after="200" w:line="276" w:lineRule="auto"/>
        <w:ind w:left="-142"/>
        <w:jc w:val="both"/>
        <w:rPr>
          <w:rFonts w:cstheme="minorHAnsi"/>
          <w:color w:val="000000" w:themeColor="text1"/>
        </w:rPr>
      </w:pPr>
    </w:p>
    <w:p w14:paraId="07E7B588" w14:textId="77777777" w:rsidR="0088360A" w:rsidRPr="006D544C" w:rsidRDefault="0088360A" w:rsidP="0088360A">
      <w:pPr>
        <w:pStyle w:val="NormalnyWeb"/>
        <w:spacing w:before="60" w:beforeAutospacing="0" w:after="60" w:afterAutospacing="0" w:line="276" w:lineRule="auto"/>
        <w:ind w:left="-142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544C">
        <w:rPr>
          <w:rFonts w:asciiTheme="minorHAnsi" w:hAnsiTheme="minorHAnsi" w:cstheme="minorHAnsi"/>
          <w:color w:val="000000" w:themeColor="text1"/>
          <w:sz w:val="22"/>
          <w:szCs w:val="22"/>
        </w:rPr>
        <w:t>Schemat sekwencji Zamawianego rozwiązania</w:t>
      </w:r>
    </w:p>
    <w:p w14:paraId="5F2BD428" w14:textId="77777777" w:rsidR="0088360A" w:rsidRPr="00646E5D" w:rsidRDefault="0088360A" w:rsidP="0088360A">
      <w:pPr>
        <w:pStyle w:val="NormalnyWeb"/>
        <w:spacing w:before="60" w:beforeAutospacing="0" w:after="60" w:afterAutospacing="0" w:line="276" w:lineRule="auto"/>
        <w:ind w:left="-142"/>
        <w:jc w:val="both"/>
        <w:rPr>
          <w:rFonts w:ascii="Helvetica" w:hAnsi="Helvetica" w:cs="Arial"/>
          <w:color w:val="000000" w:themeColor="text1"/>
          <w:sz w:val="22"/>
          <w:szCs w:val="22"/>
        </w:rPr>
      </w:pPr>
      <w:r w:rsidRPr="00646E5D">
        <w:rPr>
          <w:rFonts w:ascii="Helvetica" w:hAnsi="Helvetica"/>
          <w:noProof/>
          <w:sz w:val="22"/>
          <w:szCs w:val="22"/>
        </w:rPr>
        <w:drawing>
          <wp:inline distT="0" distB="0" distL="0" distR="0" wp14:anchorId="1C27DAFA" wp14:editId="40086B22">
            <wp:extent cx="5760720" cy="2869884"/>
            <wp:effectExtent l="0" t="0" r="5080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6F3C0" w14:textId="77777777" w:rsidR="0088360A" w:rsidRPr="00646E5D" w:rsidRDefault="0088360A" w:rsidP="0088360A">
      <w:pPr>
        <w:pStyle w:val="NormalnyWeb"/>
        <w:spacing w:before="60" w:beforeAutospacing="0" w:after="60" w:afterAutospacing="0" w:line="276" w:lineRule="auto"/>
        <w:ind w:left="-142"/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7F6C415D" w14:textId="77777777" w:rsidR="00B01995" w:rsidRDefault="00B01995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br w:type="page"/>
      </w:r>
    </w:p>
    <w:p w14:paraId="0171D1D7" w14:textId="268ED06E" w:rsidR="0088360A" w:rsidRPr="006D544C" w:rsidRDefault="0088360A" w:rsidP="0088360A">
      <w:pPr>
        <w:spacing w:after="200" w:line="276" w:lineRule="auto"/>
        <w:jc w:val="both"/>
        <w:rPr>
          <w:rFonts w:cstheme="minorHAnsi"/>
          <w:b/>
          <w:bCs/>
          <w:color w:val="000000" w:themeColor="text1"/>
        </w:rPr>
      </w:pPr>
      <w:r w:rsidRPr="006D544C">
        <w:rPr>
          <w:rFonts w:cstheme="minorHAnsi"/>
          <w:b/>
          <w:bCs/>
          <w:color w:val="000000" w:themeColor="text1"/>
        </w:rPr>
        <w:lastRenderedPageBreak/>
        <w:t>Wymagania dotyczące dostarczanego Systemu</w:t>
      </w:r>
      <w:r w:rsidR="001A1415">
        <w:rPr>
          <w:rFonts w:cstheme="minorHAnsi"/>
          <w:b/>
          <w:bCs/>
          <w:color w:val="000000" w:themeColor="text1"/>
        </w:rPr>
        <w:t xml:space="preserve"> DAI</w:t>
      </w:r>
    </w:p>
    <w:p w14:paraId="068BC45B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Ilość gigabajtów możliwych do wykorzystania w ramach usług – bez limitu,</w:t>
      </w:r>
    </w:p>
    <w:p w14:paraId="3AF880B8" w14:textId="25EC56A6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 xml:space="preserve">Wymagana sumaryczna przepustowość Systemu  co najmniej 0,5 </w:t>
      </w:r>
      <w:proofErr w:type="spellStart"/>
      <w:r w:rsidRPr="006D544C">
        <w:rPr>
          <w:rFonts w:cstheme="minorHAnsi"/>
          <w:color w:val="000000" w:themeColor="text1"/>
        </w:rPr>
        <w:t>Tbps</w:t>
      </w:r>
      <w:proofErr w:type="spellEnd"/>
      <w:r w:rsidRPr="006D544C">
        <w:rPr>
          <w:rFonts w:cstheme="minorHAnsi"/>
          <w:color w:val="000000" w:themeColor="text1"/>
        </w:rPr>
        <w:t xml:space="preserve"> do użytkowników Polskich sieci,</w:t>
      </w:r>
    </w:p>
    <w:p w14:paraId="6A6EF7E1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Wymagane zintegrowane komponenty min. Manifest Manipulator zapewniające funkcjonalność DAI,</w:t>
      </w:r>
    </w:p>
    <w:p w14:paraId="3E2855F2" w14:textId="22E79E59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 xml:space="preserve">Wymagana sumaryczna przepustowość </w:t>
      </w:r>
      <w:r w:rsidR="00B01995">
        <w:rPr>
          <w:rFonts w:cstheme="minorHAnsi"/>
          <w:color w:val="000000" w:themeColor="text1"/>
        </w:rPr>
        <w:t>S</w:t>
      </w:r>
      <w:r w:rsidRPr="006D544C">
        <w:rPr>
          <w:rFonts w:cstheme="minorHAnsi"/>
          <w:color w:val="000000" w:themeColor="text1"/>
        </w:rPr>
        <w:t xml:space="preserve">ystemu  w sieci TPNET &gt; 0,5  </w:t>
      </w:r>
      <w:proofErr w:type="spellStart"/>
      <w:r w:rsidRPr="006D544C">
        <w:rPr>
          <w:rFonts w:cstheme="minorHAnsi"/>
          <w:color w:val="000000" w:themeColor="text1"/>
        </w:rPr>
        <w:t>Tbps</w:t>
      </w:r>
      <w:proofErr w:type="spellEnd"/>
      <w:r w:rsidRPr="006D544C">
        <w:rPr>
          <w:rFonts w:cstheme="minorHAnsi"/>
          <w:color w:val="000000" w:themeColor="text1"/>
        </w:rPr>
        <w:t xml:space="preserve">, </w:t>
      </w:r>
    </w:p>
    <w:p w14:paraId="349C1D36" w14:textId="6F959BE3" w:rsidR="00B01995" w:rsidRDefault="0088360A" w:rsidP="00B01995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 xml:space="preserve">Wymagana obsługa </w:t>
      </w:r>
      <w:proofErr w:type="spellStart"/>
      <w:r w:rsidRPr="006D544C">
        <w:rPr>
          <w:rFonts w:cstheme="minorHAnsi"/>
          <w:color w:val="000000" w:themeColor="text1"/>
        </w:rPr>
        <w:t>geoblokady</w:t>
      </w:r>
      <w:proofErr w:type="spellEnd"/>
      <w:r w:rsidRPr="006D544C">
        <w:rPr>
          <w:rFonts w:cstheme="minorHAnsi"/>
          <w:color w:val="000000" w:themeColor="text1"/>
        </w:rPr>
        <w:t xml:space="preserve"> z uwzględnieniem kryterium Polska, UE</w:t>
      </w:r>
      <w:r w:rsidR="00440128">
        <w:rPr>
          <w:rFonts w:cstheme="minorHAnsi"/>
          <w:color w:val="000000" w:themeColor="text1"/>
        </w:rPr>
        <w:t>.</w:t>
      </w:r>
    </w:p>
    <w:p w14:paraId="341206C5" w14:textId="77777777" w:rsidR="00B01995" w:rsidRDefault="00510ED3" w:rsidP="00B01995">
      <w:pPr>
        <w:spacing w:after="200" w:line="276" w:lineRule="auto"/>
        <w:jc w:val="both"/>
        <w:rPr>
          <w:rFonts w:cstheme="minorHAnsi"/>
          <w:color w:val="000000" w:themeColor="text1"/>
        </w:rPr>
      </w:pPr>
      <w:r w:rsidRPr="00B01995">
        <w:rPr>
          <w:rFonts w:cstheme="minorHAnsi"/>
          <w:color w:val="000000" w:themeColor="text1"/>
        </w:rPr>
        <w:t>Dostawca</w:t>
      </w:r>
      <w:r w:rsidR="0088360A" w:rsidRPr="00B01995">
        <w:rPr>
          <w:rFonts w:cstheme="minorHAnsi"/>
          <w:color w:val="000000" w:themeColor="text1"/>
        </w:rPr>
        <w:t xml:space="preserve"> zapewni usługę kodowania wskazanych przez Zamawiającego 2 programów ogólnopolskich   do strumieni ABR (</w:t>
      </w:r>
      <w:proofErr w:type="spellStart"/>
      <w:r w:rsidR="0088360A" w:rsidRPr="00B01995">
        <w:rPr>
          <w:rFonts w:cstheme="minorHAnsi"/>
          <w:color w:val="000000" w:themeColor="text1"/>
        </w:rPr>
        <w:t>Adaptive</w:t>
      </w:r>
      <w:proofErr w:type="spellEnd"/>
      <w:r w:rsidR="0088360A" w:rsidRPr="00B01995">
        <w:rPr>
          <w:rFonts w:cstheme="minorHAnsi"/>
          <w:color w:val="000000" w:themeColor="text1"/>
        </w:rPr>
        <w:t xml:space="preserve"> </w:t>
      </w:r>
      <w:proofErr w:type="spellStart"/>
      <w:r w:rsidR="0088360A" w:rsidRPr="00B01995">
        <w:rPr>
          <w:rFonts w:cstheme="minorHAnsi"/>
          <w:color w:val="000000" w:themeColor="text1"/>
        </w:rPr>
        <w:t>Bitrate</w:t>
      </w:r>
      <w:proofErr w:type="spellEnd"/>
      <w:r w:rsidR="0088360A" w:rsidRPr="00B01995">
        <w:rPr>
          <w:rFonts w:cstheme="minorHAnsi"/>
          <w:color w:val="000000" w:themeColor="text1"/>
        </w:rPr>
        <w:t>) według poniższej specyfikacji</w:t>
      </w:r>
      <w:r w:rsidR="00127A30" w:rsidRPr="00B01995">
        <w:rPr>
          <w:rFonts w:cstheme="minorHAnsi"/>
          <w:color w:val="000000" w:themeColor="text1"/>
        </w:rPr>
        <w:t>:</w:t>
      </w:r>
      <w:r w:rsidR="0088360A" w:rsidRPr="00B01995">
        <w:rPr>
          <w:rFonts w:cstheme="minorHAnsi"/>
          <w:color w:val="000000" w:themeColor="text1"/>
        </w:rPr>
        <w:t xml:space="preserve"> </w:t>
      </w:r>
    </w:p>
    <w:p w14:paraId="07879117" w14:textId="5E1DB0BC" w:rsidR="0088360A" w:rsidRPr="00803865" w:rsidRDefault="0088360A" w:rsidP="00B01995">
      <w:pPr>
        <w:spacing w:after="200" w:line="276" w:lineRule="auto"/>
        <w:jc w:val="both"/>
        <w:rPr>
          <w:rFonts w:cstheme="minorHAnsi"/>
          <w:color w:val="000000" w:themeColor="text1"/>
          <w:lang w:val="en-US"/>
        </w:rPr>
      </w:pPr>
      <w:proofErr w:type="spellStart"/>
      <w:r w:rsidRPr="006D544C">
        <w:rPr>
          <w:rFonts w:cstheme="minorHAnsi"/>
          <w:b/>
          <w:bCs/>
          <w:color w:val="000000" w:themeColor="text1"/>
          <w:lang w:val="en-US"/>
        </w:rPr>
        <w:t>Specyfikacja</w:t>
      </w:r>
      <w:proofErr w:type="spellEnd"/>
      <w:r w:rsidRPr="006D544C">
        <w:rPr>
          <w:rFonts w:cstheme="minorHAnsi"/>
          <w:b/>
          <w:bCs/>
          <w:color w:val="000000" w:themeColor="text1"/>
          <w:lang w:val="en-US"/>
        </w:rPr>
        <w:t xml:space="preserve"> </w:t>
      </w:r>
      <w:proofErr w:type="spellStart"/>
      <w:r w:rsidRPr="006D544C">
        <w:rPr>
          <w:rFonts w:cstheme="minorHAnsi"/>
          <w:b/>
          <w:bCs/>
          <w:color w:val="000000" w:themeColor="text1"/>
          <w:lang w:val="en-US"/>
        </w:rPr>
        <w:t>profili</w:t>
      </w:r>
      <w:proofErr w:type="spellEnd"/>
      <w:r w:rsidRPr="006D544C">
        <w:rPr>
          <w:rFonts w:cstheme="minorHAnsi"/>
          <w:b/>
          <w:bCs/>
          <w:color w:val="000000" w:themeColor="text1"/>
          <w:lang w:val="en-US"/>
        </w:rPr>
        <w:t xml:space="preserve"> ABR:</w:t>
      </w:r>
    </w:p>
    <w:p w14:paraId="76D5C1F8" w14:textId="77777777" w:rsidR="0088360A" w:rsidRPr="006D544C" w:rsidRDefault="0088360A" w:rsidP="0088360A">
      <w:pPr>
        <w:spacing w:after="200" w:line="276" w:lineRule="auto"/>
        <w:ind w:left="-142"/>
        <w:jc w:val="both"/>
        <w:rPr>
          <w:rFonts w:cstheme="minorHAnsi"/>
          <w:color w:val="000000" w:themeColor="text1"/>
          <w:lang w:val="en-US"/>
        </w:rPr>
      </w:pPr>
      <w:r w:rsidRPr="006D544C">
        <w:rPr>
          <w:rFonts w:cstheme="minorHAnsi"/>
          <w:color w:val="000000" w:themeColor="text1"/>
          <w:lang w:val="en-US"/>
        </w:rPr>
        <w:t>SD (H.264, profile: Main, GOP length: 50, Pixel Aspect Ratio: source)</w:t>
      </w:r>
    </w:p>
    <w:p w14:paraId="017F4427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1024x576, 2300kbps, progressive, 25fps</w:t>
      </w:r>
    </w:p>
    <w:p w14:paraId="0A6645CB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768x432, 1300kbps, progressive, 25fps</w:t>
      </w:r>
    </w:p>
    <w:p w14:paraId="10902403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 xml:space="preserve">512x288, 500 </w:t>
      </w:r>
      <w:proofErr w:type="spellStart"/>
      <w:r w:rsidRPr="006D544C">
        <w:rPr>
          <w:rFonts w:cstheme="minorHAnsi"/>
          <w:color w:val="000000" w:themeColor="text1"/>
        </w:rPr>
        <w:t>kbps</w:t>
      </w:r>
      <w:proofErr w:type="spellEnd"/>
      <w:r w:rsidRPr="006D544C">
        <w:rPr>
          <w:rFonts w:cstheme="minorHAnsi"/>
          <w:color w:val="000000" w:themeColor="text1"/>
        </w:rPr>
        <w:t>, progressive, 25fps</w:t>
      </w:r>
    </w:p>
    <w:p w14:paraId="04C24CF7" w14:textId="77777777" w:rsidR="0088360A" w:rsidRPr="006D544C" w:rsidRDefault="0088360A" w:rsidP="0088360A">
      <w:pPr>
        <w:spacing w:after="0" w:line="240" w:lineRule="auto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Audio</w:t>
      </w:r>
    </w:p>
    <w:p w14:paraId="2D0F4E99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2 x AAC-LC stereo</w:t>
      </w:r>
    </w:p>
    <w:p w14:paraId="3F4721E1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  <w:lang w:val="en-US"/>
        </w:rPr>
      </w:pPr>
      <w:r w:rsidRPr="006D544C">
        <w:rPr>
          <w:rFonts w:cstheme="minorHAnsi"/>
          <w:color w:val="000000" w:themeColor="text1"/>
          <w:lang w:val="en-US"/>
        </w:rPr>
        <w:t xml:space="preserve"> Optionally: Dolby AC3 multichannel HD (H.264, profile: High, GOP length: 50, Pixel Aspect Ratio: 1:1:</w:t>
      </w:r>
    </w:p>
    <w:p w14:paraId="26EB9237" w14:textId="77777777" w:rsidR="0088360A" w:rsidRPr="006D544C" w:rsidRDefault="0088360A" w:rsidP="0088360A">
      <w:pPr>
        <w:spacing w:after="200" w:line="276" w:lineRule="auto"/>
        <w:ind w:left="-142"/>
        <w:jc w:val="both"/>
        <w:rPr>
          <w:rFonts w:cstheme="minorHAnsi"/>
          <w:color w:val="000000" w:themeColor="text1"/>
          <w:lang w:val="en-US"/>
        </w:rPr>
      </w:pPr>
      <w:r w:rsidRPr="006D544C">
        <w:rPr>
          <w:rFonts w:cstheme="minorHAnsi"/>
          <w:color w:val="000000" w:themeColor="text1"/>
          <w:lang w:val="en-US"/>
        </w:rPr>
        <w:t>HD (H.264, profile: Main, GOP length: 50, Pixel Aspect Ratio: source))</w:t>
      </w:r>
    </w:p>
    <w:p w14:paraId="3654FF21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1920x1080, 6000kbps, progressive, 25fps</w:t>
      </w:r>
    </w:p>
    <w:p w14:paraId="75CC62D6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1280x720, 3600kbps, progressive, 25fps</w:t>
      </w:r>
    </w:p>
    <w:p w14:paraId="3CF8A161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1024x576, 2300kbps, progressive, 25fps</w:t>
      </w:r>
    </w:p>
    <w:p w14:paraId="2953E6F9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768x432, 1300kbps, progressive, 25fps</w:t>
      </w:r>
    </w:p>
    <w:p w14:paraId="12D0A50B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 xml:space="preserve">512x288, 500 </w:t>
      </w:r>
      <w:proofErr w:type="spellStart"/>
      <w:r w:rsidRPr="006D544C">
        <w:rPr>
          <w:rFonts w:cstheme="minorHAnsi"/>
          <w:color w:val="000000" w:themeColor="text1"/>
        </w:rPr>
        <w:t>kbps</w:t>
      </w:r>
      <w:proofErr w:type="spellEnd"/>
      <w:r w:rsidRPr="006D544C">
        <w:rPr>
          <w:rFonts w:cstheme="minorHAnsi"/>
          <w:color w:val="000000" w:themeColor="text1"/>
        </w:rPr>
        <w:t>, progressive, 25fps</w:t>
      </w:r>
    </w:p>
    <w:p w14:paraId="69584E84" w14:textId="2ACF97D6" w:rsidR="0088360A" w:rsidRPr="006D544C" w:rsidRDefault="0088360A" w:rsidP="0088360A">
      <w:pPr>
        <w:spacing w:after="200" w:line="276" w:lineRule="auto"/>
        <w:ind w:left="-142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Strumienie będą udostępniane za pomocą protokołu MPEG-DASH, HLS, wraz z poniższymi funkcjonalnościami</w:t>
      </w:r>
      <w:r w:rsidR="00440128">
        <w:rPr>
          <w:rFonts w:cstheme="minorHAnsi"/>
          <w:color w:val="000000" w:themeColor="text1"/>
        </w:rPr>
        <w:t>:</w:t>
      </w:r>
    </w:p>
    <w:p w14:paraId="7BC90EA4" w14:textId="29D86174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proofErr w:type="spellStart"/>
      <w:r w:rsidRPr="006D544C">
        <w:rPr>
          <w:rFonts w:cstheme="minorHAnsi"/>
          <w:color w:val="000000" w:themeColor="text1"/>
        </w:rPr>
        <w:t>Blackoutowanie</w:t>
      </w:r>
      <w:proofErr w:type="spellEnd"/>
      <w:r w:rsidRPr="006D544C">
        <w:rPr>
          <w:rFonts w:cstheme="minorHAnsi"/>
          <w:color w:val="000000" w:themeColor="text1"/>
        </w:rPr>
        <w:t xml:space="preserve"> materiałów na podstawie </w:t>
      </w:r>
      <w:proofErr w:type="spellStart"/>
      <w:r w:rsidRPr="006D544C">
        <w:rPr>
          <w:rFonts w:cstheme="minorHAnsi"/>
          <w:color w:val="000000" w:themeColor="text1"/>
        </w:rPr>
        <w:t>AKP’y</w:t>
      </w:r>
      <w:proofErr w:type="spellEnd"/>
      <w:r w:rsidRPr="006D544C">
        <w:rPr>
          <w:rFonts w:cstheme="minorHAnsi"/>
          <w:color w:val="000000" w:themeColor="text1"/>
        </w:rPr>
        <w:t xml:space="preserve"> lub innego pliku zawierającego EPG</w:t>
      </w:r>
      <w:r w:rsidR="00440128">
        <w:rPr>
          <w:rFonts w:cstheme="minorHAnsi"/>
          <w:color w:val="000000" w:themeColor="text1"/>
        </w:rPr>
        <w:t>,</w:t>
      </w:r>
      <w:r w:rsidRPr="006D544C">
        <w:rPr>
          <w:rFonts w:cstheme="minorHAnsi"/>
          <w:color w:val="000000" w:themeColor="text1"/>
        </w:rPr>
        <w:t xml:space="preserve"> </w:t>
      </w:r>
    </w:p>
    <w:p w14:paraId="6B43B0F9" w14:textId="77777777" w:rsidR="0088360A" w:rsidRPr="006D544C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theme="minorHAnsi"/>
          <w:color w:val="000000" w:themeColor="text1"/>
        </w:rPr>
      </w:pPr>
      <w:r w:rsidRPr="006D544C">
        <w:rPr>
          <w:rFonts w:cstheme="minorHAnsi"/>
          <w:color w:val="000000" w:themeColor="text1"/>
        </w:rPr>
        <w:t>Każdy materiał będzie zabezpieczony systemem DRM odpowiednim dla danego typu urządzenia/przeglądarki. Integracja może przebiegać na dwa sposoby.</w:t>
      </w:r>
    </w:p>
    <w:p w14:paraId="45E329BC" w14:textId="77777777" w:rsidR="0088360A" w:rsidRPr="00646E5D" w:rsidRDefault="0088360A" w:rsidP="0088360A">
      <w:pPr>
        <w:spacing w:after="200" w:line="276" w:lineRule="auto"/>
        <w:ind w:left="-142"/>
        <w:jc w:val="both"/>
        <w:rPr>
          <w:rFonts w:ascii="Helvetica" w:hAnsi="Helvetica" w:cs="Arial"/>
          <w:color w:val="000000" w:themeColor="text1"/>
        </w:rPr>
      </w:pPr>
    </w:p>
    <w:p w14:paraId="27E06A53" w14:textId="77777777" w:rsidR="001A1415" w:rsidRDefault="001A1415">
      <w:pPr>
        <w:rPr>
          <w:rFonts w:cs="Arial"/>
          <w:b/>
          <w:bCs/>
          <w:color w:val="000000" w:themeColor="text1"/>
        </w:rPr>
      </w:pPr>
      <w:r>
        <w:rPr>
          <w:rFonts w:cs="Arial"/>
          <w:b/>
          <w:bCs/>
          <w:color w:val="000000" w:themeColor="text1"/>
        </w:rPr>
        <w:br w:type="page"/>
      </w:r>
    </w:p>
    <w:p w14:paraId="39EB017E" w14:textId="12785501" w:rsidR="0088360A" w:rsidRPr="00B01995" w:rsidRDefault="0088360A" w:rsidP="00B01995">
      <w:pPr>
        <w:spacing w:after="200" w:line="276" w:lineRule="auto"/>
        <w:jc w:val="both"/>
        <w:rPr>
          <w:rFonts w:ascii="Helvetica" w:hAnsi="Helvetica" w:cs="Arial"/>
          <w:color w:val="000000" w:themeColor="text1"/>
        </w:rPr>
      </w:pPr>
      <w:r w:rsidRPr="00175E17">
        <w:rPr>
          <w:rFonts w:cs="Arial"/>
          <w:b/>
          <w:bCs/>
          <w:color w:val="000000" w:themeColor="text1"/>
        </w:rPr>
        <w:lastRenderedPageBreak/>
        <w:t>Wymagania dotyczące integracji</w:t>
      </w:r>
      <w:r w:rsidR="00B01995">
        <w:rPr>
          <w:rFonts w:cs="Arial"/>
          <w:b/>
          <w:bCs/>
          <w:color w:val="000000" w:themeColor="text1"/>
        </w:rPr>
        <w:t xml:space="preserve"> Systemu </w:t>
      </w:r>
      <w:r w:rsidR="001A1415">
        <w:rPr>
          <w:rFonts w:cs="Arial"/>
          <w:b/>
          <w:bCs/>
          <w:color w:val="000000" w:themeColor="text1"/>
        </w:rPr>
        <w:t>DAI</w:t>
      </w:r>
      <w:r w:rsidRPr="00175E17">
        <w:rPr>
          <w:rFonts w:cs="Arial"/>
          <w:b/>
          <w:bCs/>
          <w:color w:val="000000" w:themeColor="text1"/>
        </w:rPr>
        <w:t xml:space="preserve"> z zewnętrznymi systemami i systemami Zamawiającego </w:t>
      </w:r>
    </w:p>
    <w:p w14:paraId="63D64EE5" w14:textId="6D1F7588" w:rsidR="0088360A" w:rsidRPr="00175E17" w:rsidRDefault="00510ED3" w:rsidP="0088360A">
      <w:pPr>
        <w:spacing w:after="200" w:line="276" w:lineRule="auto"/>
        <w:ind w:left="-14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Dostawca</w:t>
      </w:r>
      <w:r w:rsidR="0088360A" w:rsidRPr="00175E17">
        <w:rPr>
          <w:rFonts w:cs="Arial"/>
          <w:color w:val="000000" w:themeColor="text1"/>
        </w:rPr>
        <w:t xml:space="preserve"> w ramach przedmiotu zamówienia zapewni prawidłową komunikację </w:t>
      </w:r>
      <w:r w:rsidR="001A1415">
        <w:rPr>
          <w:rFonts w:cs="Arial"/>
          <w:color w:val="000000" w:themeColor="text1"/>
        </w:rPr>
        <w:t>Systemu DAI z</w:t>
      </w:r>
      <w:r w:rsidR="00440128">
        <w:rPr>
          <w:rFonts w:cs="Arial"/>
          <w:color w:val="000000" w:themeColor="text1"/>
        </w:rPr>
        <w:t> </w:t>
      </w:r>
      <w:r w:rsidR="001A1415">
        <w:rPr>
          <w:rFonts w:cs="Arial"/>
          <w:color w:val="000000" w:themeColor="text1"/>
        </w:rPr>
        <w:t xml:space="preserve"> </w:t>
      </w:r>
      <w:r w:rsidR="0088360A" w:rsidRPr="00175E17">
        <w:rPr>
          <w:rFonts w:cs="Arial"/>
          <w:color w:val="000000" w:themeColor="text1"/>
        </w:rPr>
        <w:t>następującymi systemami:</w:t>
      </w:r>
    </w:p>
    <w:p w14:paraId="2F9D939D" w14:textId="42721D36" w:rsidR="0088360A" w:rsidRPr="00175E17" w:rsidRDefault="001A1415" w:rsidP="0088360A">
      <w:pPr>
        <w:spacing w:after="200" w:line="276" w:lineRule="auto"/>
        <w:ind w:left="-14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88360A" w:rsidRPr="00175E17">
        <w:rPr>
          <w:rFonts w:cs="Arial"/>
          <w:color w:val="000000" w:themeColor="text1"/>
        </w:rPr>
        <w:t>ystemem do akwizycji zleceń dostarczany przez zewnętrzną firmę badawczą, realizującą badanie pomiaru oglądalności na bazie logów z systemu CDN, w zakresie niezbędnym do wykonania następujących raportów:</w:t>
      </w:r>
    </w:p>
    <w:p w14:paraId="4B34C181" w14:textId="77777777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>ilość reklam,</w:t>
      </w:r>
    </w:p>
    <w:p w14:paraId="41F0590A" w14:textId="77777777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>Ilość wydanych reklam z podziałem na poszczególne kampanie,</w:t>
      </w:r>
    </w:p>
    <w:p w14:paraId="3C94B30B" w14:textId="1C02ACD1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>raport z wykonania poszczególnych kampanii</w:t>
      </w:r>
      <w:r w:rsidR="00A208AB">
        <w:rPr>
          <w:rFonts w:cs="Arial"/>
          <w:color w:val="000000" w:themeColor="text1"/>
        </w:rPr>
        <w:t>,</w:t>
      </w:r>
    </w:p>
    <w:p w14:paraId="2FA581BE" w14:textId="77777777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 xml:space="preserve">pomiaru oglądalności wyświetlonych reklam i pomiar wydań reklam. </w:t>
      </w:r>
    </w:p>
    <w:p w14:paraId="7B6F1A34" w14:textId="1BC6A913" w:rsidR="0088360A" w:rsidRPr="00175E17" w:rsidRDefault="001A1415" w:rsidP="0088360A">
      <w:pPr>
        <w:spacing w:after="200" w:line="276" w:lineRule="auto"/>
        <w:ind w:left="-142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</w:t>
      </w:r>
      <w:r w:rsidR="0088360A" w:rsidRPr="00175E17">
        <w:rPr>
          <w:rFonts w:cs="Arial"/>
          <w:color w:val="000000" w:themeColor="text1"/>
        </w:rPr>
        <w:t>ystemem typu ad serwer używanym przez Zamawiającego w zakresie obsługi następujących typów kampanii</w:t>
      </w:r>
      <w:r w:rsidR="00A208AB">
        <w:rPr>
          <w:rFonts w:cs="Arial"/>
          <w:color w:val="000000" w:themeColor="text1"/>
        </w:rPr>
        <w:t>:</w:t>
      </w:r>
    </w:p>
    <w:p w14:paraId="704D4854" w14:textId="505FC1E5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proofErr w:type="spellStart"/>
      <w:r w:rsidRPr="00175E17">
        <w:rPr>
          <w:rFonts w:cs="Arial"/>
          <w:color w:val="000000" w:themeColor="text1"/>
        </w:rPr>
        <w:t>pre-roll</w:t>
      </w:r>
      <w:proofErr w:type="spellEnd"/>
      <w:r w:rsidRPr="00175E17">
        <w:rPr>
          <w:rFonts w:cs="Arial"/>
          <w:color w:val="000000" w:themeColor="text1"/>
        </w:rPr>
        <w:t xml:space="preserve"> (bloki, pojedyncze reklamy z uwzględnieniem długości bloku i reklamy)</w:t>
      </w:r>
      <w:r w:rsidR="00A208AB">
        <w:rPr>
          <w:rFonts w:cs="Arial"/>
          <w:color w:val="000000" w:themeColor="text1"/>
        </w:rPr>
        <w:t>,</w:t>
      </w:r>
    </w:p>
    <w:p w14:paraId="5FDCC011" w14:textId="77777777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proofErr w:type="spellStart"/>
      <w:r w:rsidRPr="00175E17">
        <w:rPr>
          <w:rFonts w:cs="Arial"/>
          <w:color w:val="000000" w:themeColor="text1"/>
        </w:rPr>
        <w:t>mid-roll</w:t>
      </w:r>
      <w:proofErr w:type="spellEnd"/>
      <w:r w:rsidRPr="00175E17">
        <w:rPr>
          <w:rFonts w:cs="Arial"/>
          <w:color w:val="000000" w:themeColor="text1"/>
        </w:rPr>
        <w:t xml:space="preserve"> (bloki, pojedyncze reklamy z uwzględnieniem długości bloku i reklamy w przypadku wdrożenia przez Zamawiającego znaczników SCTE35 w swoich kanałach zawierających minimum:</w:t>
      </w:r>
    </w:p>
    <w:p w14:paraId="32C12844" w14:textId="77777777" w:rsidR="0088360A" w:rsidRPr="00175E17" w:rsidRDefault="0088360A" w:rsidP="0088360A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proofErr w:type="spellStart"/>
      <w:r w:rsidRPr="00175E17">
        <w:rPr>
          <w:rFonts w:cs="Arial"/>
          <w:color w:val="000000" w:themeColor="text1"/>
        </w:rPr>
        <w:t>splice_info_section</w:t>
      </w:r>
      <w:proofErr w:type="spellEnd"/>
      <w:r w:rsidRPr="00175E17">
        <w:rPr>
          <w:rFonts w:cs="Arial"/>
          <w:color w:val="000000" w:themeColor="text1"/>
        </w:rPr>
        <w:t>()</w:t>
      </w:r>
    </w:p>
    <w:p w14:paraId="3732753F" w14:textId="77777777" w:rsidR="0088360A" w:rsidRPr="00175E17" w:rsidRDefault="0088360A" w:rsidP="0088360A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proofErr w:type="spellStart"/>
      <w:r w:rsidRPr="00175E17">
        <w:rPr>
          <w:rFonts w:cs="Arial"/>
          <w:color w:val="000000" w:themeColor="text1"/>
        </w:rPr>
        <w:t>splice_insert</w:t>
      </w:r>
      <w:proofErr w:type="spellEnd"/>
      <w:r w:rsidRPr="00175E17">
        <w:rPr>
          <w:rFonts w:cs="Arial"/>
          <w:color w:val="000000" w:themeColor="text1"/>
        </w:rPr>
        <w:t>()</w:t>
      </w:r>
    </w:p>
    <w:p w14:paraId="25C8C2BC" w14:textId="77777777" w:rsidR="0088360A" w:rsidRPr="00175E17" w:rsidRDefault="0088360A" w:rsidP="0088360A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proofErr w:type="spellStart"/>
      <w:r w:rsidRPr="00175E17">
        <w:rPr>
          <w:rFonts w:cs="Arial"/>
          <w:color w:val="000000" w:themeColor="text1"/>
        </w:rPr>
        <w:t>time_signal</w:t>
      </w:r>
      <w:proofErr w:type="spellEnd"/>
      <w:r w:rsidRPr="00175E17">
        <w:rPr>
          <w:rFonts w:cs="Arial"/>
          <w:color w:val="000000" w:themeColor="text1"/>
        </w:rPr>
        <w:t>()</w:t>
      </w:r>
    </w:p>
    <w:p w14:paraId="21E37FC3" w14:textId="77777777" w:rsidR="0088360A" w:rsidRPr="00175E17" w:rsidRDefault="0088360A" w:rsidP="0088360A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proofErr w:type="spellStart"/>
      <w:r w:rsidRPr="00175E17">
        <w:rPr>
          <w:rFonts w:cs="Arial"/>
          <w:color w:val="000000" w:themeColor="text1"/>
        </w:rPr>
        <w:t>segmentation_descriptor</w:t>
      </w:r>
      <w:proofErr w:type="spellEnd"/>
      <w:r w:rsidRPr="00175E17">
        <w:rPr>
          <w:rFonts w:cs="Arial"/>
          <w:color w:val="000000" w:themeColor="text1"/>
        </w:rPr>
        <w:t>()</w:t>
      </w:r>
    </w:p>
    <w:p w14:paraId="473374BD" w14:textId="77777777" w:rsidR="00D64153" w:rsidRDefault="00D64153" w:rsidP="0088360A">
      <w:pPr>
        <w:spacing w:after="200" w:line="276" w:lineRule="auto"/>
        <w:ind w:left="-142"/>
        <w:jc w:val="both"/>
        <w:rPr>
          <w:rFonts w:cs="Arial"/>
          <w:color w:val="000000" w:themeColor="text1"/>
        </w:rPr>
      </w:pPr>
    </w:p>
    <w:p w14:paraId="2FA93109" w14:textId="3F1DCD7B" w:rsidR="0088360A" w:rsidRPr="00175E17" w:rsidRDefault="0088360A" w:rsidP="0088360A">
      <w:pPr>
        <w:spacing w:after="200" w:line="276" w:lineRule="auto"/>
        <w:ind w:left="-142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>System</w:t>
      </w:r>
      <w:r w:rsidR="001A1415">
        <w:rPr>
          <w:rFonts w:cs="Arial"/>
          <w:color w:val="000000" w:themeColor="text1"/>
        </w:rPr>
        <w:t xml:space="preserve"> DAI</w:t>
      </w:r>
      <w:r w:rsidRPr="00175E17">
        <w:rPr>
          <w:rFonts w:cs="Arial"/>
          <w:color w:val="000000" w:themeColor="text1"/>
        </w:rPr>
        <w:t xml:space="preserve"> powinien być zintegrowany z zewnętrznym systemem służących do określania i trzymania tożsamości w zakresie: </w:t>
      </w:r>
    </w:p>
    <w:p w14:paraId="08CAEDE8" w14:textId="77777777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 xml:space="preserve">ustawienie </w:t>
      </w:r>
      <w:proofErr w:type="spellStart"/>
      <w:r w:rsidRPr="00175E17">
        <w:rPr>
          <w:rFonts w:cs="Arial"/>
          <w:color w:val="000000" w:themeColor="text1"/>
        </w:rPr>
        <w:t>cookies</w:t>
      </w:r>
      <w:proofErr w:type="spellEnd"/>
      <w:r w:rsidRPr="00175E17">
        <w:rPr>
          <w:rFonts w:cs="Arial"/>
          <w:color w:val="000000" w:themeColor="text1"/>
        </w:rPr>
        <w:t xml:space="preserve"> użytkownika,</w:t>
      </w:r>
    </w:p>
    <w:p w14:paraId="6C158344" w14:textId="77777777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>wygenerowanie identyfikatora użytkownika (unikatowego ciągu znaków),</w:t>
      </w:r>
    </w:p>
    <w:p w14:paraId="1059CB6E" w14:textId="77777777" w:rsidR="0088360A" w:rsidRPr="00175E17" w:rsidRDefault="0088360A" w:rsidP="0088360A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 xml:space="preserve">przekazania identyfikatora użytkownika do systemu CDN, </w:t>
      </w:r>
    </w:p>
    <w:p w14:paraId="48AAFAD7" w14:textId="3B3A3D43" w:rsidR="003B6768" w:rsidRPr="00D508E1" w:rsidRDefault="0088360A" w:rsidP="006934DC">
      <w:pPr>
        <w:pStyle w:val="Akapitzlist"/>
        <w:numPr>
          <w:ilvl w:val="0"/>
          <w:numId w:val="4"/>
        </w:numPr>
        <w:spacing w:after="200" w:line="276" w:lineRule="auto"/>
        <w:jc w:val="both"/>
        <w:rPr>
          <w:rFonts w:cs="Arial"/>
          <w:color w:val="000000" w:themeColor="text1"/>
        </w:rPr>
      </w:pPr>
      <w:r w:rsidRPr="00175E17">
        <w:rPr>
          <w:rFonts w:cs="Arial"/>
          <w:color w:val="000000" w:themeColor="text1"/>
        </w:rPr>
        <w:t>przechowywanie identyfikatorów użytkownika</w:t>
      </w:r>
      <w:r w:rsidR="00CF2A33">
        <w:rPr>
          <w:rFonts w:cs="Arial"/>
          <w:color w:val="000000" w:themeColor="text1"/>
        </w:rPr>
        <w:t>.</w:t>
      </w:r>
    </w:p>
    <w:p w14:paraId="585D646C" w14:textId="77777777" w:rsidR="006E7D67" w:rsidRPr="006E7D67" w:rsidRDefault="006E7D67" w:rsidP="006E7D67">
      <w:pPr>
        <w:jc w:val="both"/>
        <w:rPr>
          <w:rFonts w:cstheme="minorHAnsi"/>
          <w:b/>
          <w:bCs/>
          <w:color w:val="000000"/>
        </w:rPr>
      </w:pPr>
      <w:r w:rsidRPr="006E7D67">
        <w:rPr>
          <w:rFonts w:cstheme="minorHAnsi"/>
          <w:b/>
          <w:bCs/>
          <w:color w:val="000000"/>
        </w:rPr>
        <w:t>Wymagania dotyczące bezpieczeństwa i ochrony danych osobowych</w:t>
      </w:r>
    </w:p>
    <w:p w14:paraId="11E25762" w14:textId="444CFA86" w:rsidR="006E7D67" w:rsidRPr="006E7D67" w:rsidRDefault="006E7D67" w:rsidP="006E7D67">
      <w:pPr>
        <w:numPr>
          <w:ilvl w:val="0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System musi zapewnić zachowanie przez system i dane: poufności, integralności, dostępności, autentyczności, niezaprzeczalności, rozumiane zgodnie z normą ISO/IEC 27000:2014, a także rozliczalności</w:t>
      </w:r>
      <w:r w:rsidR="00D508E1">
        <w:rPr>
          <w:rFonts w:cstheme="minorHAnsi"/>
          <w:color w:val="000000"/>
        </w:rPr>
        <w:t>.</w:t>
      </w:r>
      <w:r w:rsidRPr="006E7D67">
        <w:rPr>
          <w:rFonts w:cstheme="minorHAnsi"/>
          <w:color w:val="000000"/>
        </w:rPr>
        <w:t xml:space="preserve"> </w:t>
      </w:r>
    </w:p>
    <w:p w14:paraId="333EFD67" w14:textId="77777777" w:rsidR="006E7D67" w:rsidRPr="006E7D67" w:rsidRDefault="006E7D67" w:rsidP="006E7D67">
      <w:pPr>
        <w:numPr>
          <w:ilvl w:val="0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System zapewnia odnotowanie informacji dot. danych osobowych: </w:t>
      </w:r>
    </w:p>
    <w:p w14:paraId="128C381B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dat pierwszego wprowadzenia danych do systemu; </w:t>
      </w:r>
    </w:p>
    <w:p w14:paraId="28511590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identyfikatora użytkownika wprowadzającego dane osobowe do systemu; </w:t>
      </w:r>
    </w:p>
    <w:p w14:paraId="49B5002A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źródła danych, w przypadku zbierania danych, nie od osoby, której one dotyczą (system może zidentyfikować komu dane osobowe były udostępniane); </w:t>
      </w:r>
    </w:p>
    <w:p w14:paraId="3FD436B5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lastRenderedPageBreak/>
        <w:t>informacji o odbiorcach, którym dane osobowe zostały udostępnione, dacie i zakresie tego udostępnienia;</w:t>
      </w:r>
    </w:p>
    <w:p w14:paraId="4B43835D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jakie dane osobowe są przetwarzane w systemie (mechanizm tworzący raport zawierający zestawienie przechowywanych danych osobowych z możliwością eksportu do pliku). </w:t>
      </w:r>
    </w:p>
    <w:p w14:paraId="781356CE" w14:textId="77777777" w:rsidR="006E7D67" w:rsidRPr="006E7D67" w:rsidRDefault="006E7D67" w:rsidP="006E7D67">
      <w:pPr>
        <w:numPr>
          <w:ilvl w:val="0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System posiada: </w:t>
      </w:r>
    </w:p>
    <w:p w14:paraId="18F61CBE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mechanizmy umożliwiające automatyczną rejestrację zachodzących w nim zdarzeń w taki sposób, aby zapisy tych rejestrów mogły – w razie konieczności – być wiarygodnym dowodem niewłaściwego lub niezgodnego z zakresem zadań korzystania z tego systemu przez jego użytkownika (działania danego użytkownika muszą być jednoznacznie przypisywane temu użytkownikowi); </w:t>
      </w:r>
    </w:p>
    <w:p w14:paraId="34B95AE6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mechanizm zabezpieczający przed nieautoryzowanym modyfikowaniem lub usuwaniem zapisów; </w:t>
      </w:r>
    </w:p>
    <w:p w14:paraId="45E0F409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mechanizm retencji – system zapewnia informację, do kiedy dane osobowe mogą być przechowywane; zapewnia powiadomienia o przekroczeniu czasu przechowywania (np. system posiada termin (pole data) przechowywania, możliwość generowania powiadomień; </w:t>
      </w:r>
    </w:p>
    <w:p w14:paraId="61FEC5E0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funkcjonalność trwałego usunięcia danych osobowych lub funkcjonalność </w:t>
      </w:r>
      <w:proofErr w:type="spellStart"/>
      <w:r w:rsidRPr="006E7D67">
        <w:rPr>
          <w:rFonts w:cstheme="minorHAnsi"/>
          <w:color w:val="000000"/>
        </w:rPr>
        <w:t>anonimizacji</w:t>
      </w:r>
      <w:proofErr w:type="spellEnd"/>
      <w:r w:rsidRPr="006E7D67">
        <w:rPr>
          <w:rFonts w:cstheme="minorHAnsi"/>
          <w:color w:val="000000"/>
        </w:rPr>
        <w:t xml:space="preserve"> na poziomie aplikacji; </w:t>
      </w:r>
    </w:p>
    <w:p w14:paraId="05F9FC98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możliwość ograniczenia zakresu przetwarzanych danych osobowych (w tym wyświetlanych) do minimalnej możliwej wartości w każdym momencie przetwarzania; </w:t>
      </w:r>
    </w:p>
    <w:p w14:paraId="625BFB01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możliwość zarządzania logami w zakresie dodania, edycji i usunięcia danych osobowych (działania danego użytkownika muszą być jednoznacznie przypisywane temu użytkownikowi); </w:t>
      </w:r>
    </w:p>
    <w:p w14:paraId="7DB94082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możliwość odnotowania wszystkich czynności wykonywanych na danych co najmniej (np. id użytkownika datę oraz godzinę), możliwość odnotowania eksportowania danych; </w:t>
      </w:r>
    </w:p>
    <w:p w14:paraId="46ECB1B0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mechanizm zabezpieczający przed nieautoryzowanym modyfikowaniem lub usuwaniem zapisów; </w:t>
      </w:r>
    </w:p>
    <w:p w14:paraId="01698D86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 xml:space="preserve">mechanizm szyfrowania danych osobowych na poziomie komunikacji aplikacji z bazą danych, zapewnia szyfrowanie bazy danych. </w:t>
      </w:r>
    </w:p>
    <w:p w14:paraId="49670653" w14:textId="77777777" w:rsidR="006E7D67" w:rsidRPr="006E7D67" w:rsidRDefault="006E7D67" w:rsidP="006E7D6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System zapewnia realizację praw podmiotów danych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RODO), poprzez możliwość edycji, usuwania lub odpowiedniego znakowania danych, w następującym zakresie:</w:t>
      </w:r>
    </w:p>
    <w:p w14:paraId="106A8449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Ograniczenie okresu przetwarzania danych do zgodnego z celem ich przetwarzania (ograniczenie przechowywania) (Artykuł 5. punkt 1 e RODO);</w:t>
      </w:r>
    </w:p>
    <w:p w14:paraId="61619333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Wycofanie zgody, na podstawie której przetwarzane są dane (Artykuł 7. punkt 3 RODO);</w:t>
      </w:r>
    </w:p>
    <w:p w14:paraId="7758EB95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prawa dostępu osobie, której dane dotyczą (Artykuł 15. punkt 3 RODO);</w:t>
      </w:r>
    </w:p>
    <w:p w14:paraId="2952AE17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prawa do sprostowania danych (Artykuł 16 RODO);</w:t>
      </w:r>
    </w:p>
    <w:p w14:paraId="63ED5EAD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prawa do bycia zapomnianym (Artykuł 17 RODO);</w:t>
      </w:r>
    </w:p>
    <w:p w14:paraId="24560723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prawa do ograniczenia przetwarzania (Artykuł 18 RODO);</w:t>
      </w:r>
    </w:p>
    <w:p w14:paraId="135C9FF6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prawa do przenoszenia danych (Artykuł 20 RODO);</w:t>
      </w:r>
    </w:p>
    <w:p w14:paraId="63715677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prawa do sprzeciwu (Artykuł 21 RODO);</w:t>
      </w:r>
    </w:p>
    <w:p w14:paraId="0E0EF29E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prawa do niepodlegania zautomatyzowanemu podejmowaniu decyzji, w tym profilowaniu (Artykuł 22 RODO);</w:t>
      </w:r>
    </w:p>
    <w:p w14:paraId="6E7E53A3" w14:textId="77777777" w:rsidR="006E7D67" w:rsidRPr="006E7D67" w:rsidRDefault="006E7D67" w:rsidP="006E7D67">
      <w:pPr>
        <w:numPr>
          <w:ilvl w:val="1"/>
          <w:numId w:val="6"/>
        </w:numPr>
        <w:autoSpaceDE w:val="0"/>
        <w:autoSpaceDN w:val="0"/>
        <w:adjustRightInd w:val="0"/>
        <w:spacing w:after="8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Realizację decyzji organu nadzorczego o czasowym lub całkowitym ograniczeniu przetwarzania, w tym zakazu przetwarzania (Artykuł 58. punkt 2 f RODO).</w:t>
      </w:r>
    </w:p>
    <w:p w14:paraId="7F5B95EA" w14:textId="77777777" w:rsidR="006E7D67" w:rsidRPr="006E7D67" w:rsidRDefault="006E7D67" w:rsidP="006E7D6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System umożliwia podawanie informacji, o których mowa w art. 13 lub 14 ROO, podmiotowi danych:</w:t>
      </w:r>
    </w:p>
    <w:p w14:paraId="77931C07" w14:textId="77777777" w:rsidR="006E7D67" w:rsidRPr="006E7D67" w:rsidRDefault="006E7D67" w:rsidP="006E7D6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Calibri" w:cstheme="minorHAnsi"/>
        </w:rPr>
      </w:pPr>
      <w:r w:rsidRPr="006E7D67">
        <w:rPr>
          <w:rFonts w:cstheme="minorHAnsi"/>
          <w:color w:val="000000"/>
        </w:rPr>
        <w:lastRenderedPageBreak/>
        <w:t>5.1. Mechanizm potwierdzania zapoznania się przez podmiot danych z tymi informacjami podczas ich przekazywania;</w:t>
      </w:r>
    </w:p>
    <w:p w14:paraId="61A739A5" w14:textId="77777777" w:rsidR="006E7D67" w:rsidRPr="006E7D67" w:rsidRDefault="006E7D67" w:rsidP="006E7D67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cstheme="minorHAnsi"/>
          <w:color w:val="000000"/>
        </w:rPr>
      </w:pPr>
      <w:r w:rsidRPr="006E7D67">
        <w:rPr>
          <w:rFonts w:cstheme="minorHAnsi"/>
          <w:color w:val="000000"/>
        </w:rPr>
        <w:t>5.2. Mechanizm potwierdzenia wyrażenia zgody na przetwarzanie danych osobowych, w przypadku gdy podstawą przetwarzania jest zgoda osoby.</w:t>
      </w:r>
    </w:p>
    <w:p w14:paraId="728E4BC0" w14:textId="77777777" w:rsidR="006E7D67" w:rsidRPr="00183675" w:rsidRDefault="006E7D67" w:rsidP="006E7D67">
      <w:pPr>
        <w:jc w:val="both"/>
        <w:rPr>
          <w:rFonts w:ascii="Calibri Light" w:hAnsi="Calibri Light" w:cs="Calibri Light"/>
          <w:b/>
          <w:bCs/>
        </w:rPr>
      </w:pPr>
    </w:p>
    <w:bookmarkEnd w:id="2"/>
    <w:p w14:paraId="3F18D3E9" w14:textId="6E700F89" w:rsidR="006934DC" w:rsidRPr="003B6768" w:rsidRDefault="006934DC" w:rsidP="006934DC">
      <w:pPr>
        <w:spacing w:after="0"/>
        <w:rPr>
          <w:rFonts w:cstheme="minorHAnsi"/>
        </w:rPr>
      </w:pPr>
      <w:r>
        <w:rPr>
          <w:rFonts w:asciiTheme="majorHAnsi" w:hAnsiTheme="majorHAnsi" w:cstheme="majorHAnsi"/>
          <w:b/>
          <w:bCs/>
        </w:rPr>
        <w:t xml:space="preserve">    </w:t>
      </w:r>
      <w:r w:rsidRPr="003B6768">
        <w:rPr>
          <w:rFonts w:asciiTheme="majorHAnsi" w:hAnsiTheme="majorHAnsi" w:cstheme="majorHAnsi"/>
        </w:rPr>
        <w:t xml:space="preserve"> </w:t>
      </w:r>
      <w:r w:rsidRPr="003B6768">
        <w:rPr>
          <w:rFonts w:cstheme="minorHAnsi"/>
        </w:rPr>
        <w:t xml:space="preserve">Oświadczam, iż zapoznałem/łam się z ww. specyfikacją </w:t>
      </w:r>
      <w:r w:rsidR="003B6768" w:rsidRPr="003B6768">
        <w:rPr>
          <w:rFonts w:cstheme="minorHAnsi"/>
        </w:rPr>
        <w:t>P</w:t>
      </w:r>
      <w:r w:rsidRPr="003B6768">
        <w:rPr>
          <w:rFonts w:cstheme="minorHAnsi"/>
        </w:rPr>
        <w:t xml:space="preserve">rzedmiotu </w:t>
      </w:r>
      <w:r w:rsidR="003B6768" w:rsidRPr="003B6768">
        <w:rPr>
          <w:rFonts w:cstheme="minorHAnsi"/>
        </w:rPr>
        <w:t>Z</w:t>
      </w:r>
      <w:r w:rsidRPr="003B6768">
        <w:rPr>
          <w:rFonts w:cstheme="minorHAnsi"/>
        </w:rPr>
        <w:t>amówienia</w:t>
      </w:r>
    </w:p>
    <w:p w14:paraId="36866EC8" w14:textId="5EFF61EA" w:rsidR="006934DC" w:rsidRDefault="006934DC" w:rsidP="006934DC">
      <w:pPr>
        <w:spacing w:after="0" w:line="240" w:lineRule="auto"/>
        <w:rPr>
          <w:rFonts w:asciiTheme="majorHAnsi" w:eastAsia="MS Mincho" w:hAnsiTheme="majorHAnsi" w:cstheme="majorHAnsi"/>
          <w:sz w:val="20"/>
          <w:szCs w:val="20"/>
          <w:lang w:val="cs-CZ"/>
        </w:rPr>
      </w:pPr>
    </w:p>
    <w:p w14:paraId="065C4719" w14:textId="58452F64" w:rsidR="003B6768" w:rsidRDefault="003B6768" w:rsidP="006934DC">
      <w:pPr>
        <w:spacing w:after="0" w:line="240" w:lineRule="auto"/>
        <w:rPr>
          <w:rFonts w:asciiTheme="majorHAnsi" w:eastAsia="MS Mincho" w:hAnsiTheme="majorHAnsi" w:cstheme="majorHAnsi"/>
          <w:sz w:val="20"/>
          <w:szCs w:val="20"/>
          <w:lang w:val="cs-CZ"/>
        </w:rPr>
      </w:pPr>
    </w:p>
    <w:p w14:paraId="7137F6CD" w14:textId="77777777" w:rsidR="003B6768" w:rsidRDefault="003B6768" w:rsidP="006934DC">
      <w:pPr>
        <w:spacing w:after="0" w:line="240" w:lineRule="auto"/>
        <w:rPr>
          <w:rFonts w:asciiTheme="majorHAnsi" w:eastAsia="MS Mincho" w:hAnsiTheme="majorHAnsi" w:cstheme="majorHAnsi"/>
          <w:sz w:val="20"/>
          <w:szCs w:val="20"/>
          <w:lang w:val="cs-CZ"/>
        </w:rPr>
      </w:pPr>
    </w:p>
    <w:p w14:paraId="763487A8" w14:textId="77777777" w:rsidR="003B6768" w:rsidRPr="006A6A84" w:rsidRDefault="003B6768" w:rsidP="006934DC">
      <w:pPr>
        <w:spacing w:after="0" w:line="240" w:lineRule="auto"/>
        <w:rPr>
          <w:rFonts w:asciiTheme="majorHAnsi" w:eastAsia="MS Mincho" w:hAnsiTheme="majorHAnsi" w:cstheme="majorHAnsi"/>
          <w:sz w:val="20"/>
          <w:szCs w:val="20"/>
          <w:lang w:val="cs-CZ"/>
        </w:rPr>
      </w:pPr>
    </w:p>
    <w:p w14:paraId="5E54C007" w14:textId="77777777" w:rsidR="006934DC" w:rsidRDefault="006934DC" w:rsidP="006934DC">
      <w:pPr>
        <w:tabs>
          <w:tab w:val="left" w:pos="1548"/>
        </w:tabs>
        <w:spacing w:after="0"/>
        <w:rPr>
          <w:rFonts w:ascii="Times New Roman" w:hAnsi="Times New Roman" w:cs="Times New Roman"/>
        </w:rPr>
      </w:pPr>
    </w:p>
    <w:p w14:paraId="7457B06B" w14:textId="77777777" w:rsidR="006934DC" w:rsidRPr="00F23CF6" w:rsidRDefault="006934DC" w:rsidP="006934DC">
      <w:pPr>
        <w:spacing w:line="288" w:lineRule="auto"/>
        <w:ind w:left="2880"/>
        <w:jc w:val="center"/>
        <w:rPr>
          <w:rFonts w:cstheme="minorHAnsi"/>
        </w:rPr>
      </w:pPr>
      <w:r>
        <w:rPr>
          <w:rFonts w:cstheme="minorHAnsi"/>
        </w:rPr>
        <w:t>.</w:t>
      </w:r>
      <w:r w:rsidRPr="00F23CF6">
        <w:rPr>
          <w:rFonts w:cstheme="minorHAnsi"/>
        </w:rPr>
        <w:t>………………………………………………………………………….</w:t>
      </w:r>
    </w:p>
    <w:p w14:paraId="7CCB6A0C" w14:textId="4DC7702F" w:rsidR="00BC5941" w:rsidRPr="0081752E" w:rsidRDefault="006934DC" w:rsidP="0081752E">
      <w:pPr>
        <w:spacing w:line="288" w:lineRule="auto"/>
        <w:ind w:left="2880"/>
        <w:jc w:val="center"/>
        <w:rPr>
          <w:rFonts w:cstheme="minorHAnsi"/>
        </w:rPr>
      </w:pPr>
      <w:r w:rsidRPr="00F23CF6">
        <w:rPr>
          <w:rFonts w:cstheme="minorHAnsi"/>
        </w:rPr>
        <w:t>Data, podpis i pieczęć upoważnionego przedstawiciela Oferenta</w:t>
      </w:r>
      <w:r w:rsidR="00394209" w:rsidRPr="006934DC">
        <w:rPr>
          <w:rFonts w:eastAsia="Times New Roman"/>
        </w:rPr>
        <w:t xml:space="preserve">                                      </w:t>
      </w:r>
    </w:p>
    <w:sectPr w:rsidR="00BC5941" w:rsidRPr="0081752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DD4D" w14:textId="77777777" w:rsidR="003F7617" w:rsidRDefault="003F7617" w:rsidP="00226795">
      <w:pPr>
        <w:spacing w:after="0" w:line="240" w:lineRule="auto"/>
      </w:pPr>
      <w:r>
        <w:separator/>
      </w:r>
    </w:p>
  </w:endnote>
  <w:endnote w:type="continuationSeparator" w:id="0">
    <w:p w14:paraId="13AEF793" w14:textId="77777777" w:rsidR="003F7617" w:rsidRDefault="003F7617" w:rsidP="0022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63450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6D73CB80" w14:textId="1A2615CD" w:rsidR="00F33FC8" w:rsidRPr="00F33FC8" w:rsidRDefault="00F33FC8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F33FC8">
          <w:rPr>
            <w:sz w:val="20"/>
            <w:szCs w:val="20"/>
          </w:rPr>
          <w:fldChar w:fldCharType="begin"/>
        </w:r>
        <w:r w:rsidRPr="00F33FC8">
          <w:rPr>
            <w:sz w:val="20"/>
            <w:szCs w:val="20"/>
          </w:rPr>
          <w:instrText>PAGE   \* MERGEFORMAT</w:instrText>
        </w:r>
        <w:r w:rsidRPr="00F33FC8">
          <w:rPr>
            <w:sz w:val="20"/>
            <w:szCs w:val="20"/>
          </w:rPr>
          <w:fldChar w:fldCharType="separate"/>
        </w:r>
        <w:r w:rsidRPr="00F33FC8">
          <w:rPr>
            <w:sz w:val="20"/>
            <w:szCs w:val="20"/>
          </w:rPr>
          <w:t>2</w:t>
        </w:r>
        <w:r w:rsidRPr="00F33FC8">
          <w:rPr>
            <w:sz w:val="20"/>
            <w:szCs w:val="20"/>
          </w:rPr>
          <w:fldChar w:fldCharType="end"/>
        </w:r>
        <w:r w:rsidRPr="00F33FC8">
          <w:rPr>
            <w:sz w:val="20"/>
            <w:szCs w:val="20"/>
          </w:rPr>
          <w:t xml:space="preserve"> | </w:t>
        </w:r>
        <w:r w:rsidRPr="00F33FC8">
          <w:rPr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06F0926A" w14:textId="77777777" w:rsidR="00394209" w:rsidRDefault="00394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E7DF5" w14:textId="77777777" w:rsidR="003F7617" w:rsidRDefault="003F7617" w:rsidP="00226795">
      <w:pPr>
        <w:spacing w:after="0" w:line="240" w:lineRule="auto"/>
      </w:pPr>
      <w:r>
        <w:separator/>
      </w:r>
    </w:p>
  </w:footnote>
  <w:footnote w:type="continuationSeparator" w:id="0">
    <w:p w14:paraId="2A06CD7E" w14:textId="77777777" w:rsidR="003F7617" w:rsidRDefault="003F7617" w:rsidP="00226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EC20" w14:textId="28B4F7FD" w:rsidR="00DD79F5" w:rsidRDefault="00E1098C" w:rsidP="00DD79F5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A0AAA01" wp14:editId="61E7D423">
          <wp:extent cx="877682" cy="468097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367" cy="472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9F5">
      <w:rPr>
        <w:noProof/>
        <w:lang w:eastAsia="pl-PL"/>
      </w:rPr>
      <w:drawing>
        <wp:inline distT="0" distB="0" distL="0" distR="0" wp14:anchorId="454FBEAF" wp14:editId="040CF44A">
          <wp:extent cx="1302838" cy="433801"/>
          <wp:effectExtent l="0" t="0" r="0" b="444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499" cy="44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9F5">
      <w:rPr>
        <w:noProof/>
        <w:lang w:eastAsia="pl-PL"/>
      </w:rPr>
      <w:drawing>
        <wp:inline distT="0" distB="0" distL="0" distR="0" wp14:anchorId="538F7755" wp14:editId="37318B08">
          <wp:extent cx="1183341" cy="415345"/>
          <wp:effectExtent l="0" t="0" r="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127" cy="42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9F5">
      <w:rPr>
        <w:noProof/>
        <w:lang w:eastAsia="pl-PL"/>
      </w:rPr>
      <w:drawing>
        <wp:inline distT="0" distB="0" distL="0" distR="0" wp14:anchorId="1028C6A8" wp14:editId="19A9E558">
          <wp:extent cx="1339816" cy="437608"/>
          <wp:effectExtent l="0" t="0" r="0" b="63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77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330856" w14:textId="7B0778F2" w:rsidR="00DD79F5" w:rsidRPr="00DD79F5" w:rsidRDefault="00DD79F5" w:rsidP="00DD79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6B4C"/>
    <w:multiLevelType w:val="multilevel"/>
    <w:tmpl w:val="5AA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CA261D"/>
    <w:multiLevelType w:val="hybridMultilevel"/>
    <w:tmpl w:val="9A8420EA"/>
    <w:lvl w:ilvl="0" w:tplc="0D802AB2">
      <w:numFmt w:val="bullet"/>
      <w:lvlText w:val="•"/>
      <w:lvlJc w:val="left"/>
      <w:pPr>
        <w:ind w:left="2444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" w15:restartNumberingAfterBreak="0">
    <w:nsid w:val="5B4A6374"/>
    <w:multiLevelType w:val="hybridMultilevel"/>
    <w:tmpl w:val="F0BCE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5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737A3"/>
    <w:multiLevelType w:val="hybridMultilevel"/>
    <w:tmpl w:val="659464C0"/>
    <w:lvl w:ilvl="0" w:tplc="9EE05F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E5C03"/>
    <w:multiLevelType w:val="hybridMultilevel"/>
    <w:tmpl w:val="332EF8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43"/>
    <w:rsid w:val="000153E5"/>
    <w:rsid w:val="00036193"/>
    <w:rsid w:val="0005201B"/>
    <w:rsid w:val="00061052"/>
    <w:rsid w:val="0007719D"/>
    <w:rsid w:val="000C75E1"/>
    <w:rsid w:val="000D6FA1"/>
    <w:rsid w:val="000E0BD2"/>
    <w:rsid w:val="000F71FA"/>
    <w:rsid w:val="00127A30"/>
    <w:rsid w:val="00165A4B"/>
    <w:rsid w:val="00175E17"/>
    <w:rsid w:val="00183675"/>
    <w:rsid w:val="001857B0"/>
    <w:rsid w:val="001950CE"/>
    <w:rsid w:val="001A1415"/>
    <w:rsid w:val="001A2F2C"/>
    <w:rsid w:val="001C78FF"/>
    <w:rsid w:val="00224C33"/>
    <w:rsid w:val="00226795"/>
    <w:rsid w:val="002D403C"/>
    <w:rsid w:val="0032585D"/>
    <w:rsid w:val="00394209"/>
    <w:rsid w:val="003A2A6E"/>
    <w:rsid w:val="003B52E3"/>
    <w:rsid w:val="003B6768"/>
    <w:rsid w:val="003C378F"/>
    <w:rsid w:val="003C7616"/>
    <w:rsid w:val="003D0501"/>
    <w:rsid w:val="003F7617"/>
    <w:rsid w:val="00400AC1"/>
    <w:rsid w:val="004014E6"/>
    <w:rsid w:val="004159FB"/>
    <w:rsid w:val="00440128"/>
    <w:rsid w:val="00463226"/>
    <w:rsid w:val="00487FD5"/>
    <w:rsid w:val="004E5B19"/>
    <w:rsid w:val="00510ED3"/>
    <w:rsid w:val="005201AB"/>
    <w:rsid w:val="00530DAF"/>
    <w:rsid w:val="00592007"/>
    <w:rsid w:val="00597E28"/>
    <w:rsid w:val="005A6BA0"/>
    <w:rsid w:val="005F7BA3"/>
    <w:rsid w:val="00612E78"/>
    <w:rsid w:val="006245E6"/>
    <w:rsid w:val="00667870"/>
    <w:rsid w:val="006806B7"/>
    <w:rsid w:val="006934DC"/>
    <w:rsid w:val="006A3CEB"/>
    <w:rsid w:val="006C31C5"/>
    <w:rsid w:val="006D544C"/>
    <w:rsid w:val="006E7D67"/>
    <w:rsid w:val="00711BD1"/>
    <w:rsid w:val="007146B0"/>
    <w:rsid w:val="00767EC7"/>
    <w:rsid w:val="007723EF"/>
    <w:rsid w:val="007B7EFD"/>
    <w:rsid w:val="007D62CE"/>
    <w:rsid w:val="00803865"/>
    <w:rsid w:val="0081752E"/>
    <w:rsid w:val="008240F9"/>
    <w:rsid w:val="0088360A"/>
    <w:rsid w:val="008C0744"/>
    <w:rsid w:val="0091489E"/>
    <w:rsid w:val="009B7A26"/>
    <w:rsid w:val="00A13852"/>
    <w:rsid w:val="00A208AB"/>
    <w:rsid w:val="00A32682"/>
    <w:rsid w:val="00A50818"/>
    <w:rsid w:val="00A5521A"/>
    <w:rsid w:val="00AA3683"/>
    <w:rsid w:val="00AC1A85"/>
    <w:rsid w:val="00AC1F07"/>
    <w:rsid w:val="00AC2A57"/>
    <w:rsid w:val="00AF5F43"/>
    <w:rsid w:val="00B01995"/>
    <w:rsid w:val="00B17BC7"/>
    <w:rsid w:val="00B63893"/>
    <w:rsid w:val="00B6737F"/>
    <w:rsid w:val="00B70033"/>
    <w:rsid w:val="00B80A7F"/>
    <w:rsid w:val="00BC5941"/>
    <w:rsid w:val="00BC5A10"/>
    <w:rsid w:val="00BD33E4"/>
    <w:rsid w:val="00BE08D6"/>
    <w:rsid w:val="00C32C8E"/>
    <w:rsid w:val="00C65620"/>
    <w:rsid w:val="00C962B4"/>
    <w:rsid w:val="00CB2691"/>
    <w:rsid w:val="00CB55C6"/>
    <w:rsid w:val="00CF2A33"/>
    <w:rsid w:val="00CF5241"/>
    <w:rsid w:val="00CF5358"/>
    <w:rsid w:val="00D01DD7"/>
    <w:rsid w:val="00D2092A"/>
    <w:rsid w:val="00D348CA"/>
    <w:rsid w:val="00D508E1"/>
    <w:rsid w:val="00D62A2F"/>
    <w:rsid w:val="00D64153"/>
    <w:rsid w:val="00D76F0E"/>
    <w:rsid w:val="00D9433F"/>
    <w:rsid w:val="00DB479F"/>
    <w:rsid w:val="00DD79F5"/>
    <w:rsid w:val="00E10727"/>
    <w:rsid w:val="00E1098C"/>
    <w:rsid w:val="00E4130D"/>
    <w:rsid w:val="00E55CCB"/>
    <w:rsid w:val="00E81370"/>
    <w:rsid w:val="00E93873"/>
    <w:rsid w:val="00EA40FD"/>
    <w:rsid w:val="00F12958"/>
    <w:rsid w:val="00F145B6"/>
    <w:rsid w:val="00F33FC8"/>
    <w:rsid w:val="00F41990"/>
    <w:rsid w:val="00F90177"/>
    <w:rsid w:val="00FC5A94"/>
    <w:rsid w:val="00FE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E2B4D"/>
  <w15:chartTrackingRefBased/>
  <w15:docId w15:val="{0460E9C3-5FFF-4F7D-8BFD-86CB436B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34DC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34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795"/>
  </w:style>
  <w:style w:type="paragraph" w:styleId="Stopka">
    <w:name w:val="footer"/>
    <w:basedOn w:val="Normalny"/>
    <w:link w:val="StopkaZnak"/>
    <w:uiPriority w:val="99"/>
    <w:unhideWhenUsed/>
    <w:rsid w:val="0022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795"/>
  </w:style>
  <w:style w:type="paragraph" w:styleId="Akapitzlist">
    <w:name w:val="List Paragraph"/>
    <w:basedOn w:val="Normalny"/>
    <w:uiPriority w:val="34"/>
    <w:qFormat/>
    <w:rsid w:val="0022679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D7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9F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6934D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34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4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4DC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6934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34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4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4D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83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zakapitami">
    <w:name w:val="Normalny z akapitami"/>
    <w:basedOn w:val="Normalny"/>
    <w:link w:val="NormalnyzakapitamiZnak"/>
    <w:qFormat/>
    <w:rsid w:val="0088360A"/>
    <w:pPr>
      <w:suppressAutoHyphens/>
      <w:spacing w:before="120" w:after="0" w:line="240" w:lineRule="auto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NormalnyzakapitamiZnak">
    <w:name w:val="Normalny z akapitami Znak"/>
    <w:basedOn w:val="Domylnaczcionkaakapitu"/>
    <w:link w:val="Normalnyzakapitami"/>
    <w:rsid w:val="0088360A"/>
    <w:rPr>
      <w:rFonts w:eastAsia="Times New Roman" w:cs="Times New Roman"/>
      <w:sz w:val="24"/>
      <w:szCs w:val="24"/>
      <w:lang w:eastAsia="ar-SA"/>
    </w:rPr>
  </w:style>
  <w:style w:type="paragraph" w:customStyle="1" w:styleId="Default">
    <w:name w:val="Default"/>
    <w:rsid w:val="008836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EE704AC0-E4F7-4FCE-B18D-654F1D16F9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9A9CB8-72A2-4162-994B-D4CBCD5A773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1666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Araki Dominika</dc:creator>
  <cp:keywords>#Kategoria: [Wewnętrzne/Nie zawiera danych osobowych]# </cp:keywords>
  <dc:description/>
  <cp:lastModifiedBy>Wójtowicz Joanna</cp:lastModifiedBy>
  <cp:revision>5</cp:revision>
  <dcterms:created xsi:type="dcterms:W3CDTF">2022-04-01T14:40:00Z</dcterms:created>
  <dcterms:modified xsi:type="dcterms:W3CDTF">2022-04-04T09:19:00Z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94bd9ed6-26e9-40e7-9e4d-b640057a4bc5</vt:lpwstr>
  </property>
  <property fmtid="{D5CDD505-2E9C-101B-9397-08002B2CF9AE}" pid="3" name="bjSaver">
    <vt:lpwstr>ne0E5HRjDaU47DbTVqzHa597pqV0Y8cx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