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399E" w14:textId="277CFA2B" w:rsidR="00770BB4" w:rsidRDefault="00770BB4" w:rsidP="00B1761B">
      <w:pPr>
        <w:jc w:val="right"/>
        <w:rPr>
          <w:rStyle w:val="normaltextrun"/>
          <w:rFonts w:ascii="Calibri" w:hAnsi="Calibri" w:cs="Calibri"/>
          <w:b/>
          <w:bCs/>
          <w:color w:val="000000" w:themeColor="text1"/>
          <w:shd w:val="clear" w:color="auto" w:fill="FFFFFF"/>
        </w:rPr>
      </w:pPr>
      <w:r w:rsidRPr="00770BB4">
        <w:rPr>
          <w:rStyle w:val="normaltextrun"/>
          <w:rFonts w:ascii="Calibri" w:hAnsi="Calibri" w:cs="Calibri"/>
          <w:b/>
          <w:bCs/>
          <w:color w:val="000000" w:themeColor="text1"/>
          <w:shd w:val="clear" w:color="auto" w:fill="FFFFFF"/>
        </w:rPr>
        <w:t>Załącznik nr 5 do Zapytania ofertowego</w:t>
      </w:r>
    </w:p>
    <w:p w14:paraId="0096197E" w14:textId="77777777" w:rsidR="00B1761B" w:rsidRPr="00770BB4" w:rsidRDefault="00B1761B" w:rsidP="00B1761B">
      <w:pPr>
        <w:jc w:val="right"/>
        <w:rPr>
          <w:rFonts w:ascii="Segoe UI" w:hAnsi="Segoe UI" w:cs="Segoe UI"/>
          <w:color w:val="000000" w:themeColor="text1"/>
          <w:sz w:val="18"/>
          <w:szCs w:val="18"/>
        </w:rPr>
      </w:pPr>
    </w:p>
    <w:p w14:paraId="53A1AEA2" w14:textId="19C3B8E0" w:rsidR="00770BB4" w:rsidRDefault="00770BB4" w:rsidP="00770BB4">
      <w:pPr>
        <w:jc w:val="center"/>
        <w:rPr>
          <w:rStyle w:val="normaltextrun"/>
          <w:rFonts w:ascii="Calibri" w:hAnsi="Calibri" w:cs="Calibri"/>
          <w:color w:val="000000" w:themeColor="text1"/>
          <w:shd w:val="clear" w:color="auto" w:fill="FFFFFF"/>
        </w:rPr>
      </w:pPr>
      <w:r w:rsidRPr="00770BB4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Dotyczy projektu: </w:t>
      </w:r>
      <w:r w:rsidRPr="00770BB4">
        <w:rPr>
          <w:rStyle w:val="normaltextrun"/>
          <w:rFonts w:ascii="Calibri" w:hAnsi="Calibri" w:cs="Calibri"/>
          <w:b/>
          <w:bCs/>
          <w:color w:val="000000" w:themeColor="text1"/>
          <w:shd w:val="clear" w:color="auto" w:fill="FFFFFF"/>
        </w:rPr>
        <w:t>„</w:t>
      </w:r>
      <w:r w:rsidRPr="00770BB4">
        <w:rPr>
          <w:rStyle w:val="spellingerror"/>
          <w:rFonts w:ascii="Calibri" w:hAnsi="Calibri" w:cs="Calibri"/>
          <w:b/>
          <w:bCs/>
          <w:color w:val="000000" w:themeColor="text1"/>
          <w:shd w:val="clear" w:color="auto" w:fill="FFFFFF"/>
        </w:rPr>
        <w:t>Vizja</w:t>
      </w:r>
      <w:r w:rsidRPr="00770BB4">
        <w:rPr>
          <w:rStyle w:val="normaltextrun"/>
          <w:rFonts w:ascii="Calibri" w:hAnsi="Calibri" w:cs="Calibri"/>
          <w:b/>
          <w:bCs/>
          <w:color w:val="000000" w:themeColor="text1"/>
          <w:shd w:val="clear" w:color="auto" w:fill="FFFFFF"/>
        </w:rPr>
        <w:t> przyszłości”</w:t>
      </w:r>
      <w:r w:rsidRPr="00770BB4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 </w:t>
      </w:r>
      <w:r w:rsidRPr="00770BB4">
        <w:rPr>
          <w:rStyle w:val="normaltextrun"/>
          <w:rFonts w:ascii="Calibri" w:hAnsi="Calibri" w:cs="Calibri"/>
          <w:b/>
          <w:bCs/>
          <w:color w:val="000000" w:themeColor="text1"/>
          <w:shd w:val="clear" w:color="auto" w:fill="FFFFFF"/>
        </w:rPr>
        <w:t>POWR.03.05.00-00-Z036/18, </w:t>
      </w:r>
      <w:r w:rsidRPr="00770BB4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współfinansowany z Programu Operacyjnego Wiedza Edukacja Rozwój </w:t>
      </w:r>
    </w:p>
    <w:p w14:paraId="049835BB" w14:textId="77777777" w:rsidR="00B1761B" w:rsidRPr="00770BB4" w:rsidRDefault="00B1761B" w:rsidP="00770BB4">
      <w:pPr>
        <w:jc w:val="center"/>
        <w:rPr>
          <w:rFonts w:ascii="Segoe UI" w:hAnsi="Segoe UI" w:cs="Segoe UI"/>
          <w:color w:val="000000" w:themeColor="text1"/>
          <w:sz w:val="18"/>
          <w:szCs w:val="18"/>
        </w:rPr>
      </w:pPr>
      <w:bookmarkStart w:id="0" w:name="_GoBack"/>
      <w:bookmarkEnd w:id="0"/>
    </w:p>
    <w:p w14:paraId="547AEE15" w14:textId="69879B06" w:rsidR="00770BB4" w:rsidRPr="00770BB4" w:rsidRDefault="00770BB4" w:rsidP="00770BB4">
      <w:pPr>
        <w:rPr>
          <w:rFonts w:ascii="Segoe UI" w:hAnsi="Segoe UI" w:cs="Segoe UI"/>
          <w:color w:val="000000" w:themeColor="text1"/>
          <w:sz w:val="18"/>
          <w:szCs w:val="18"/>
        </w:rPr>
      </w:pPr>
      <w:r w:rsidRPr="00770BB4">
        <w:rPr>
          <w:rStyle w:val="normaltextrun"/>
          <w:rFonts w:ascii="Calibri" w:hAnsi="Calibri" w:cs="Calibri"/>
          <w:b/>
          <w:bCs/>
          <w:color w:val="000000" w:themeColor="text1"/>
        </w:rPr>
        <w:t>Opis próbki nagrania audio/video</w:t>
      </w:r>
      <w:r w:rsidRPr="00770BB4">
        <w:rPr>
          <w:rStyle w:val="eop"/>
          <w:rFonts w:ascii="Calibri" w:hAnsi="Calibri" w:cs="Calibri"/>
          <w:color w:val="000000" w:themeColor="text1"/>
        </w:rPr>
        <w:t> </w:t>
      </w:r>
    </w:p>
    <w:p w14:paraId="0B0C8641" w14:textId="77777777" w:rsidR="00770BB4" w:rsidRPr="00770BB4" w:rsidRDefault="00770BB4" w:rsidP="00770BB4">
      <w:pPr>
        <w:rPr>
          <w:rFonts w:ascii="Segoe UI" w:hAnsi="Segoe UI" w:cs="Segoe UI"/>
          <w:color w:val="000000" w:themeColor="text1"/>
          <w:sz w:val="18"/>
          <w:szCs w:val="18"/>
        </w:rPr>
      </w:pPr>
      <w:r w:rsidRPr="00770BB4">
        <w:rPr>
          <w:rStyle w:val="normaltextrun"/>
          <w:rFonts w:ascii="Calibri" w:hAnsi="Calibri" w:cs="Calibri"/>
          <w:color w:val="000000" w:themeColor="text1"/>
        </w:rPr>
        <w:t xml:space="preserve">Nagranie powinno zostać zapisane w formacie mp4 lub </w:t>
      </w:r>
      <w:proofErr w:type="spellStart"/>
      <w:r w:rsidRPr="00770BB4">
        <w:rPr>
          <w:rStyle w:val="spellingerror"/>
          <w:rFonts w:ascii="Calibri" w:hAnsi="Calibri" w:cs="Calibri"/>
          <w:color w:val="000000" w:themeColor="text1"/>
        </w:rPr>
        <w:t>mov</w:t>
      </w:r>
      <w:proofErr w:type="spellEnd"/>
      <w:r w:rsidRPr="00770BB4">
        <w:rPr>
          <w:rStyle w:val="normaltextrun"/>
          <w:rFonts w:ascii="Calibri" w:hAnsi="Calibri" w:cs="Calibri"/>
          <w:color w:val="000000" w:themeColor="text1"/>
        </w:rPr>
        <w:t>.</w:t>
      </w:r>
      <w:r w:rsidRPr="00770BB4">
        <w:rPr>
          <w:rStyle w:val="eop"/>
          <w:rFonts w:ascii="Calibri" w:hAnsi="Calibri" w:cs="Calibri"/>
          <w:color w:val="000000" w:themeColor="text1"/>
        </w:rPr>
        <w:t> </w:t>
      </w:r>
    </w:p>
    <w:p w14:paraId="7A87314B" w14:textId="77777777" w:rsidR="00770BB4" w:rsidRPr="00770BB4" w:rsidRDefault="00770BB4" w:rsidP="00770BB4">
      <w:pPr>
        <w:rPr>
          <w:rFonts w:ascii="Segoe UI" w:hAnsi="Segoe UI" w:cs="Segoe UI"/>
          <w:color w:val="000000" w:themeColor="text1"/>
          <w:sz w:val="18"/>
          <w:szCs w:val="18"/>
        </w:rPr>
      </w:pPr>
      <w:r w:rsidRPr="00770BB4">
        <w:rPr>
          <w:rStyle w:val="normaltextrun"/>
          <w:rFonts w:ascii="Calibri" w:hAnsi="Calibri" w:cs="Calibri"/>
          <w:color w:val="000000" w:themeColor="text1"/>
        </w:rPr>
        <w:t>Nagranie powinno zostać wykonane w języku polskim.</w:t>
      </w:r>
      <w:r w:rsidRPr="00770BB4">
        <w:rPr>
          <w:rStyle w:val="eop"/>
          <w:rFonts w:ascii="Calibri" w:hAnsi="Calibri" w:cs="Calibri"/>
          <w:color w:val="000000" w:themeColor="text1"/>
        </w:rPr>
        <w:t> </w:t>
      </w:r>
    </w:p>
    <w:p w14:paraId="2F7B079A" w14:textId="77777777" w:rsidR="00770BB4" w:rsidRPr="00770BB4" w:rsidRDefault="00770BB4" w:rsidP="00770BB4">
      <w:pPr>
        <w:rPr>
          <w:rStyle w:val="eop"/>
          <w:rFonts w:ascii="Calibri" w:hAnsi="Calibri" w:cs="Calibri"/>
          <w:color w:val="000000" w:themeColor="text1"/>
        </w:rPr>
      </w:pPr>
      <w:r w:rsidRPr="00770BB4">
        <w:rPr>
          <w:rStyle w:val="normaltextrun"/>
          <w:rFonts w:ascii="Calibri" w:hAnsi="Calibri" w:cs="Calibri"/>
          <w:color w:val="000000" w:themeColor="text1"/>
        </w:rPr>
        <w:t>Nagranie powinno przedstawiać poniższą treść:</w:t>
      </w:r>
      <w:r w:rsidRPr="00770BB4">
        <w:rPr>
          <w:rStyle w:val="eop"/>
          <w:rFonts w:ascii="Calibri" w:hAnsi="Calibri" w:cs="Calibri"/>
          <w:color w:val="000000" w:themeColor="text1"/>
        </w:rPr>
        <w:t> </w:t>
      </w:r>
    </w:p>
    <w:p w14:paraId="1DDF7471" w14:textId="77777777" w:rsidR="00770BB4" w:rsidRPr="00770BB4" w:rsidRDefault="00770BB4" w:rsidP="00770BB4">
      <w:pPr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</w:pP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  <w:shd w:val="clear" w:color="auto" w:fill="EDEBE9"/>
        </w:rPr>
        <w:t>Dyslipidemia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  <w:t> to zaburzenie, w którym stężenia lipidów i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  <w:shd w:val="clear" w:color="auto" w:fill="EDEBE9"/>
        </w:rPr>
        <w:t>lipoprotein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  <w:t> w osoczu nie odpowiadają wartościom uznanym za pożądane. </w:t>
      </w:r>
    </w:p>
    <w:p w14:paraId="2082D032" w14:textId="77777777" w:rsidR="00770BB4" w:rsidRPr="00770BB4" w:rsidRDefault="00770BB4" w:rsidP="00770BB4">
      <w:pPr>
        <w:rPr>
          <w:rFonts w:eastAsia="Times New Roman"/>
          <w:i/>
          <w:iCs/>
          <w:color w:val="000000" w:themeColor="text1"/>
          <w:lang w:val="en-US" w:eastAsia="pl-PL"/>
        </w:rPr>
      </w:pPr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Wartości uznane za pożądane zależą od całkowitego ryzyka sercowo-naczyniowego u pacjenta, o czym jest mowa w innej części tego kursu.</w:t>
      </w:r>
      <w:r w:rsidRPr="00770BB4">
        <w:rPr>
          <w:rFonts w:eastAsia="Times New Roman"/>
          <w:i/>
          <w:iCs/>
          <w:color w:val="000000" w:themeColor="text1"/>
          <w:sz w:val="24"/>
          <w:szCs w:val="24"/>
          <w:lang w:val="en-US" w:eastAsia="pl-PL"/>
        </w:rPr>
        <w:t>​</w:t>
      </w:r>
      <w:r w:rsidRPr="00770BB4">
        <w:rPr>
          <w:rFonts w:eastAsia="Times New Roman"/>
          <w:i/>
          <w:iCs/>
          <w:color w:val="000000" w:themeColor="text1"/>
          <w:lang w:val="en-US" w:eastAsia="pl-PL"/>
        </w:rPr>
        <w:t xml:space="preserve"> </w:t>
      </w:r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U pacjentów bez objawów chorób sercowo-naczyniowych na tle miażdżycy preferowanym narzędziem oceny ryzyka ogólnego są tablice Pol-SCORE wystandaryzowane dla populacji polskiej.</w:t>
      </w:r>
      <w:r w:rsidRPr="00770BB4">
        <w:rPr>
          <w:rFonts w:eastAsia="Times New Roman"/>
          <w:i/>
          <w:iCs/>
          <w:color w:val="000000" w:themeColor="text1"/>
          <w:lang w:val="en-US" w:eastAsia="pl-PL"/>
        </w:rPr>
        <w:t xml:space="preserve"> </w:t>
      </w:r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Na początku omówmy w uproszczony sposób budowę określonych lipidów.</w:t>
      </w:r>
      <w:r w:rsidRPr="00770BB4">
        <w:rPr>
          <w:rFonts w:eastAsia="Times New Roman"/>
          <w:i/>
          <w:iCs/>
          <w:color w:val="000000" w:themeColor="text1"/>
          <w:sz w:val="24"/>
          <w:szCs w:val="24"/>
          <w:lang w:val="en-US" w:eastAsia="pl-PL"/>
        </w:rPr>
        <w:t>​</w:t>
      </w:r>
      <w:r w:rsidRPr="00770BB4">
        <w:rPr>
          <w:rFonts w:eastAsia="Times New Roman"/>
          <w:i/>
          <w:iCs/>
          <w:color w:val="000000" w:themeColor="text1"/>
          <w:lang w:val="en-US" w:eastAsia="pl-PL"/>
        </w:rPr>
        <w:t xml:space="preserve"> </w:t>
      </w:r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Należy pamiętać, że określone lipidy mają charakter hydrofobowy, dlatego też we krwi są one transportowane w postaci rozpuszczalnych kompleksów z białkami osoczowymi, nazywanych kompleksami lipoproteinowymi. </w:t>
      </w:r>
    </w:p>
    <w:p w14:paraId="5579CA08" w14:textId="77777777" w:rsidR="00770BB4" w:rsidRPr="00770BB4" w:rsidRDefault="00770BB4" w:rsidP="00770BB4">
      <w:pPr>
        <w:rPr>
          <w:i/>
          <w:iCs/>
          <w:color w:val="000000" w:themeColor="text1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Wnętrze kompleksu lipoproteinowego stanowi silnie hydrofobowy rdzeń, złożony z: 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3C4873C4" w14:textId="77777777" w:rsidR="00770BB4" w:rsidRPr="00770BB4" w:rsidRDefault="00770BB4" w:rsidP="00770BB4">
      <w:pPr>
        <w:pStyle w:val="Akapitzlist"/>
        <w:numPr>
          <w:ilvl w:val="0"/>
          <w:numId w:val="1"/>
        </w:numPr>
        <w:rPr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triacylogliceroli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 i 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428DFE65" w14:textId="77777777" w:rsidR="00770BB4" w:rsidRPr="00770BB4" w:rsidRDefault="00770BB4" w:rsidP="00770BB4">
      <w:pPr>
        <w:pStyle w:val="Akapitzlist"/>
        <w:numPr>
          <w:ilvl w:val="0"/>
          <w:numId w:val="1"/>
        </w:numPr>
        <w:rPr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estrów cholesterolu. </w:t>
      </w:r>
    </w:p>
    <w:p w14:paraId="5C653A83" w14:textId="77777777" w:rsidR="00770BB4" w:rsidRPr="00770BB4" w:rsidRDefault="00770BB4" w:rsidP="00770BB4">
      <w:pPr>
        <w:rPr>
          <w:i/>
          <w:iCs/>
          <w:color w:val="000000" w:themeColor="text1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Rdzeń ten jest otoczony hydroﬁlną powłoką zbudowaną z lipidów posiadających grupy polarne, takich jak: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32829AEB" w14:textId="77777777" w:rsidR="00770BB4" w:rsidRPr="00770BB4" w:rsidRDefault="00770BB4" w:rsidP="00770BB4">
      <w:pPr>
        <w:pStyle w:val="Akapitzlist"/>
        <w:numPr>
          <w:ilvl w:val="0"/>
          <w:numId w:val="1"/>
        </w:numPr>
        <w:rPr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fosfolipidy, 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577DEF5A" w14:textId="77777777" w:rsidR="00770BB4" w:rsidRPr="00770BB4" w:rsidRDefault="00770BB4" w:rsidP="00770BB4">
      <w:pPr>
        <w:pStyle w:val="Akapitzlist"/>
        <w:numPr>
          <w:ilvl w:val="0"/>
          <w:numId w:val="1"/>
        </w:numPr>
        <w:rPr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wolnego cholesterolu oraz z 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15544290" w14:textId="77777777" w:rsidR="00770BB4" w:rsidRPr="00770BB4" w:rsidRDefault="00770BB4" w:rsidP="00770BB4">
      <w:pPr>
        <w:pStyle w:val="Akapitzlist"/>
        <w:numPr>
          <w:ilvl w:val="0"/>
          <w:numId w:val="1"/>
        </w:numPr>
        <w:rPr>
          <w:rStyle w:val="normaltextrun"/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białek zwanych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apoproteinami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.</w:t>
      </w:r>
    </w:p>
    <w:p w14:paraId="5C8A533F" w14:textId="77777777" w:rsidR="00770BB4" w:rsidRPr="00770BB4" w:rsidRDefault="00770BB4" w:rsidP="00770BB4">
      <w:pPr>
        <w:rPr>
          <w:i/>
          <w:iCs/>
          <w:color w:val="000000" w:themeColor="text1"/>
          <w:lang w:val="en-US"/>
        </w:rPr>
      </w:pP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Apoproteiny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 są hydroﬁlnymi składnikami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lipoprotein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, które: 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41A875EC" w14:textId="77777777" w:rsidR="00770BB4" w:rsidRPr="00770BB4" w:rsidRDefault="00770BB4" w:rsidP="00770BB4">
      <w:pPr>
        <w:pStyle w:val="Akapitzlist"/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ułatwiają ich rozpuszczalność,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76C0B6FF" w14:textId="77777777" w:rsidR="00770BB4" w:rsidRPr="00770BB4" w:rsidRDefault="00770BB4" w:rsidP="00770BB4">
      <w:pPr>
        <w:pStyle w:val="Akapitzlist"/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są rozpoznawane przez receptorów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lipoprotein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 w tkankach, 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5A3953CA" w14:textId="77777777" w:rsidR="00770BB4" w:rsidRPr="00770BB4" w:rsidRDefault="00770BB4" w:rsidP="00770BB4">
      <w:pPr>
        <w:pStyle w:val="Akapitzlist"/>
        <w:numPr>
          <w:ilvl w:val="0"/>
          <w:numId w:val="2"/>
        </w:numPr>
        <w:rPr>
          <w:rStyle w:val="normaltextrun"/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aktywują enzymy lipolityczne, rozkładających składniki lipidowe kompleksów lipoproteinowych.</w:t>
      </w:r>
    </w:p>
    <w:p w14:paraId="64504FA9" w14:textId="77777777" w:rsidR="00770BB4" w:rsidRPr="00770BB4" w:rsidRDefault="00770BB4" w:rsidP="00770BB4">
      <w:pPr>
        <w:rPr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Z praktycznego punktu widzenia pomocny jest podział </w:t>
      </w:r>
      <w:proofErr w:type="spellStart"/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dyslipidemii</w:t>
      </w:r>
      <w:proofErr w:type="spellEnd"/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 uwzględniający takie zaburzenia, jak: </w:t>
      </w:r>
      <w:r w:rsidRPr="00770BB4">
        <w:rPr>
          <w:rFonts w:eastAsia="Times New Roman"/>
          <w:i/>
          <w:iCs/>
          <w:color w:val="000000" w:themeColor="text1"/>
          <w:sz w:val="24"/>
          <w:szCs w:val="24"/>
          <w:lang w:val="en-US" w:eastAsia="pl-PL"/>
        </w:rPr>
        <w:t>​</w:t>
      </w:r>
    </w:p>
    <w:p w14:paraId="780CFA15" w14:textId="77777777" w:rsidR="00770BB4" w:rsidRPr="00770BB4" w:rsidRDefault="00770BB4" w:rsidP="00770BB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val="en-US" w:eastAsia="pl-PL"/>
        </w:rPr>
      </w:pPr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lastRenderedPageBreak/>
        <w:t>hipercholesterolemia, </w:t>
      </w:r>
      <w:r w:rsidRPr="00770BB4">
        <w:rPr>
          <w:rFonts w:eastAsia="Times New Roman"/>
          <w:i/>
          <w:iCs/>
          <w:color w:val="000000" w:themeColor="text1"/>
          <w:sz w:val="24"/>
          <w:szCs w:val="24"/>
          <w:lang w:val="en-US" w:eastAsia="pl-PL"/>
        </w:rPr>
        <w:t>​</w:t>
      </w:r>
    </w:p>
    <w:p w14:paraId="24E2E2DA" w14:textId="77777777" w:rsidR="00770BB4" w:rsidRPr="00770BB4" w:rsidRDefault="00770BB4" w:rsidP="00770BB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val="en-US" w:eastAsia="pl-PL"/>
        </w:rPr>
      </w:pPr>
      <w:proofErr w:type="spellStart"/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dyslipidemia</w:t>
      </w:r>
      <w:proofErr w:type="spellEnd"/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 aterogenną,</w:t>
      </w:r>
      <w:r w:rsidRPr="00770BB4">
        <w:rPr>
          <w:rFonts w:eastAsia="Times New Roman"/>
          <w:i/>
          <w:iCs/>
          <w:color w:val="000000" w:themeColor="text1"/>
          <w:sz w:val="24"/>
          <w:szCs w:val="24"/>
          <w:lang w:val="en-US" w:eastAsia="pl-PL"/>
        </w:rPr>
        <w:t>​</w:t>
      </w:r>
    </w:p>
    <w:p w14:paraId="2F259C57" w14:textId="77777777" w:rsidR="00770BB4" w:rsidRPr="00770BB4" w:rsidRDefault="00770BB4" w:rsidP="00770BB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val="en-US" w:eastAsia="pl-PL"/>
        </w:rPr>
      </w:pPr>
      <w:proofErr w:type="spellStart"/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hiperlipidemia</w:t>
      </w:r>
      <w:proofErr w:type="spellEnd"/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 mieszana i </w:t>
      </w:r>
      <w:r w:rsidRPr="00770BB4">
        <w:rPr>
          <w:rFonts w:eastAsia="Times New Roman"/>
          <w:i/>
          <w:iCs/>
          <w:color w:val="000000" w:themeColor="text1"/>
          <w:sz w:val="24"/>
          <w:szCs w:val="24"/>
          <w:lang w:val="en-US" w:eastAsia="pl-PL"/>
        </w:rPr>
        <w:t>​</w:t>
      </w:r>
    </w:p>
    <w:p w14:paraId="50EB7299" w14:textId="77777777" w:rsidR="00770BB4" w:rsidRPr="00770BB4" w:rsidRDefault="00770BB4" w:rsidP="00770BB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val="en-US" w:eastAsia="pl-PL"/>
        </w:rPr>
      </w:pPr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ciężka </w:t>
      </w:r>
      <w:proofErr w:type="spellStart"/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hipertriglicerydemia</w:t>
      </w:r>
      <w:proofErr w:type="spellEnd"/>
      <w:r w:rsidRPr="00770BB4">
        <w:rPr>
          <w:rFonts w:eastAsia="Times New Roman"/>
          <w:i/>
          <w:iCs/>
          <w:color w:val="000000" w:themeColor="text1"/>
          <w:sz w:val="24"/>
          <w:szCs w:val="24"/>
          <w:lang w:eastAsia="pl-PL"/>
        </w:rPr>
        <w:t>.</w:t>
      </w:r>
    </w:p>
    <w:p w14:paraId="73982BE0" w14:textId="77777777" w:rsidR="00770BB4" w:rsidRPr="00770BB4" w:rsidRDefault="00770BB4" w:rsidP="00770BB4">
      <w:pPr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  <w:t>W przypadku hipercholesterolemii za nieprawidłowe u osób zdrowych można uznać stężenie cholesterolu frakcji LDL w osoczu lub surowicy ≥3,0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  <w:shd w:val="clear" w:color="auto" w:fill="EDEBE9"/>
        </w:rPr>
        <w:t>mmol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  <w:t>/l, co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  <w:shd w:val="clear" w:color="auto" w:fill="EDEBE9"/>
        </w:rPr>
        <w:t>odpwiada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  <w:t> 115 mg/dl.</w:t>
      </w:r>
    </w:p>
    <w:p w14:paraId="2FD8177A" w14:textId="77777777" w:rsidR="00770BB4" w:rsidRPr="00770BB4" w:rsidRDefault="00770BB4" w:rsidP="00770BB4">
      <w:pPr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  <w:t>W przypadku kiedy stężenie frakcji LDL jest znacznie zwiększone, to używa się określenia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  <w:shd w:val="clear" w:color="auto" w:fill="EDEBE9"/>
        </w:rPr>
        <w:t>hiperlipidemia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  <w:t> mieszana. </w:t>
      </w:r>
    </w:p>
    <w:p w14:paraId="10097AC4" w14:textId="77777777" w:rsidR="00770BB4" w:rsidRPr="00770BB4" w:rsidRDefault="00770BB4" w:rsidP="00770BB4">
      <w:pPr>
        <w:rPr>
          <w:i/>
          <w:iCs/>
          <w:color w:val="000000" w:themeColor="text1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Ciężka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hipertriglicerydemia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 jest zburzeniem, w którym stężenie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triglicerydów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 ≥5,6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mmol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/l, co odpowiada 500 mg/dl.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56B763B4" w14:textId="77777777" w:rsidR="00770BB4" w:rsidRPr="00770BB4" w:rsidRDefault="00770BB4" w:rsidP="00770BB4">
      <w:pPr>
        <w:rPr>
          <w:i/>
          <w:iCs/>
          <w:color w:val="000000" w:themeColor="text1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Przykładem ciężkiej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hipertriglicerydemia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 jest zaburzenie określane jako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hiperlipoproteinemia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 typu V, która jest następstwem współistnienia: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5478DA90" w14:textId="77777777" w:rsidR="00770BB4" w:rsidRPr="00770BB4" w:rsidRDefault="00770BB4" w:rsidP="00770BB4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podatności genetycznej i 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3B65AEEA" w14:textId="77777777" w:rsidR="00770BB4" w:rsidRPr="00770BB4" w:rsidRDefault="00770BB4" w:rsidP="00770BB4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określonych chorób, takich jak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np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: otyłość i cukrzyca, jak również 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46F4105D" w14:textId="77777777" w:rsidR="00770BB4" w:rsidRPr="00770BB4" w:rsidRDefault="00770BB4" w:rsidP="00770BB4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color w:val="000000" w:themeColor="text1"/>
          <w:sz w:val="19"/>
          <w:szCs w:val="19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picia alkoholu lub przyjmowania określonych leków, np. estrogenów,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glikokortykosteroidów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, inhibitorów proteazy.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1C2492F5" w14:textId="77777777" w:rsidR="00770BB4" w:rsidRPr="00770BB4" w:rsidRDefault="00770BB4" w:rsidP="00770BB4">
      <w:pPr>
        <w:rPr>
          <w:rStyle w:val="eop"/>
          <w:rFonts w:ascii="Calibri" w:hAnsi="Calibri" w:cs="Calibri"/>
          <w:i/>
          <w:iCs/>
          <w:color w:val="000000" w:themeColor="text1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Należy pamiętać, o tym że w przypadku stężenia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triglicerydów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 wynoszącego  ≥10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</w:rPr>
        <w:t>mmol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</w:rPr>
        <w:t>/l na czczo, istnieje zwiększone ryzyko ostrego zapalenia trzustki. </w:t>
      </w:r>
      <w:r w:rsidRPr="00770BB4">
        <w:rPr>
          <w:rStyle w:val="eop"/>
          <w:rFonts w:ascii="Calibri" w:hAnsi="Calibri" w:cs="Calibri"/>
          <w:i/>
          <w:iCs/>
          <w:color w:val="000000" w:themeColor="text1"/>
          <w:lang w:val="en-US"/>
        </w:rPr>
        <w:t>​</w:t>
      </w:r>
    </w:p>
    <w:p w14:paraId="42268C4F" w14:textId="77777777" w:rsidR="00770BB4" w:rsidRPr="00770BB4" w:rsidRDefault="00770BB4" w:rsidP="00770BB4">
      <w:pPr>
        <w:rPr>
          <w:i/>
          <w:iCs/>
          <w:color w:val="000000" w:themeColor="text1"/>
          <w:lang w:val="en-US"/>
        </w:rPr>
      </w:pPr>
      <w:r w:rsidRPr="00770BB4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  <w:t>Należy pamiętać, o tym że w przypadku stężenia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  <w:shd w:val="clear" w:color="auto" w:fill="EDEBE9"/>
        </w:rPr>
        <w:t>triglicerydów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  <w:t> wynoszącego  ≥10 </w:t>
      </w:r>
      <w:proofErr w:type="spellStart"/>
      <w:r w:rsidRPr="00770BB4">
        <w:rPr>
          <w:rStyle w:val="spellingerror"/>
          <w:rFonts w:ascii="Calibri" w:hAnsi="Calibri" w:cs="Calibri"/>
          <w:i/>
          <w:iCs/>
          <w:color w:val="000000" w:themeColor="text1"/>
          <w:shd w:val="clear" w:color="auto" w:fill="EDEBE9"/>
        </w:rPr>
        <w:t>mmol</w:t>
      </w:r>
      <w:proofErr w:type="spellEnd"/>
      <w:r w:rsidRPr="00770BB4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EDEBE9"/>
        </w:rPr>
        <w:t>/l na czczo, istnieje zwiększone ryzyko ostrego zapalenia trzustki. </w:t>
      </w:r>
    </w:p>
    <w:p w14:paraId="5BE17B3A" w14:textId="77777777" w:rsidR="00770BB4" w:rsidRPr="00770BB4" w:rsidRDefault="00770BB4" w:rsidP="00770BB4">
      <w:pPr>
        <w:rPr>
          <w:color w:val="000000" w:themeColor="text1"/>
        </w:rPr>
      </w:pPr>
    </w:p>
    <w:p w14:paraId="2E953A55" w14:textId="77777777" w:rsidR="00B74398" w:rsidRPr="00770BB4" w:rsidRDefault="00B74398" w:rsidP="00770BB4">
      <w:pPr>
        <w:rPr>
          <w:color w:val="000000" w:themeColor="text1"/>
        </w:rPr>
      </w:pPr>
    </w:p>
    <w:sectPr w:rsidR="00B74398" w:rsidRPr="00770B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62FD5" w14:textId="77777777" w:rsidR="004906D9" w:rsidRDefault="004906D9" w:rsidP="00B1761B">
      <w:pPr>
        <w:spacing w:after="0" w:line="240" w:lineRule="auto"/>
      </w:pPr>
      <w:r>
        <w:separator/>
      </w:r>
    </w:p>
  </w:endnote>
  <w:endnote w:type="continuationSeparator" w:id="0">
    <w:p w14:paraId="1F93FBBA" w14:textId="77777777" w:rsidR="004906D9" w:rsidRDefault="004906D9" w:rsidP="00B1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698D3" w14:textId="77777777" w:rsidR="00B1761B" w:rsidRDefault="00B1761B" w:rsidP="00B1761B">
    <w:pPr>
      <w:pStyle w:val="Stopka"/>
      <w:jc w:val="center"/>
    </w:pPr>
    <w:r>
      <w:rPr>
        <w:noProof/>
      </w:rPr>
      <w:drawing>
        <wp:inline distT="0" distB="0" distL="0" distR="0" wp14:anchorId="415F3F0C" wp14:editId="7E02745D">
          <wp:extent cx="6344308" cy="9709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4308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006645588"/>
      <w:docPartObj>
        <w:docPartGallery w:val="Page Numbers (Bottom of Page)"/>
        <w:docPartUnique/>
      </w:docPartObj>
    </w:sdtPr>
    <w:sdtContent>
      <w:p w14:paraId="74962D04" w14:textId="77D42112" w:rsidR="00B1761B" w:rsidRDefault="00B1761B" w:rsidP="00B176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5DC88" w14:textId="77777777" w:rsidR="004906D9" w:rsidRDefault="004906D9" w:rsidP="00B1761B">
      <w:pPr>
        <w:spacing w:after="0" w:line="240" w:lineRule="auto"/>
      </w:pPr>
      <w:r>
        <w:separator/>
      </w:r>
    </w:p>
  </w:footnote>
  <w:footnote w:type="continuationSeparator" w:id="0">
    <w:p w14:paraId="573FF56E" w14:textId="77777777" w:rsidR="004906D9" w:rsidRDefault="004906D9" w:rsidP="00B17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C98"/>
    <w:multiLevelType w:val="hybridMultilevel"/>
    <w:tmpl w:val="FB8CC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85963"/>
    <w:multiLevelType w:val="hybridMultilevel"/>
    <w:tmpl w:val="D076F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6720"/>
    <w:multiLevelType w:val="hybridMultilevel"/>
    <w:tmpl w:val="11B01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4225"/>
    <w:multiLevelType w:val="hybridMultilevel"/>
    <w:tmpl w:val="B4CEF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B4"/>
    <w:rsid w:val="00326A53"/>
    <w:rsid w:val="004906D9"/>
    <w:rsid w:val="00770BB4"/>
    <w:rsid w:val="00B1761B"/>
    <w:rsid w:val="00B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39B5"/>
  <w15:chartTrackingRefBased/>
  <w15:docId w15:val="{F3C9ED4D-6028-42F2-A630-B56E766A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770BB4"/>
  </w:style>
  <w:style w:type="character" w:customStyle="1" w:styleId="eop">
    <w:name w:val="eop"/>
    <w:basedOn w:val="Domylnaczcionkaakapitu"/>
    <w:rsid w:val="00770BB4"/>
  </w:style>
  <w:style w:type="character" w:customStyle="1" w:styleId="spellingerror">
    <w:name w:val="spellingerror"/>
    <w:basedOn w:val="Domylnaczcionkaakapitu"/>
    <w:rsid w:val="00770BB4"/>
  </w:style>
  <w:style w:type="paragraph" w:styleId="Akapitzlist">
    <w:name w:val="List Paragraph"/>
    <w:basedOn w:val="Normalny"/>
    <w:uiPriority w:val="34"/>
    <w:qFormat/>
    <w:rsid w:val="00770B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61B"/>
  </w:style>
  <w:style w:type="paragraph" w:styleId="Stopka">
    <w:name w:val="footer"/>
    <w:basedOn w:val="Normalny"/>
    <w:link w:val="StopkaZnak"/>
    <w:uiPriority w:val="99"/>
    <w:unhideWhenUsed/>
    <w:rsid w:val="00B1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Gębala</dc:creator>
  <cp:keywords/>
  <dc:description/>
  <cp:lastModifiedBy>Sylwia Paśnicka</cp:lastModifiedBy>
  <cp:revision>3</cp:revision>
  <dcterms:created xsi:type="dcterms:W3CDTF">2022-04-01T09:57:00Z</dcterms:created>
  <dcterms:modified xsi:type="dcterms:W3CDTF">2022-04-01T10:00:00Z</dcterms:modified>
</cp:coreProperties>
</file>