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F38B" w14:textId="77777777" w:rsidR="00D654EC" w:rsidRPr="00D654EC" w:rsidRDefault="00D654EC" w:rsidP="00D654EC">
      <w:pPr>
        <w:jc w:val="center"/>
        <w:rPr>
          <w:b/>
          <w:bCs/>
          <w:lang w:val="en-US"/>
        </w:rPr>
      </w:pPr>
      <w:r w:rsidRPr="00D654EC">
        <w:rPr>
          <w:b/>
          <w:bCs/>
          <w:lang w:val="en-US"/>
        </w:rPr>
        <w:t>Inquiry</w:t>
      </w:r>
    </w:p>
    <w:p w14:paraId="45A503DF" w14:textId="77777777" w:rsidR="00E43AD8" w:rsidRDefault="00E43AD8" w:rsidP="00D654EC">
      <w:pPr>
        <w:rPr>
          <w:b/>
          <w:bCs/>
          <w:lang w:val="en-US"/>
        </w:rPr>
      </w:pPr>
    </w:p>
    <w:p w14:paraId="3A1D207F" w14:textId="00536B33" w:rsidR="00D654EC" w:rsidRDefault="00D654EC" w:rsidP="00D654EC">
      <w:pPr>
        <w:rPr>
          <w:b/>
          <w:bCs/>
          <w:lang w:val="en-US"/>
        </w:rPr>
      </w:pPr>
      <w:r w:rsidRPr="0036322C">
        <w:rPr>
          <w:b/>
          <w:bCs/>
          <w:lang w:val="en-US"/>
        </w:rPr>
        <w:t>Order title</w:t>
      </w:r>
    </w:p>
    <w:p w14:paraId="5720E4BC" w14:textId="619AE4CD" w:rsidR="00C04DBE" w:rsidRPr="003B741C" w:rsidRDefault="00C04DBE" w:rsidP="00C04DBE">
      <w:pPr>
        <w:jc w:val="both"/>
        <w:rPr>
          <w:rFonts w:ascii="Calibri" w:hAnsi="Calibri"/>
          <w:b/>
          <w:sz w:val="20"/>
          <w:lang w:val="en-GB"/>
        </w:rPr>
      </w:pPr>
      <w:r w:rsidRPr="003B741C">
        <w:rPr>
          <w:rFonts w:ascii="Calibri" w:hAnsi="Calibri"/>
          <w:b/>
          <w:sz w:val="20"/>
          <w:lang w:val="en-GB"/>
        </w:rPr>
        <w:t>PURCHASE O</w:t>
      </w:r>
      <w:r>
        <w:rPr>
          <w:rFonts w:ascii="Calibri" w:hAnsi="Calibri"/>
          <w:b/>
          <w:sz w:val="20"/>
          <w:lang w:val="en-GB"/>
        </w:rPr>
        <w:t>F THE</w:t>
      </w:r>
      <w:r w:rsidRPr="003B741C">
        <w:rPr>
          <w:rFonts w:ascii="Calibri" w:hAnsi="Calibri"/>
          <w:b/>
          <w:sz w:val="20"/>
          <w:lang w:val="en-GB"/>
        </w:rPr>
        <w:t xml:space="preserve"> FLEXO PRINTING MACHINE </w:t>
      </w:r>
    </w:p>
    <w:p w14:paraId="67AE1496" w14:textId="77777777" w:rsidR="005E3FEF" w:rsidRPr="00D654EC" w:rsidRDefault="005E3FEF" w:rsidP="00D654EC">
      <w:pPr>
        <w:rPr>
          <w:lang w:val="en-US"/>
        </w:rPr>
      </w:pPr>
    </w:p>
    <w:p w14:paraId="0B9F18A8" w14:textId="77777777" w:rsidR="00D654EC" w:rsidRPr="0036322C" w:rsidRDefault="00D654EC" w:rsidP="00D654EC">
      <w:pPr>
        <w:rPr>
          <w:b/>
          <w:bCs/>
          <w:lang w:val="en-US"/>
        </w:rPr>
      </w:pPr>
      <w:r w:rsidRPr="0036322C">
        <w:rPr>
          <w:b/>
          <w:bCs/>
          <w:lang w:val="en-US"/>
        </w:rPr>
        <w:t>Deadline for submitting offers</w:t>
      </w:r>
    </w:p>
    <w:p w14:paraId="71819F19" w14:textId="0AD73D7E" w:rsidR="00D654EC" w:rsidRPr="00D654EC" w:rsidRDefault="00D654EC" w:rsidP="00D654EC">
      <w:pPr>
        <w:rPr>
          <w:lang w:val="en-US"/>
        </w:rPr>
      </w:pPr>
      <w:r w:rsidRPr="004043E8">
        <w:rPr>
          <w:lang w:val="en-US"/>
        </w:rPr>
        <w:t xml:space="preserve">until </w:t>
      </w:r>
      <w:r w:rsidR="00022FC3" w:rsidRPr="004043E8">
        <w:rPr>
          <w:lang w:val="en-US"/>
        </w:rPr>
        <w:t>April</w:t>
      </w:r>
      <w:r w:rsidRPr="004043E8">
        <w:rPr>
          <w:lang w:val="en-US"/>
        </w:rPr>
        <w:t xml:space="preserve"> </w:t>
      </w:r>
      <w:r w:rsidR="00CF5EAB" w:rsidRPr="004043E8">
        <w:rPr>
          <w:lang w:val="en-US"/>
        </w:rPr>
        <w:t>2</w:t>
      </w:r>
      <w:r w:rsidR="004043E8" w:rsidRPr="004043E8">
        <w:rPr>
          <w:lang w:val="en-US"/>
        </w:rPr>
        <w:t>4</w:t>
      </w:r>
      <w:r w:rsidRPr="004043E8">
        <w:rPr>
          <w:lang w:val="en-US"/>
        </w:rPr>
        <w:t>, 202</w:t>
      </w:r>
      <w:r w:rsidR="00022FC3" w:rsidRPr="004043E8">
        <w:rPr>
          <w:lang w:val="en-US"/>
        </w:rPr>
        <w:t>2</w:t>
      </w:r>
    </w:p>
    <w:p w14:paraId="14C17985" w14:textId="77777777" w:rsidR="00D654EC" w:rsidRPr="00D654EC" w:rsidRDefault="00D654EC" w:rsidP="00D654EC">
      <w:pPr>
        <w:rPr>
          <w:lang w:val="en-US"/>
        </w:rPr>
      </w:pPr>
    </w:p>
    <w:p w14:paraId="5D5FAB79" w14:textId="77777777" w:rsidR="00D654EC" w:rsidRPr="0036322C" w:rsidRDefault="00D654EC" w:rsidP="00D654EC">
      <w:pPr>
        <w:rPr>
          <w:b/>
          <w:bCs/>
          <w:lang w:val="en-US"/>
        </w:rPr>
      </w:pPr>
      <w:r w:rsidRPr="0036322C">
        <w:rPr>
          <w:b/>
          <w:bCs/>
          <w:lang w:val="en-US"/>
        </w:rPr>
        <w:t>Place and method of submitting offers</w:t>
      </w:r>
    </w:p>
    <w:p w14:paraId="3A4217BA" w14:textId="77777777" w:rsidR="00D654EC" w:rsidRPr="00D654EC" w:rsidRDefault="00D654EC" w:rsidP="00D654EC">
      <w:pPr>
        <w:rPr>
          <w:lang w:val="en-US"/>
        </w:rPr>
      </w:pPr>
      <w:r w:rsidRPr="00D654EC">
        <w:rPr>
          <w:lang w:val="en-US"/>
        </w:rPr>
        <w:t>The offer should be submitted on the offer form attached to this request for quotation, constituting Appendix No. 1.</w:t>
      </w:r>
    </w:p>
    <w:p w14:paraId="1494FB16" w14:textId="77777777" w:rsidR="00D654EC" w:rsidRPr="00D654EC" w:rsidRDefault="00D654EC" w:rsidP="00D654EC">
      <w:pPr>
        <w:rPr>
          <w:lang w:val="en-US"/>
        </w:rPr>
      </w:pPr>
      <w:r w:rsidRPr="00D654EC">
        <w:rPr>
          <w:lang w:val="en-US"/>
        </w:rPr>
        <w:t>The method and place of submitting offers:</w:t>
      </w:r>
    </w:p>
    <w:p w14:paraId="32713D88" w14:textId="77777777" w:rsidR="00D654EC" w:rsidRPr="00D654EC" w:rsidRDefault="00D654EC" w:rsidP="00D654EC">
      <w:pPr>
        <w:rPr>
          <w:lang w:val="en-US"/>
        </w:rPr>
      </w:pPr>
      <w:r w:rsidRPr="00D654EC">
        <w:rPr>
          <w:lang w:val="en-US"/>
        </w:rPr>
        <w:t>a. in person at the seat of the Ordering Party,</w:t>
      </w:r>
    </w:p>
    <w:p w14:paraId="3D524946" w14:textId="5EADE043" w:rsidR="00D654EC" w:rsidRPr="00D654EC" w:rsidRDefault="00D654EC" w:rsidP="00D654EC">
      <w:pPr>
        <w:rPr>
          <w:lang w:val="en-US"/>
        </w:rPr>
      </w:pPr>
      <w:r w:rsidRPr="00D654EC">
        <w:rPr>
          <w:lang w:val="en-US"/>
        </w:rPr>
        <w:t>b.</w:t>
      </w:r>
      <w:r>
        <w:rPr>
          <w:lang w:val="en-US"/>
        </w:rPr>
        <w:t xml:space="preserve"> </w:t>
      </w:r>
      <w:r w:rsidRPr="00D654EC">
        <w:rPr>
          <w:lang w:val="en-US"/>
        </w:rPr>
        <w:t>delivery to the correspondence address of the Ordering Party,</w:t>
      </w:r>
    </w:p>
    <w:p w14:paraId="3126123A" w14:textId="0C33990F" w:rsidR="0036322C" w:rsidRDefault="00D654EC" w:rsidP="00D654EC">
      <w:pPr>
        <w:rPr>
          <w:lang w:val="en-US"/>
        </w:rPr>
      </w:pPr>
      <w:r w:rsidRPr="00D654EC">
        <w:rPr>
          <w:lang w:val="en-US"/>
        </w:rPr>
        <w:t xml:space="preserve">c. e-mail to the e-mail address indicated in the section "Contact persons" </w:t>
      </w:r>
    </w:p>
    <w:p w14:paraId="18D1C51E" w14:textId="0A45F849" w:rsidR="00D654EC" w:rsidRPr="00D654EC" w:rsidRDefault="00D654EC" w:rsidP="00D654EC">
      <w:pPr>
        <w:rPr>
          <w:lang w:val="en-US"/>
        </w:rPr>
      </w:pPr>
      <w:r w:rsidRPr="00D654EC">
        <w:rPr>
          <w:lang w:val="en-US"/>
        </w:rPr>
        <w:t>d. the Competitiveness Database</w:t>
      </w:r>
    </w:p>
    <w:p w14:paraId="4283DCB3" w14:textId="77777777" w:rsidR="00D654EC" w:rsidRPr="00D654EC" w:rsidRDefault="00D654EC" w:rsidP="00D654EC">
      <w:pPr>
        <w:rPr>
          <w:lang w:val="en-US"/>
        </w:rPr>
      </w:pPr>
    </w:p>
    <w:p w14:paraId="57B69FD5" w14:textId="77777777" w:rsidR="00D654EC" w:rsidRPr="00D654EC" w:rsidRDefault="00D654EC" w:rsidP="00C04DBE">
      <w:pPr>
        <w:jc w:val="both"/>
        <w:rPr>
          <w:lang w:val="en-US"/>
        </w:rPr>
      </w:pPr>
      <w:r w:rsidRPr="00D654EC">
        <w:rPr>
          <w:lang w:val="en-US"/>
        </w:rPr>
        <w:t>Tenders must be submitted by the date indicated in the "Bid submission deadline" section. An offer submitted after the deadline is not subject to verification by the Ordering Party. In the case of submitting offers by post or courier, the date of submission shall be the date of receipt of the offer by the Ordering Party. Offers incomplete or inconsistent with the description of the subject of the contract, for which the tenderer has not provided appropriate explanations, will not be considered.</w:t>
      </w:r>
    </w:p>
    <w:p w14:paraId="141EA24C" w14:textId="77777777" w:rsidR="00D654EC" w:rsidRPr="00D654EC" w:rsidRDefault="00D654EC" w:rsidP="00C04DBE">
      <w:pPr>
        <w:jc w:val="both"/>
        <w:rPr>
          <w:lang w:val="en-US"/>
        </w:rPr>
      </w:pPr>
    </w:p>
    <w:p w14:paraId="7644F102" w14:textId="2DE02403" w:rsidR="00D654EC" w:rsidRPr="00D654EC" w:rsidRDefault="00D654EC" w:rsidP="00C04DBE">
      <w:pPr>
        <w:jc w:val="both"/>
        <w:rPr>
          <w:lang w:val="en-US"/>
        </w:rPr>
      </w:pPr>
      <w:r w:rsidRPr="00D654EC">
        <w:rPr>
          <w:lang w:val="en-US"/>
        </w:rPr>
        <w:t xml:space="preserve">The offer must be signed by a person acting on behalf of the Bidder (it does not have to be </w:t>
      </w:r>
      <w:r w:rsidR="00C04DBE">
        <w:rPr>
          <w:lang w:val="en-US"/>
        </w:rPr>
        <w:br/>
      </w:r>
      <w:r w:rsidRPr="00D654EC">
        <w:rPr>
          <w:lang w:val="en-US"/>
        </w:rPr>
        <w:t>a person authorized to represent the Bidder according to the registration document. The person acting on behalf of the Bidder may be an employee of the company).</w:t>
      </w:r>
    </w:p>
    <w:p w14:paraId="4DDECACB" w14:textId="77777777" w:rsidR="00D654EC" w:rsidRPr="00D654EC" w:rsidRDefault="00D654EC" w:rsidP="00C04DBE">
      <w:pPr>
        <w:jc w:val="both"/>
        <w:rPr>
          <w:lang w:val="en-US"/>
        </w:rPr>
      </w:pPr>
    </w:p>
    <w:p w14:paraId="7716AB54" w14:textId="77777777" w:rsidR="00D654EC" w:rsidRPr="00D654EC" w:rsidRDefault="00D654EC" w:rsidP="00C04DBE">
      <w:pPr>
        <w:jc w:val="both"/>
        <w:rPr>
          <w:lang w:val="en-US"/>
        </w:rPr>
      </w:pPr>
      <w:r w:rsidRPr="00D654EC">
        <w:rPr>
          <w:lang w:val="en-US"/>
        </w:rPr>
        <w:t>The offer must be valid within 60 days from the deadline for submission of tenders.</w:t>
      </w:r>
    </w:p>
    <w:p w14:paraId="3BB7B0B3" w14:textId="77777777" w:rsidR="00D654EC" w:rsidRPr="00D654EC" w:rsidRDefault="00D654EC" w:rsidP="00C04DBE">
      <w:pPr>
        <w:jc w:val="both"/>
        <w:rPr>
          <w:lang w:val="en-US"/>
        </w:rPr>
      </w:pPr>
    </w:p>
    <w:p w14:paraId="11028E2F" w14:textId="77777777" w:rsidR="00D654EC" w:rsidRPr="00D654EC" w:rsidRDefault="00D654EC" w:rsidP="00C04DBE">
      <w:pPr>
        <w:jc w:val="both"/>
        <w:rPr>
          <w:lang w:val="en-US"/>
        </w:rPr>
      </w:pPr>
      <w:r w:rsidRPr="00D654EC">
        <w:rPr>
          <w:lang w:val="en-US"/>
        </w:rPr>
        <w:t>The contracting authority reserves the right to cancel or cancel the tender procedure at any time (also after the deadline for submission of tenders) without giving any reason. In the course of examination and evaluation of offers, the Ordering Party may request any explanations and send additional information regarding the content of the submitted offers, as well as set the tenderer a deadline for providing explanations.</w:t>
      </w:r>
    </w:p>
    <w:p w14:paraId="2A155BAB" w14:textId="77777777" w:rsidR="00D654EC" w:rsidRPr="00D654EC" w:rsidRDefault="00D654EC" w:rsidP="00C04DBE">
      <w:pPr>
        <w:jc w:val="both"/>
        <w:rPr>
          <w:lang w:val="en-US"/>
        </w:rPr>
      </w:pPr>
      <w:r w:rsidRPr="00D654EC">
        <w:rPr>
          <w:lang w:val="en-US"/>
        </w:rPr>
        <w:t>and additional information (answers), under pain of leaving the offer without consideration.</w:t>
      </w:r>
    </w:p>
    <w:p w14:paraId="106A8A9D" w14:textId="77777777" w:rsidR="00D654EC" w:rsidRPr="00D654EC" w:rsidRDefault="00D654EC" w:rsidP="00C04DBE">
      <w:pPr>
        <w:jc w:val="both"/>
        <w:rPr>
          <w:lang w:val="en-US"/>
        </w:rPr>
      </w:pPr>
      <w:r w:rsidRPr="00D654EC">
        <w:rPr>
          <w:lang w:val="en-US"/>
        </w:rPr>
        <w:t>Tenderers are entitled to submit inquiries regarding the content of this inquiry only via the Competitiveness Database. The contracting authority reserves the right not to reply to the questions asked by the tenderer 2 calendar days prior to the deadline for submission of tenders.</w:t>
      </w:r>
    </w:p>
    <w:p w14:paraId="62545431" w14:textId="77777777" w:rsidR="00D654EC" w:rsidRPr="00D654EC" w:rsidRDefault="00D654EC" w:rsidP="00C04DBE">
      <w:pPr>
        <w:jc w:val="both"/>
        <w:rPr>
          <w:lang w:val="en-US"/>
        </w:rPr>
      </w:pPr>
      <w:r w:rsidRPr="00D654EC">
        <w:rPr>
          <w:lang w:val="en-US"/>
        </w:rPr>
        <w:t>The contracting authority reserves the right to change the content of this inquiry.</w:t>
      </w:r>
    </w:p>
    <w:p w14:paraId="582ECD9E" w14:textId="77777777" w:rsidR="00D654EC" w:rsidRPr="00D654EC" w:rsidRDefault="00D654EC" w:rsidP="00C04DBE">
      <w:pPr>
        <w:jc w:val="both"/>
        <w:rPr>
          <w:lang w:val="en-US"/>
        </w:rPr>
      </w:pPr>
      <w:r w:rsidRPr="00D654EC">
        <w:rPr>
          <w:lang w:val="en-US"/>
        </w:rPr>
        <w:t>The contracting authority reserves the right to extend the deadline for submitting offers.</w:t>
      </w:r>
    </w:p>
    <w:p w14:paraId="1FFB9BA7" w14:textId="00AB6DBA" w:rsidR="00D654EC" w:rsidRPr="00D654EC" w:rsidRDefault="00D654EC" w:rsidP="00C04DBE">
      <w:pPr>
        <w:jc w:val="both"/>
        <w:rPr>
          <w:lang w:val="en-US"/>
        </w:rPr>
      </w:pPr>
      <w:r w:rsidRPr="00D654EC">
        <w:rPr>
          <w:lang w:val="en-US"/>
        </w:rPr>
        <w:t>Personal and capital related entities are excluded from the procedure</w:t>
      </w:r>
      <w:r w:rsidR="00C04DBE">
        <w:rPr>
          <w:lang w:val="en-US"/>
        </w:rPr>
        <w:t xml:space="preserve"> </w:t>
      </w:r>
      <w:r w:rsidRPr="00D654EC">
        <w:rPr>
          <w:lang w:val="en-US"/>
        </w:rPr>
        <w:t xml:space="preserve">with the Employer. Capital or personal ties are understood in particular as mutual ties between the Ordering Party or persons authorized to incur obligations on behalf of the Ordering Party or persons performing on behalf of the Ordering Party activities related to the preparation and conduct of the contractor selection procedure and the contractor, in particular: a) participation in the company as a partner in a civil partnership or a partnership, b) holding shares or at least 5% of shares, c) acting as a member of the supervisory or management body, proxy, attorney, d) remaining in such a legal or actual relationship that may raise reasonable doubts, as to to impartiality in the selection of </w:t>
      </w:r>
      <w:r w:rsidRPr="00D654EC">
        <w:rPr>
          <w:lang w:val="en-US"/>
        </w:rPr>
        <w:lastRenderedPageBreak/>
        <w:t>the contractor, in particular being married, in a relationship of kinship or affinity in a straight line, kinship or affinity in the collateral line up to the second degree or in relation to adoption, care or guardianship.</w:t>
      </w:r>
    </w:p>
    <w:p w14:paraId="1918CBAB" w14:textId="77777777" w:rsidR="00D654EC" w:rsidRPr="00D654EC" w:rsidRDefault="00D654EC" w:rsidP="00D654EC">
      <w:pPr>
        <w:rPr>
          <w:lang w:val="en-US"/>
        </w:rPr>
      </w:pPr>
    </w:p>
    <w:p w14:paraId="58915EC9" w14:textId="77777777" w:rsidR="00022FC3" w:rsidRPr="00022FC3" w:rsidRDefault="00022FC3" w:rsidP="00022FC3">
      <w:pPr>
        <w:rPr>
          <w:b/>
          <w:bCs/>
          <w:lang w:val="en-US"/>
        </w:rPr>
      </w:pPr>
      <w:r w:rsidRPr="00022FC3">
        <w:rPr>
          <w:b/>
          <w:bCs/>
          <w:lang w:val="en-US"/>
        </w:rPr>
        <w:t>Contact person for the advertisement, e-mail address to which offers should be sent</w:t>
      </w:r>
    </w:p>
    <w:p w14:paraId="5BEE24DA" w14:textId="77777777" w:rsidR="00022FC3" w:rsidRPr="00022FC3" w:rsidRDefault="00022FC3" w:rsidP="00022FC3">
      <w:pPr>
        <w:rPr>
          <w:lang w:val="en-US"/>
        </w:rPr>
      </w:pPr>
      <w:r w:rsidRPr="00022FC3">
        <w:rPr>
          <w:lang w:val="en-US"/>
        </w:rPr>
        <w:t>Marcin Pączka, tel. 602 575 607, e-mail: pak@opak.com.pl or marcin@opak.com.pl</w:t>
      </w:r>
    </w:p>
    <w:p w14:paraId="73C5B911" w14:textId="5A08A53F" w:rsidR="00D654EC" w:rsidRPr="00022FC3" w:rsidRDefault="00022FC3" w:rsidP="00022FC3">
      <w:r w:rsidRPr="00022FC3">
        <w:t>Weronika Saładziak e-mail: biuro@opak.com.pl</w:t>
      </w:r>
    </w:p>
    <w:p w14:paraId="711CC61E" w14:textId="77777777" w:rsidR="00022FC3" w:rsidRPr="003C3405" w:rsidRDefault="00022FC3" w:rsidP="00D654EC">
      <w:pPr>
        <w:rPr>
          <w:b/>
          <w:bCs/>
        </w:rPr>
      </w:pPr>
    </w:p>
    <w:p w14:paraId="0359A595" w14:textId="18B84ADD" w:rsidR="00D654EC" w:rsidRPr="0036322C" w:rsidRDefault="00D654EC" w:rsidP="00D654EC">
      <w:pPr>
        <w:rPr>
          <w:b/>
          <w:bCs/>
          <w:lang w:val="en-US"/>
        </w:rPr>
      </w:pPr>
      <w:r w:rsidRPr="0036322C">
        <w:rPr>
          <w:b/>
          <w:bCs/>
          <w:lang w:val="en-US"/>
        </w:rPr>
        <w:t>Ad category</w:t>
      </w:r>
    </w:p>
    <w:p w14:paraId="213207E4" w14:textId="77777777" w:rsidR="00D654EC" w:rsidRPr="00D654EC" w:rsidRDefault="00D654EC" w:rsidP="00D654EC">
      <w:pPr>
        <w:rPr>
          <w:lang w:val="en-US"/>
        </w:rPr>
      </w:pPr>
      <w:r w:rsidRPr="00D654EC">
        <w:rPr>
          <w:lang w:val="en-US"/>
        </w:rPr>
        <w:t>Delivery</w:t>
      </w:r>
    </w:p>
    <w:p w14:paraId="1765899A" w14:textId="77777777" w:rsidR="00D654EC" w:rsidRPr="0036322C" w:rsidRDefault="00D654EC" w:rsidP="00D654EC">
      <w:pPr>
        <w:rPr>
          <w:lang w:val="en-US"/>
        </w:rPr>
      </w:pPr>
      <w:r w:rsidRPr="0036322C">
        <w:rPr>
          <w:lang w:val="en-US"/>
        </w:rPr>
        <w:t>Subcategory</w:t>
      </w:r>
    </w:p>
    <w:p w14:paraId="2D5C8F45" w14:textId="77777777" w:rsidR="00D654EC" w:rsidRPr="00D654EC" w:rsidRDefault="00D654EC" w:rsidP="00D654EC">
      <w:pPr>
        <w:rPr>
          <w:lang w:val="en-US"/>
        </w:rPr>
      </w:pPr>
      <w:r w:rsidRPr="00D654EC">
        <w:rPr>
          <w:lang w:val="en-US"/>
        </w:rPr>
        <w:t>Other deliveries</w:t>
      </w:r>
    </w:p>
    <w:p w14:paraId="52F117FE" w14:textId="77777777" w:rsidR="00D654EC" w:rsidRPr="0036322C" w:rsidRDefault="00D654EC" w:rsidP="00D654EC">
      <w:pPr>
        <w:rPr>
          <w:b/>
          <w:bCs/>
          <w:lang w:val="en-US"/>
        </w:rPr>
      </w:pPr>
    </w:p>
    <w:p w14:paraId="06324185" w14:textId="77777777" w:rsidR="00D654EC" w:rsidRPr="0036322C" w:rsidRDefault="00D654EC" w:rsidP="00D654EC">
      <w:pPr>
        <w:rPr>
          <w:b/>
          <w:bCs/>
          <w:lang w:val="en-US"/>
        </w:rPr>
      </w:pPr>
      <w:r w:rsidRPr="0036322C">
        <w:rPr>
          <w:b/>
          <w:bCs/>
          <w:lang w:val="en-US"/>
        </w:rPr>
        <w:t>Place of order fulfillment</w:t>
      </w:r>
    </w:p>
    <w:p w14:paraId="5108416A" w14:textId="170A7D6F" w:rsidR="00D654EC" w:rsidRPr="00D654EC" w:rsidRDefault="00D654EC" w:rsidP="00D654EC">
      <w:pPr>
        <w:rPr>
          <w:lang w:val="en-US"/>
        </w:rPr>
      </w:pPr>
      <w:r w:rsidRPr="00D654EC">
        <w:rPr>
          <w:lang w:val="en-US"/>
        </w:rPr>
        <w:t>West Pomeranian</w:t>
      </w:r>
      <w:r w:rsidR="0036322C">
        <w:rPr>
          <w:lang w:val="en-US"/>
        </w:rPr>
        <w:t xml:space="preserve">, </w:t>
      </w:r>
      <w:r w:rsidRPr="00D654EC">
        <w:rPr>
          <w:lang w:val="en-US"/>
        </w:rPr>
        <w:t>city of Szczecinek</w:t>
      </w:r>
    </w:p>
    <w:p w14:paraId="7C86C89A" w14:textId="77777777" w:rsidR="00C04DBE" w:rsidRDefault="00C04DBE" w:rsidP="00D654EC">
      <w:pPr>
        <w:rPr>
          <w:b/>
          <w:bCs/>
          <w:lang w:val="en-US"/>
        </w:rPr>
      </w:pPr>
    </w:p>
    <w:p w14:paraId="44C25EE4" w14:textId="1388A74C" w:rsidR="00D654EC" w:rsidRPr="0036322C" w:rsidRDefault="0036322C" w:rsidP="00D654EC">
      <w:pPr>
        <w:rPr>
          <w:b/>
          <w:bCs/>
          <w:lang w:val="en-US"/>
        </w:rPr>
      </w:pPr>
      <w:r>
        <w:rPr>
          <w:b/>
          <w:bCs/>
          <w:lang w:val="en-US"/>
        </w:rPr>
        <w:t>O</w:t>
      </w:r>
      <w:r w:rsidR="00D654EC" w:rsidRPr="0036322C">
        <w:rPr>
          <w:b/>
          <w:bCs/>
          <w:lang w:val="en-US"/>
        </w:rPr>
        <w:t>rder description</w:t>
      </w:r>
    </w:p>
    <w:p w14:paraId="6FBF336E" w14:textId="77777777" w:rsidR="00D654EC" w:rsidRPr="0036322C" w:rsidRDefault="00D654EC" w:rsidP="00D654EC">
      <w:pPr>
        <w:rPr>
          <w:b/>
          <w:bCs/>
          <w:lang w:val="en-US"/>
        </w:rPr>
      </w:pPr>
      <w:r w:rsidRPr="0036322C">
        <w:rPr>
          <w:b/>
          <w:bCs/>
          <w:lang w:val="en-US"/>
        </w:rPr>
        <w:t>Purpose of the order</w:t>
      </w:r>
    </w:p>
    <w:p w14:paraId="152504AA" w14:textId="5B6713F1" w:rsidR="00D654EC" w:rsidRPr="00D654EC" w:rsidRDefault="00D654EC" w:rsidP="00D654EC">
      <w:pPr>
        <w:rPr>
          <w:lang w:val="en-US"/>
        </w:rPr>
      </w:pPr>
      <w:r w:rsidRPr="00D654EC">
        <w:rPr>
          <w:lang w:val="en-US"/>
        </w:rPr>
        <w:t xml:space="preserve">The subject of the order is the purchase of </w:t>
      </w:r>
      <w:r w:rsidR="005E3FEF" w:rsidRPr="005E3FEF">
        <w:rPr>
          <w:lang w:val="en-US"/>
        </w:rPr>
        <w:t>FLEXOGRAPHIC PRINTER</w:t>
      </w:r>
    </w:p>
    <w:p w14:paraId="3AAC943D" w14:textId="77777777" w:rsidR="005E3FEF" w:rsidRPr="005E3FEF" w:rsidRDefault="005E3FEF" w:rsidP="005E3FEF">
      <w:pPr>
        <w:rPr>
          <w:lang w:val="en-US"/>
        </w:rPr>
      </w:pPr>
      <w:r w:rsidRPr="005E3FEF">
        <w:rPr>
          <w:lang w:val="en-US"/>
        </w:rPr>
        <w:t>As part of the order, the Supplier is obliged to sell and deliver a fully automatic flexographic printer with rotation,</w:t>
      </w:r>
    </w:p>
    <w:p w14:paraId="09BFCB98" w14:textId="77777777" w:rsidR="005E3FEF" w:rsidRPr="005E3FEF" w:rsidRDefault="005E3FEF" w:rsidP="005E3FEF">
      <w:pPr>
        <w:rPr>
          <w:lang w:val="en-US"/>
        </w:rPr>
      </w:pPr>
      <w:r w:rsidRPr="005E3FEF">
        <w:rPr>
          <w:lang w:val="en-US"/>
        </w:rPr>
        <w:t>Key parameters:</w:t>
      </w:r>
    </w:p>
    <w:p w14:paraId="1DF23B1F" w14:textId="77777777" w:rsidR="005E3FEF" w:rsidRPr="005E3FEF" w:rsidRDefault="005E3FEF" w:rsidP="005E3FEF">
      <w:pPr>
        <w:rPr>
          <w:lang w:val="en-US"/>
        </w:rPr>
      </w:pPr>
      <w:r w:rsidRPr="005E3FEF">
        <w:rPr>
          <w:lang w:val="en-US"/>
        </w:rPr>
        <w:t>A minimum of 3 printing colors plus an additional section for applying a water emulsion.</w:t>
      </w:r>
    </w:p>
    <w:p w14:paraId="70D2D0E0" w14:textId="77777777" w:rsidR="005E3FEF" w:rsidRPr="005E3FEF" w:rsidRDefault="005E3FEF" w:rsidP="005E3FEF">
      <w:pPr>
        <w:rPr>
          <w:lang w:val="en-US"/>
        </w:rPr>
      </w:pPr>
      <w:r w:rsidRPr="005E3FEF">
        <w:rPr>
          <w:lang w:val="en-US"/>
        </w:rPr>
        <w:t>The machine must be adapted to print 3 and 5-layer cardboard in C, B, CB, BE waves.</w:t>
      </w:r>
    </w:p>
    <w:p w14:paraId="62A41F8D" w14:textId="035B5328" w:rsidR="005E3FEF" w:rsidRPr="005E3FEF" w:rsidRDefault="005E3FEF" w:rsidP="005E3FEF">
      <w:pPr>
        <w:rPr>
          <w:lang w:val="en-US"/>
        </w:rPr>
      </w:pPr>
      <w:r w:rsidRPr="005E3FEF">
        <w:rPr>
          <w:lang w:val="en-US"/>
        </w:rPr>
        <w:t xml:space="preserve">Maximum speed - </w:t>
      </w:r>
      <w:r w:rsidR="00C04DBE">
        <w:rPr>
          <w:lang w:val="en-US"/>
        </w:rPr>
        <w:t>minimum</w:t>
      </w:r>
      <w:r w:rsidRPr="005E3FEF">
        <w:rPr>
          <w:lang w:val="en-US"/>
        </w:rPr>
        <w:t xml:space="preserve"> 180 sheets / min</w:t>
      </w:r>
    </w:p>
    <w:p w14:paraId="4D5B5FEE" w14:textId="77777777" w:rsidR="005E3FEF" w:rsidRPr="005E3FEF" w:rsidRDefault="005E3FEF" w:rsidP="005E3FEF">
      <w:pPr>
        <w:rPr>
          <w:lang w:val="en-US"/>
        </w:rPr>
      </w:pPr>
      <w:r w:rsidRPr="005E3FEF">
        <w:rPr>
          <w:lang w:val="en-US"/>
        </w:rPr>
        <w:t>Working area:</w:t>
      </w:r>
    </w:p>
    <w:p w14:paraId="457C0307" w14:textId="77777777" w:rsidR="005E3FEF" w:rsidRPr="005E3FEF" w:rsidRDefault="005E3FEF" w:rsidP="005E3FEF">
      <w:pPr>
        <w:rPr>
          <w:lang w:val="en-US"/>
        </w:rPr>
      </w:pPr>
      <w:r w:rsidRPr="005E3FEF">
        <w:rPr>
          <w:lang w:val="en-US"/>
        </w:rPr>
        <w:t>- maximum format minimum 900 x 2000 mm or more,</w:t>
      </w:r>
    </w:p>
    <w:p w14:paraId="418D0E04" w14:textId="77777777" w:rsidR="005E3FEF" w:rsidRPr="005E3FEF" w:rsidRDefault="005E3FEF" w:rsidP="005E3FEF">
      <w:pPr>
        <w:rPr>
          <w:lang w:val="en-US"/>
        </w:rPr>
      </w:pPr>
      <w:r w:rsidRPr="005E3FEF">
        <w:rPr>
          <w:lang w:val="en-US"/>
        </w:rPr>
        <w:t>- Minimum format minimum 320 x 650 mm or less,</w:t>
      </w:r>
    </w:p>
    <w:p w14:paraId="5B5F8D90" w14:textId="6400A7A2" w:rsidR="005E3FEF" w:rsidRPr="005E3FEF" w:rsidRDefault="005E3FEF" w:rsidP="005E3FEF">
      <w:pPr>
        <w:rPr>
          <w:lang w:val="en-US"/>
        </w:rPr>
      </w:pPr>
      <w:r w:rsidRPr="005E3FEF">
        <w:rPr>
          <w:lang w:val="en-US"/>
        </w:rPr>
        <w:t>The machine must be equipped with automatic sections for cleaning, counting and stacking</w:t>
      </w:r>
    </w:p>
    <w:p w14:paraId="7BC6AC8B" w14:textId="77777777" w:rsidR="005E3FEF" w:rsidRPr="005E3FEF" w:rsidRDefault="005E3FEF" w:rsidP="005E3FEF">
      <w:pPr>
        <w:rPr>
          <w:lang w:val="en-US"/>
        </w:rPr>
      </w:pPr>
      <w:r w:rsidRPr="005E3FEF">
        <w:rPr>
          <w:lang w:val="en-US"/>
        </w:rPr>
        <w:t>in given packages.</w:t>
      </w:r>
    </w:p>
    <w:p w14:paraId="65AC3FC7" w14:textId="77777777" w:rsidR="00B70001" w:rsidRDefault="00B70001" w:rsidP="00AE696B">
      <w:pPr>
        <w:jc w:val="both"/>
        <w:rPr>
          <w:lang w:val="en-US"/>
        </w:rPr>
      </w:pPr>
    </w:p>
    <w:p w14:paraId="0779AA1D" w14:textId="61BB334F" w:rsidR="00AE696B" w:rsidRPr="00CA55C0" w:rsidRDefault="00AE696B" w:rsidP="00AE696B">
      <w:pPr>
        <w:jc w:val="both"/>
        <w:rPr>
          <w:lang w:val="en-US"/>
        </w:rPr>
      </w:pPr>
      <w:r w:rsidRPr="00CA55C0">
        <w:rPr>
          <w:lang w:val="en-US"/>
        </w:rPr>
        <w:t xml:space="preserve">Service and technical support within 24 hours, </w:t>
      </w:r>
    </w:p>
    <w:p w14:paraId="33D654B5" w14:textId="01391223" w:rsidR="00AE696B" w:rsidRPr="00AE696B" w:rsidRDefault="00AE696B" w:rsidP="00AE696B">
      <w:pPr>
        <w:jc w:val="both"/>
        <w:rPr>
          <w:lang w:val="en-US"/>
        </w:rPr>
      </w:pPr>
      <w:r w:rsidRPr="00AE696B">
        <w:rPr>
          <w:lang w:val="en-US"/>
        </w:rPr>
        <w:t>Guarantee period minimum 12 months</w:t>
      </w:r>
    </w:p>
    <w:p w14:paraId="47715448" w14:textId="77777777" w:rsidR="00B70001" w:rsidRDefault="00B70001" w:rsidP="00022FC3">
      <w:pPr>
        <w:rPr>
          <w:lang w:val="en-US"/>
        </w:rPr>
      </w:pPr>
    </w:p>
    <w:p w14:paraId="10395208" w14:textId="30C66DDC" w:rsidR="00022FC3" w:rsidRPr="00022FC3" w:rsidRDefault="00022FC3" w:rsidP="00022FC3">
      <w:pPr>
        <w:rPr>
          <w:lang w:val="en-US"/>
        </w:rPr>
      </w:pPr>
      <w:r w:rsidRPr="00022FC3">
        <w:rPr>
          <w:lang w:val="en-US"/>
        </w:rPr>
        <w:t>The machine may be new or used.</w:t>
      </w:r>
    </w:p>
    <w:p w14:paraId="4CF4FF44" w14:textId="020CC032" w:rsidR="00022FC3" w:rsidRDefault="00022FC3" w:rsidP="00022FC3">
      <w:pPr>
        <w:rPr>
          <w:lang w:val="en-US"/>
        </w:rPr>
      </w:pPr>
      <w:r w:rsidRPr="00022FC3">
        <w:rPr>
          <w:lang w:val="en-US"/>
        </w:rPr>
        <w:t>In the case of submitting an offer for a used fixed asset, the Seller is obliged to attach a Statement that its purchase in the last 7 years preceding the date of submitting the offer was not co-financed from Community funds or from national funds constituting state aid or de minimis aid.</w:t>
      </w:r>
    </w:p>
    <w:p w14:paraId="6D2DED0F" w14:textId="77777777" w:rsidR="00022FC3" w:rsidRDefault="00022FC3" w:rsidP="00D654EC">
      <w:pPr>
        <w:rPr>
          <w:lang w:val="en-US"/>
        </w:rPr>
      </w:pPr>
    </w:p>
    <w:p w14:paraId="681E0081" w14:textId="04231DA9" w:rsidR="00D654EC" w:rsidRPr="00D654EC" w:rsidRDefault="00D654EC" w:rsidP="00C04DBE">
      <w:pPr>
        <w:jc w:val="both"/>
        <w:rPr>
          <w:lang w:val="en-US"/>
        </w:rPr>
      </w:pPr>
      <w:r w:rsidRPr="00D654EC">
        <w:rPr>
          <w:lang w:val="en-US"/>
        </w:rPr>
        <w:t>The price of the subject of the contract should include the cost of delivery to the registered office of the Ordering Party.</w:t>
      </w:r>
    </w:p>
    <w:p w14:paraId="72EC56E6" w14:textId="1D1C6B52" w:rsidR="003A6B2A" w:rsidRDefault="00D654EC" w:rsidP="00C04DBE">
      <w:pPr>
        <w:jc w:val="both"/>
        <w:rPr>
          <w:lang w:val="en-US"/>
        </w:rPr>
      </w:pPr>
      <w:r w:rsidRPr="00D654EC">
        <w:rPr>
          <w:lang w:val="en-US"/>
        </w:rPr>
        <w:t xml:space="preserve">The contracting authority also provides for the option of delivery to the Port of Gdansk. In this case, the Ordering Party, when choosing the best offer, will increase the price from such an offer by the costs of delivery from Gdańsk to Szczecinek in the amount of PLN </w:t>
      </w:r>
      <w:r w:rsidR="00022FC3">
        <w:rPr>
          <w:lang w:val="en-US"/>
        </w:rPr>
        <w:t>10</w:t>
      </w:r>
      <w:r w:rsidR="00D32A09">
        <w:rPr>
          <w:lang w:val="en-US"/>
        </w:rPr>
        <w:t xml:space="preserve"> </w:t>
      </w:r>
      <w:r w:rsidRPr="00D654EC">
        <w:rPr>
          <w:lang w:val="en-US"/>
        </w:rPr>
        <w:t>000.</w:t>
      </w:r>
    </w:p>
    <w:p w14:paraId="175F8807" w14:textId="46F243E4" w:rsidR="0036322C" w:rsidRDefault="0036322C" w:rsidP="00C04DBE">
      <w:pPr>
        <w:jc w:val="both"/>
        <w:rPr>
          <w:lang w:val="en-US"/>
        </w:rPr>
      </w:pPr>
    </w:p>
    <w:p w14:paraId="7FEFB39D" w14:textId="77777777" w:rsidR="0036322C" w:rsidRPr="0036322C" w:rsidRDefault="0036322C" w:rsidP="00C04DBE">
      <w:pPr>
        <w:jc w:val="both"/>
        <w:rPr>
          <w:lang w:val="en-US"/>
        </w:rPr>
      </w:pPr>
      <w:r w:rsidRPr="0036322C">
        <w:rPr>
          <w:lang w:val="en-US"/>
        </w:rPr>
        <w:t xml:space="preserve">Please be advised that the purchase of the machine will be partially financed from EU funds. Therefore, it should be borne in mind that the device is to be in accordance with the </w:t>
      </w:r>
      <w:r w:rsidRPr="0036322C">
        <w:rPr>
          <w:lang w:val="en-US"/>
        </w:rPr>
        <w:lastRenderedPageBreak/>
        <w:t>Accessibility Standards for the Cohesion Policy 2014-2020, which will provide people with disabilities equal access to its use.</w:t>
      </w:r>
    </w:p>
    <w:p w14:paraId="29CA93EF" w14:textId="77777777" w:rsidR="0036322C" w:rsidRPr="0036322C" w:rsidRDefault="0036322C" w:rsidP="00C04DBE">
      <w:pPr>
        <w:jc w:val="both"/>
        <w:rPr>
          <w:lang w:val="en-US"/>
        </w:rPr>
      </w:pPr>
      <w:r w:rsidRPr="0036322C">
        <w:rPr>
          <w:lang w:val="en-US"/>
        </w:rPr>
        <w:t>The machine should have certificates, attestations and approvals required by law and applicable regulations.</w:t>
      </w:r>
    </w:p>
    <w:p w14:paraId="6776E417" w14:textId="77777777" w:rsidR="0036322C" w:rsidRPr="0036322C" w:rsidRDefault="0036322C" w:rsidP="0036322C">
      <w:pPr>
        <w:rPr>
          <w:b/>
          <w:bCs/>
          <w:lang w:val="en-US"/>
        </w:rPr>
      </w:pPr>
      <w:r w:rsidRPr="0036322C">
        <w:rPr>
          <w:b/>
          <w:bCs/>
          <w:lang w:val="en-US"/>
        </w:rPr>
        <w:t>CPV code</w:t>
      </w:r>
    </w:p>
    <w:p w14:paraId="571939BE" w14:textId="2B84578B" w:rsidR="0036322C" w:rsidRDefault="0036322C" w:rsidP="0036322C">
      <w:pPr>
        <w:rPr>
          <w:lang w:val="en-US"/>
        </w:rPr>
      </w:pPr>
      <w:r w:rsidRPr="0036322C">
        <w:rPr>
          <w:lang w:val="en-US"/>
        </w:rPr>
        <w:t>42991200-1 Printing machines</w:t>
      </w:r>
    </w:p>
    <w:p w14:paraId="5A3E0E44" w14:textId="77777777" w:rsidR="00771C85" w:rsidRPr="00CA55C0" w:rsidRDefault="00771C85" w:rsidP="00771C85">
      <w:pPr>
        <w:jc w:val="both"/>
        <w:rPr>
          <w:lang w:val="en-US"/>
        </w:rPr>
      </w:pPr>
      <w:r w:rsidRPr="00CA55C0">
        <w:rPr>
          <w:lang w:val="en-US"/>
        </w:rPr>
        <w:t>42000000-6 Industrial machinery</w:t>
      </w:r>
    </w:p>
    <w:p w14:paraId="7DC923BB" w14:textId="77777777" w:rsidR="0036322C" w:rsidRPr="0036322C" w:rsidRDefault="0036322C" w:rsidP="0036322C">
      <w:pPr>
        <w:rPr>
          <w:lang w:val="en-US"/>
        </w:rPr>
      </w:pPr>
    </w:p>
    <w:p w14:paraId="286CCAD9" w14:textId="77777777" w:rsidR="0036322C" w:rsidRPr="0036322C" w:rsidRDefault="0036322C" w:rsidP="0036322C">
      <w:pPr>
        <w:rPr>
          <w:b/>
          <w:bCs/>
          <w:lang w:val="en-US"/>
        </w:rPr>
      </w:pPr>
      <w:r w:rsidRPr="0036322C">
        <w:rPr>
          <w:b/>
          <w:bCs/>
          <w:lang w:val="en-US"/>
        </w:rPr>
        <w:t>Additional order items</w:t>
      </w:r>
    </w:p>
    <w:p w14:paraId="70AEC1DE" w14:textId="77777777" w:rsidR="0036322C" w:rsidRPr="0036322C" w:rsidRDefault="0036322C" w:rsidP="0036322C">
      <w:pPr>
        <w:rPr>
          <w:b/>
          <w:bCs/>
          <w:lang w:val="en-US"/>
        </w:rPr>
      </w:pPr>
      <w:r w:rsidRPr="0036322C">
        <w:rPr>
          <w:b/>
          <w:bCs/>
          <w:lang w:val="en-US"/>
        </w:rPr>
        <w:t>Order fulfillment schedule</w:t>
      </w:r>
    </w:p>
    <w:p w14:paraId="7B505615" w14:textId="03C69614" w:rsidR="0036322C" w:rsidRDefault="0036322C" w:rsidP="00771C85">
      <w:pPr>
        <w:jc w:val="both"/>
        <w:rPr>
          <w:lang w:val="en-US"/>
        </w:rPr>
      </w:pPr>
      <w:r w:rsidRPr="0036322C">
        <w:rPr>
          <w:lang w:val="en-US"/>
        </w:rPr>
        <w:t xml:space="preserve">The maximum order completion date </w:t>
      </w:r>
      <w:r w:rsidR="00022FC3">
        <w:rPr>
          <w:lang w:val="en-US"/>
        </w:rPr>
        <w:t>–</w:t>
      </w:r>
      <w:r w:rsidRPr="0036322C">
        <w:rPr>
          <w:lang w:val="en-US"/>
        </w:rPr>
        <w:t xml:space="preserve"> </w:t>
      </w:r>
      <w:r w:rsidR="00022FC3">
        <w:rPr>
          <w:lang w:val="en-US"/>
        </w:rPr>
        <w:t>September 30</w:t>
      </w:r>
      <w:r w:rsidRPr="0036322C">
        <w:rPr>
          <w:lang w:val="en-US"/>
        </w:rPr>
        <w:t>, 202</w:t>
      </w:r>
      <w:r w:rsidR="00022FC3">
        <w:rPr>
          <w:lang w:val="en-US"/>
        </w:rPr>
        <w:t>2</w:t>
      </w:r>
      <w:r w:rsidRPr="0036322C">
        <w:rPr>
          <w:lang w:val="en-US"/>
        </w:rPr>
        <w:t>.</w:t>
      </w:r>
    </w:p>
    <w:p w14:paraId="54036E52" w14:textId="3D7492D0" w:rsidR="0036322C" w:rsidRDefault="0036322C" w:rsidP="00771C85">
      <w:pPr>
        <w:jc w:val="both"/>
        <w:rPr>
          <w:lang w:val="en-US"/>
        </w:rPr>
      </w:pPr>
      <w:r w:rsidRPr="0036322C">
        <w:rPr>
          <w:lang w:val="en-US"/>
        </w:rPr>
        <w:t>The order fulfillment date may change in the event of the circumstances indicated in the section "Terms of contract amendment".</w:t>
      </w:r>
    </w:p>
    <w:p w14:paraId="3C310DE7" w14:textId="77777777" w:rsidR="00E403E1" w:rsidRPr="00E403E1" w:rsidRDefault="00E403E1" w:rsidP="00771C85">
      <w:pPr>
        <w:jc w:val="both"/>
        <w:rPr>
          <w:b/>
          <w:bCs/>
          <w:lang w:val="en-US"/>
        </w:rPr>
      </w:pPr>
    </w:p>
    <w:p w14:paraId="22AC2206" w14:textId="77777777" w:rsidR="0036322C" w:rsidRPr="00E403E1" w:rsidRDefault="0036322C" w:rsidP="00771C85">
      <w:pPr>
        <w:jc w:val="both"/>
        <w:rPr>
          <w:b/>
          <w:bCs/>
          <w:lang w:val="en-US"/>
        </w:rPr>
      </w:pPr>
      <w:r w:rsidRPr="00E403E1">
        <w:rPr>
          <w:b/>
          <w:bCs/>
          <w:lang w:val="en-US"/>
        </w:rPr>
        <w:t>Conditions for participation in the procedure</w:t>
      </w:r>
    </w:p>
    <w:p w14:paraId="40A1F8AD" w14:textId="77777777" w:rsidR="0036322C" w:rsidRPr="00E403E1" w:rsidRDefault="0036322C" w:rsidP="00771C85">
      <w:pPr>
        <w:jc w:val="both"/>
        <w:rPr>
          <w:b/>
          <w:bCs/>
          <w:lang w:val="en-US"/>
        </w:rPr>
      </w:pPr>
      <w:r w:rsidRPr="00E403E1">
        <w:rPr>
          <w:b/>
          <w:bCs/>
          <w:lang w:val="en-US"/>
        </w:rPr>
        <w:t>Authorization to perform a specific activity or activity</w:t>
      </w:r>
    </w:p>
    <w:p w14:paraId="20CDDD0A" w14:textId="77777777" w:rsidR="0036322C" w:rsidRPr="0036322C" w:rsidRDefault="0036322C" w:rsidP="00771C85">
      <w:pPr>
        <w:jc w:val="both"/>
        <w:rPr>
          <w:lang w:val="en-US"/>
        </w:rPr>
      </w:pPr>
      <w:r w:rsidRPr="0036322C">
        <w:rPr>
          <w:lang w:val="en-US"/>
        </w:rPr>
        <w:t>The contracting authority does not lay down any conditions in this respect.</w:t>
      </w:r>
    </w:p>
    <w:p w14:paraId="14A59A75" w14:textId="77777777" w:rsidR="0036322C" w:rsidRPr="0036322C" w:rsidRDefault="0036322C" w:rsidP="00771C85">
      <w:pPr>
        <w:jc w:val="both"/>
        <w:rPr>
          <w:lang w:val="en-US"/>
        </w:rPr>
      </w:pPr>
    </w:p>
    <w:p w14:paraId="30233B78" w14:textId="77777777" w:rsidR="0036322C" w:rsidRPr="00E403E1" w:rsidRDefault="0036322C" w:rsidP="00771C85">
      <w:pPr>
        <w:jc w:val="both"/>
        <w:rPr>
          <w:b/>
          <w:bCs/>
          <w:lang w:val="en-US"/>
        </w:rPr>
      </w:pPr>
      <w:r w:rsidRPr="00E403E1">
        <w:rPr>
          <w:b/>
          <w:bCs/>
          <w:lang w:val="en-US"/>
        </w:rPr>
        <w:t>Knowledge and experience</w:t>
      </w:r>
    </w:p>
    <w:p w14:paraId="52AD3093" w14:textId="77777777" w:rsidR="0036322C" w:rsidRPr="0036322C" w:rsidRDefault="0036322C" w:rsidP="00771C85">
      <w:pPr>
        <w:jc w:val="both"/>
        <w:rPr>
          <w:lang w:val="en-US"/>
        </w:rPr>
      </w:pPr>
      <w:r w:rsidRPr="0036322C">
        <w:rPr>
          <w:lang w:val="en-US"/>
        </w:rPr>
        <w:t>The contracting authority does not specify (describe) the method of assessing compliance with the condition in this respect. The condition will be deemed fulfilled if the Contractor submits a declaration of compliance with the conditions for participation in the procedure, with the content specified in the offer form constituting Appendix No. 1 to this inquiry.</w:t>
      </w:r>
    </w:p>
    <w:p w14:paraId="592D6A44" w14:textId="77777777" w:rsidR="0036322C" w:rsidRPr="0036322C" w:rsidRDefault="0036322C" w:rsidP="00771C85">
      <w:pPr>
        <w:jc w:val="both"/>
        <w:rPr>
          <w:lang w:val="en-US"/>
        </w:rPr>
      </w:pPr>
    </w:p>
    <w:p w14:paraId="3E529E00" w14:textId="77777777" w:rsidR="0036322C" w:rsidRPr="00E403E1" w:rsidRDefault="0036322C" w:rsidP="00771C85">
      <w:pPr>
        <w:jc w:val="both"/>
        <w:rPr>
          <w:b/>
          <w:bCs/>
          <w:lang w:val="en-US"/>
        </w:rPr>
      </w:pPr>
      <w:r w:rsidRPr="00E403E1">
        <w:rPr>
          <w:b/>
          <w:bCs/>
          <w:lang w:val="en-US"/>
        </w:rPr>
        <w:t>Technical potential</w:t>
      </w:r>
    </w:p>
    <w:p w14:paraId="0284440A" w14:textId="77777777" w:rsidR="0036322C" w:rsidRPr="0036322C" w:rsidRDefault="0036322C" w:rsidP="00771C85">
      <w:pPr>
        <w:jc w:val="both"/>
        <w:rPr>
          <w:lang w:val="en-US"/>
        </w:rPr>
      </w:pPr>
      <w:r w:rsidRPr="0036322C">
        <w:rPr>
          <w:lang w:val="en-US"/>
        </w:rPr>
        <w:t>The contracting authority does not specify (describe) the method of assessing compliance with the condition in this respect. The condition will be deemed to be met if the Contractor submits a declaration of compliance with the conditions for participation in the procedure, with the content specified in the tender form constituting Annex 1 to this inquiry.</w:t>
      </w:r>
    </w:p>
    <w:p w14:paraId="2732E589" w14:textId="77777777" w:rsidR="0036322C" w:rsidRPr="0036322C" w:rsidRDefault="0036322C" w:rsidP="00771C85">
      <w:pPr>
        <w:jc w:val="both"/>
        <w:rPr>
          <w:lang w:val="en-US"/>
        </w:rPr>
      </w:pPr>
    </w:p>
    <w:p w14:paraId="669C918F" w14:textId="77777777" w:rsidR="0036322C" w:rsidRPr="00E403E1" w:rsidRDefault="0036322C" w:rsidP="00771C85">
      <w:pPr>
        <w:jc w:val="both"/>
        <w:rPr>
          <w:b/>
          <w:bCs/>
          <w:lang w:val="en-US"/>
        </w:rPr>
      </w:pPr>
      <w:r w:rsidRPr="00E403E1">
        <w:rPr>
          <w:b/>
          <w:bCs/>
          <w:lang w:val="en-US"/>
        </w:rPr>
        <w:t>Persons able to fulfill the order</w:t>
      </w:r>
    </w:p>
    <w:p w14:paraId="1F891529" w14:textId="77777777" w:rsidR="0036322C" w:rsidRPr="0036322C" w:rsidRDefault="0036322C" w:rsidP="00771C85">
      <w:pPr>
        <w:jc w:val="both"/>
        <w:rPr>
          <w:lang w:val="en-US"/>
        </w:rPr>
      </w:pPr>
      <w:r w:rsidRPr="0036322C">
        <w:rPr>
          <w:lang w:val="en-US"/>
        </w:rPr>
        <w:t>The contracting authority does not specify (describe) the method of assessing compliance with the condition in this respect. The condition will be deemed fulfilled if the Contractor submits a declaration of compliance with the conditions for participation in the procedure, with the content specified in the offer form constituting Appendix No. 1 to this inquiry.</w:t>
      </w:r>
    </w:p>
    <w:p w14:paraId="3E5D2B24" w14:textId="77777777" w:rsidR="0036322C" w:rsidRPr="0036322C" w:rsidRDefault="0036322C" w:rsidP="00771C85">
      <w:pPr>
        <w:jc w:val="both"/>
        <w:rPr>
          <w:lang w:val="en-US"/>
        </w:rPr>
      </w:pPr>
    </w:p>
    <w:p w14:paraId="174CDD05" w14:textId="77777777" w:rsidR="0036322C" w:rsidRPr="00E403E1" w:rsidRDefault="0036322C" w:rsidP="00771C85">
      <w:pPr>
        <w:jc w:val="both"/>
        <w:rPr>
          <w:b/>
          <w:bCs/>
          <w:lang w:val="en-US"/>
        </w:rPr>
      </w:pPr>
      <w:r w:rsidRPr="00E403E1">
        <w:rPr>
          <w:b/>
          <w:bCs/>
          <w:lang w:val="en-US"/>
        </w:rPr>
        <w:t>Economic and financial situation</w:t>
      </w:r>
    </w:p>
    <w:p w14:paraId="7AC7D397" w14:textId="77777777" w:rsidR="0036322C" w:rsidRPr="0036322C" w:rsidRDefault="0036322C" w:rsidP="00771C85">
      <w:pPr>
        <w:jc w:val="both"/>
        <w:rPr>
          <w:lang w:val="en-US"/>
        </w:rPr>
      </w:pPr>
      <w:r w:rsidRPr="0036322C">
        <w:rPr>
          <w:lang w:val="en-US"/>
        </w:rPr>
        <w:t>The contracting authority does not specify (describe) the method of assessing compliance with the condition in this respect. The condition will be deemed fulfilled if the Contractor submits a declaration of compliance with the conditions for participation in the procedure, with the content specified in the offer form constituting Appendix No. 1 to this inquiry.</w:t>
      </w:r>
    </w:p>
    <w:p w14:paraId="5F0D52B2" w14:textId="77777777" w:rsidR="0036322C" w:rsidRPr="00E403E1" w:rsidRDefault="0036322C" w:rsidP="00771C85">
      <w:pPr>
        <w:jc w:val="both"/>
        <w:rPr>
          <w:b/>
          <w:bCs/>
          <w:lang w:val="en-US"/>
        </w:rPr>
      </w:pPr>
    </w:p>
    <w:p w14:paraId="1D2A66D6" w14:textId="77777777" w:rsidR="0036322C" w:rsidRPr="00E403E1" w:rsidRDefault="0036322C" w:rsidP="00771C85">
      <w:pPr>
        <w:jc w:val="both"/>
        <w:rPr>
          <w:b/>
          <w:bCs/>
          <w:lang w:val="en-US"/>
        </w:rPr>
      </w:pPr>
      <w:r w:rsidRPr="00E403E1">
        <w:rPr>
          <w:b/>
          <w:bCs/>
          <w:lang w:val="en-US"/>
        </w:rPr>
        <w:t>Additional terms</w:t>
      </w:r>
    </w:p>
    <w:p w14:paraId="57236961" w14:textId="547C86B8" w:rsidR="0036322C" w:rsidRDefault="0036322C" w:rsidP="00771C85">
      <w:pPr>
        <w:jc w:val="both"/>
        <w:rPr>
          <w:lang w:val="en-US"/>
        </w:rPr>
      </w:pPr>
      <w:r w:rsidRPr="0036322C">
        <w:rPr>
          <w:lang w:val="en-US"/>
        </w:rPr>
        <w:t>Lack</w:t>
      </w:r>
    </w:p>
    <w:p w14:paraId="484923C0" w14:textId="38ED4D99" w:rsidR="0036322C" w:rsidRPr="00E403E1" w:rsidRDefault="0036322C" w:rsidP="00771C85">
      <w:pPr>
        <w:jc w:val="both"/>
        <w:rPr>
          <w:b/>
          <w:bCs/>
          <w:lang w:val="en-US"/>
        </w:rPr>
      </w:pPr>
    </w:p>
    <w:p w14:paraId="157A2FA9" w14:textId="77777777" w:rsidR="0036322C" w:rsidRPr="00E403E1" w:rsidRDefault="0036322C" w:rsidP="00771C85">
      <w:pPr>
        <w:jc w:val="both"/>
        <w:rPr>
          <w:b/>
          <w:bCs/>
          <w:lang w:val="en-US"/>
        </w:rPr>
      </w:pPr>
      <w:r w:rsidRPr="00E403E1">
        <w:rPr>
          <w:b/>
          <w:bCs/>
          <w:lang w:val="en-US"/>
        </w:rPr>
        <w:t>Terms of contract amendment</w:t>
      </w:r>
    </w:p>
    <w:p w14:paraId="0B8310E2" w14:textId="77777777" w:rsidR="0036322C" w:rsidRPr="0036322C" w:rsidRDefault="0036322C" w:rsidP="00771C85">
      <w:pPr>
        <w:jc w:val="both"/>
        <w:rPr>
          <w:lang w:val="en-US"/>
        </w:rPr>
      </w:pPr>
      <w:r w:rsidRPr="0036322C">
        <w:rPr>
          <w:lang w:val="en-US"/>
        </w:rPr>
        <w:t>The contracting authority provides for the possibility of introducing significant changes to the content of the procurement contract under the following conditions:</w:t>
      </w:r>
    </w:p>
    <w:p w14:paraId="3E2B6134" w14:textId="5AA5AE7F" w:rsidR="0036322C" w:rsidRPr="0036322C" w:rsidRDefault="0036322C" w:rsidP="00771C85">
      <w:pPr>
        <w:jc w:val="both"/>
        <w:rPr>
          <w:lang w:val="en-US"/>
        </w:rPr>
      </w:pPr>
      <w:r w:rsidRPr="0036322C">
        <w:rPr>
          <w:lang w:val="en-US"/>
        </w:rPr>
        <w:lastRenderedPageBreak/>
        <w:t>a.</w:t>
      </w:r>
      <w:r w:rsidR="00E637D7">
        <w:rPr>
          <w:lang w:val="en-US"/>
        </w:rPr>
        <w:t xml:space="preserve"> </w:t>
      </w:r>
      <w:r w:rsidRPr="0036322C">
        <w:rPr>
          <w:lang w:val="en-US"/>
        </w:rPr>
        <w:t>shift the date of performance of the subject of the contract with the effects of introducing such a change, if for reasons that could not be foreseen at the time of concluding the contract, it is not possible to keep the original deadline for the performance of the subject of the contract;</w:t>
      </w:r>
    </w:p>
    <w:p w14:paraId="213CDD16" w14:textId="77777777" w:rsidR="0036322C" w:rsidRPr="0036322C" w:rsidRDefault="0036322C" w:rsidP="00771C85">
      <w:pPr>
        <w:jc w:val="both"/>
        <w:rPr>
          <w:lang w:val="en-US"/>
        </w:rPr>
      </w:pPr>
      <w:r w:rsidRPr="0036322C">
        <w:rPr>
          <w:lang w:val="en-US"/>
        </w:rPr>
        <w:t>b. postponing the performance of the subject of the contract for lying reasons</w:t>
      </w:r>
    </w:p>
    <w:p w14:paraId="36FA5CA0" w14:textId="77777777" w:rsidR="0036322C" w:rsidRPr="0036322C" w:rsidRDefault="0036322C" w:rsidP="00771C85">
      <w:pPr>
        <w:jc w:val="both"/>
        <w:rPr>
          <w:lang w:val="en-US"/>
        </w:rPr>
      </w:pPr>
      <w:r w:rsidRPr="0036322C">
        <w:rPr>
          <w:lang w:val="en-US"/>
        </w:rPr>
        <w:t>on the part of the Ordering Party along with the effects of such a change;</w:t>
      </w:r>
    </w:p>
    <w:p w14:paraId="3DC0327A" w14:textId="77777777" w:rsidR="0036322C" w:rsidRPr="0036322C" w:rsidRDefault="0036322C" w:rsidP="00771C85">
      <w:pPr>
        <w:jc w:val="both"/>
        <w:rPr>
          <w:lang w:val="en-US"/>
        </w:rPr>
      </w:pPr>
      <w:r w:rsidRPr="0036322C">
        <w:rPr>
          <w:lang w:val="en-US"/>
        </w:rPr>
        <w:t>c. when unforeseen circumstances arise, i.e. circumstances which, with due diligence, could not be foreseen, changes will be necessary, because without their performance, the performance falling within the scope of the subject of the contract will not be possible or the purpose will not be achieved, for which was to be performed; in this case, the Ordering Party and the contractor may specify a changed method of achieving the result being the subject of a given service;</w:t>
      </w:r>
    </w:p>
    <w:p w14:paraId="115D4FAF" w14:textId="77777777" w:rsidR="0036322C" w:rsidRPr="0036322C" w:rsidRDefault="0036322C" w:rsidP="00771C85">
      <w:pPr>
        <w:jc w:val="both"/>
        <w:rPr>
          <w:lang w:val="en-US"/>
        </w:rPr>
      </w:pPr>
      <w:r w:rsidRPr="0036322C">
        <w:rPr>
          <w:lang w:val="en-US"/>
        </w:rPr>
        <w:t>d. in a situation where the result which is the subject of a given incoming service</w:t>
      </w:r>
    </w:p>
    <w:p w14:paraId="43C6AC7D" w14:textId="77777777" w:rsidR="0036322C" w:rsidRPr="0036322C" w:rsidRDefault="0036322C" w:rsidP="00771C85">
      <w:pPr>
        <w:jc w:val="both"/>
        <w:rPr>
          <w:lang w:val="en-US"/>
        </w:rPr>
      </w:pPr>
      <w:r w:rsidRPr="0036322C">
        <w:rPr>
          <w:lang w:val="en-US"/>
        </w:rPr>
        <w:t>within the scope of the subject of the contract, it will be possible to perform faster, more efficiently, with less effort and resources, or with the use of solutions that are more favorable for the Ordering Party in terms of the cost of performing the subject of the contract, operating costs, reliability during the operation period or development opportunities; in this case, the Ordering Party and the contractor may specify a changed method of achieving the result being the subject of a given service;</w:t>
      </w:r>
    </w:p>
    <w:p w14:paraId="37D40EED" w14:textId="77777777" w:rsidR="0036322C" w:rsidRPr="0036322C" w:rsidRDefault="0036322C" w:rsidP="00771C85">
      <w:pPr>
        <w:jc w:val="both"/>
        <w:rPr>
          <w:lang w:val="en-US"/>
        </w:rPr>
      </w:pPr>
      <w:r w:rsidRPr="0036322C">
        <w:rPr>
          <w:lang w:val="en-US"/>
        </w:rPr>
        <w:t>e. extraordinary circumstances (not being "force majeure"), which may lead to gross loss in connection with the performance of the subject of the contract, independent of the Employer and the contractor, which they did not foresee when concluding the contract; in this case, the Ordering Party and the contractor may specify a changed method of achieving the result which is the subject of a given service falling within the scope of the subject of the contract in order to avoid gross loss in the performance of the subject of the contract;</w:t>
      </w:r>
    </w:p>
    <w:p w14:paraId="5D4D79EE" w14:textId="77777777" w:rsidR="0036322C" w:rsidRPr="0036322C" w:rsidRDefault="0036322C" w:rsidP="00771C85">
      <w:pPr>
        <w:jc w:val="both"/>
        <w:rPr>
          <w:lang w:val="en-US"/>
        </w:rPr>
      </w:pPr>
      <w:r w:rsidRPr="0036322C">
        <w:rPr>
          <w:lang w:val="en-US"/>
        </w:rPr>
        <w:t>f. introducing or changing legal regulations or regulations regarding the principles of project co-financing from European Union funds, implemented after the date of conclusion of the procurement contract; in this case, the Ordering Party</w:t>
      </w:r>
    </w:p>
    <w:p w14:paraId="004B8584" w14:textId="77777777" w:rsidR="0036322C" w:rsidRPr="0036322C" w:rsidRDefault="0036322C" w:rsidP="00771C85">
      <w:pPr>
        <w:jc w:val="both"/>
        <w:rPr>
          <w:lang w:val="en-US"/>
        </w:rPr>
      </w:pPr>
      <w:r w:rsidRPr="0036322C">
        <w:rPr>
          <w:lang w:val="en-US"/>
        </w:rPr>
        <w:t>and the contractor may specify a changed method of achieving the result which is the subject of a given service falling within the scope of the subject of the contract in order to adjust it to the changed legal status;</w:t>
      </w:r>
    </w:p>
    <w:p w14:paraId="6C4DDB90" w14:textId="77777777" w:rsidR="0036322C" w:rsidRPr="0036322C" w:rsidRDefault="0036322C" w:rsidP="00771C85">
      <w:pPr>
        <w:jc w:val="both"/>
        <w:rPr>
          <w:lang w:val="en-US"/>
        </w:rPr>
      </w:pPr>
      <w:r w:rsidRPr="0036322C">
        <w:rPr>
          <w:lang w:val="en-US"/>
        </w:rPr>
        <w:t>g. the occurrence, after the conclusion of the contract regarding the procurement, of force majeure, which, for the purposes of this condition, should be understood as an external event to the legal relationship between the Ordering Party and the contractor:</w:t>
      </w:r>
    </w:p>
    <w:p w14:paraId="01ED0F84" w14:textId="77777777" w:rsidR="0036322C" w:rsidRPr="0036322C" w:rsidRDefault="0036322C" w:rsidP="00771C85">
      <w:pPr>
        <w:jc w:val="both"/>
        <w:rPr>
          <w:lang w:val="en-US"/>
        </w:rPr>
      </w:pPr>
      <w:r w:rsidRPr="0036322C">
        <w:rPr>
          <w:lang w:val="en-US"/>
        </w:rPr>
        <w:t>- a nature independent of them,</w:t>
      </w:r>
    </w:p>
    <w:p w14:paraId="7E78E18A" w14:textId="77777777" w:rsidR="0036322C" w:rsidRPr="0036322C" w:rsidRDefault="0036322C" w:rsidP="00771C85">
      <w:pPr>
        <w:jc w:val="both"/>
        <w:rPr>
          <w:lang w:val="en-US"/>
        </w:rPr>
      </w:pPr>
      <w:r w:rsidRPr="0036322C">
        <w:rPr>
          <w:lang w:val="en-US"/>
        </w:rPr>
        <w:t>- which they could not have foreseen prior to the conclusion of the procurement contract,</w:t>
      </w:r>
    </w:p>
    <w:p w14:paraId="7E7159E0" w14:textId="77777777" w:rsidR="0036322C" w:rsidRPr="0036322C" w:rsidRDefault="0036322C" w:rsidP="00771C85">
      <w:pPr>
        <w:jc w:val="both"/>
        <w:rPr>
          <w:lang w:val="en-US"/>
        </w:rPr>
      </w:pPr>
      <w:r w:rsidRPr="0036322C">
        <w:rPr>
          <w:lang w:val="en-US"/>
        </w:rPr>
        <w:t>- which could not be avoided or prevented with due diligence,</w:t>
      </w:r>
    </w:p>
    <w:p w14:paraId="5D91E920" w14:textId="77777777" w:rsidR="0036322C" w:rsidRPr="0036322C" w:rsidRDefault="0036322C" w:rsidP="00771C85">
      <w:pPr>
        <w:jc w:val="both"/>
        <w:rPr>
          <w:lang w:val="en-US"/>
        </w:rPr>
      </w:pPr>
      <w:r w:rsidRPr="0036322C">
        <w:rPr>
          <w:lang w:val="en-US"/>
        </w:rPr>
        <w:t>- which cannot be attributed to the Employer or the contractor.</w:t>
      </w:r>
    </w:p>
    <w:p w14:paraId="41A9491E" w14:textId="77777777" w:rsidR="0036322C" w:rsidRPr="0036322C" w:rsidRDefault="0036322C" w:rsidP="00771C85">
      <w:pPr>
        <w:jc w:val="both"/>
        <w:rPr>
          <w:lang w:val="en-US"/>
        </w:rPr>
      </w:pPr>
      <w:r w:rsidRPr="0036322C">
        <w:rPr>
          <w:lang w:val="en-US"/>
        </w:rPr>
        <w:t>Force majeure shall be in particular: flood, fire and other natural disasters, riots, strikes, terrorist attacks, hostilities, sudden breakdowns in weather conditions, sudden power cuts, radiation or contamination.</w:t>
      </w:r>
    </w:p>
    <w:p w14:paraId="1666CB3C" w14:textId="77777777" w:rsidR="0036322C" w:rsidRPr="0036322C" w:rsidRDefault="0036322C" w:rsidP="00771C85">
      <w:pPr>
        <w:jc w:val="both"/>
        <w:rPr>
          <w:lang w:val="en-US"/>
        </w:rPr>
      </w:pPr>
      <w:r w:rsidRPr="0036322C">
        <w:rPr>
          <w:lang w:val="en-US"/>
        </w:rPr>
        <w:t>In this case, the deadline for completing the subject of the contract may be postponed by the duration of force majeure and the duration of its consequences. In this case, the Ordering Party and the contractor may also specify a changed method of achieving the result which is the subject of a given service falling within the scope of the subject of the contract in order to adapt it to the effects of force majeure.</w:t>
      </w:r>
    </w:p>
    <w:p w14:paraId="008F6D48" w14:textId="40EF36AD" w:rsidR="0036322C" w:rsidRDefault="0036322C" w:rsidP="00771C85">
      <w:pPr>
        <w:jc w:val="both"/>
        <w:rPr>
          <w:lang w:val="en-US"/>
        </w:rPr>
      </w:pPr>
      <w:r w:rsidRPr="0036322C">
        <w:rPr>
          <w:lang w:val="en-US"/>
        </w:rPr>
        <w:t xml:space="preserve">The contracting authority also provides for the possibility of introducing changes to the content of the procurement contract in cases permitted in accordance with the Guidelines on the eligibility of expenditure under the European Regional Development Fund, the European Social Fund and the Cohesion Fund for 2014-2020. The above-mentioned changes will be made at the </w:t>
      </w:r>
      <w:r w:rsidRPr="0036322C">
        <w:rPr>
          <w:lang w:val="en-US"/>
        </w:rPr>
        <w:lastRenderedPageBreak/>
        <w:t>request of the Ordering Party or the contractor, with the consent of both parties, in the form of an annex to the contract on the order made in writing under pain of nullity.</w:t>
      </w:r>
    </w:p>
    <w:p w14:paraId="341169EF" w14:textId="3B96850D" w:rsidR="00E403E1" w:rsidRDefault="00E403E1" w:rsidP="00771C85">
      <w:pPr>
        <w:jc w:val="both"/>
        <w:rPr>
          <w:lang w:val="en-US"/>
        </w:rPr>
      </w:pPr>
    </w:p>
    <w:p w14:paraId="187B0F2E" w14:textId="440207D1" w:rsidR="00771C85" w:rsidRDefault="00771C85" w:rsidP="00771C85">
      <w:pPr>
        <w:jc w:val="both"/>
        <w:rPr>
          <w:lang w:val="en-US"/>
        </w:rPr>
      </w:pPr>
    </w:p>
    <w:p w14:paraId="1CF2A7EE" w14:textId="77777777" w:rsidR="00771C85" w:rsidRPr="0036322C" w:rsidRDefault="00771C85" w:rsidP="00771C85">
      <w:pPr>
        <w:jc w:val="both"/>
        <w:rPr>
          <w:lang w:val="en-US"/>
        </w:rPr>
      </w:pPr>
    </w:p>
    <w:p w14:paraId="19600447" w14:textId="77777777" w:rsidR="0036322C" w:rsidRPr="00E403E1" w:rsidRDefault="0036322C" w:rsidP="00771C85">
      <w:pPr>
        <w:jc w:val="both"/>
        <w:rPr>
          <w:b/>
          <w:bCs/>
          <w:lang w:val="en-US"/>
        </w:rPr>
      </w:pPr>
      <w:r w:rsidRPr="00E403E1">
        <w:rPr>
          <w:b/>
          <w:bCs/>
          <w:lang w:val="en-US"/>
        </w:rPr>
        <w:t>List of documents / statements required from the Contractor</w:t>
      </w:r>
    </w:p>
    <w:p w14:paraId="1390D636" w14:textId="77777777" w:rsidR="0036322C" w:rsidRPr="0036322C" w:rsidRDefault="0036322C" w:rsidP="00771C85">
      <w:pPr>
        <w:jc w:val="both"/>
        <w:rPr>
          <w:lang w:val="en-US"/>
        </w:rPr>
      </w:pPr>
      <w:r w:rsidRPr="0036322C">
        <w:rPr>
          <w:lang w:val="en-US"/>
        </w:rPr>
        <w:t>Offer form</w:t>
      </w:r>
    </w:p>
    <w:p w14:paraId="3676A05C" w14:textId="77777777" w:rsidR="0036322C" w:rsidRPr="0036322C" w:rsidRDefault="0036322C" w:rsidP="00771C85">
      <w:pPr>
        <w:jc w:val="both"/>
        <w:rPr>
          <w:lang w:val="en-US"/>
        </w:rPr>
      </w:pPr>
      <w:r w:rsidRPr="0036322C">
        <w:rPr>
          <w:lang w:val="en-US"/>
        </w:rPr>
        <w:t>Statement of no connection</w:t>
      </w:r>
    </w:p>
    <w:p w14:paraId="7FF2B73B" w14:textId="77777777" w:rsidR="0036322C" w:rsidRPr="0036322C" w:rsidRDefault="0036322C" w:rsidP="00771C85">
      <w:pPr>
        <w:jc w:val="both"/>
        <w:rPr>
          <w:lang w:val="en-US"/>
        </w:rPr>
      </w:pPr>
    </w:p>
    <w:p w14:paraId="1D6C57CF" w14:textId="77777777" w:rsidR="0036322C" w:rsidRPr="00E403E1" w:rsidRDefault="0036322C" w:rsidP="00771C85">
      <w:pPr>
        <w:jc w:val="both"/>
        <w:rPr>
          <w:b/>
          <w:bCs/>
          <w:lang w:val="en-US"/>
        </w:rPr>
      </w:pPr>
      <w:r w:rsidRPr="00E403E1">
        <w:rPr>
          <w:b/>
          <w:bCs/>
          <w:lang w:val="en-US"/>
        </w:rPr>
        <w:t>Supplementary orders</w:t>
      </w:r>
    </w:p>
    <w:p w14:paraId="60715FF6" w14:textId="1B19BC8F" w:rsidR="0036322C" w:rsidRDefault="0036322C" w:rsidP="00771C85">
      <w:pPr>
        <w:jc w:val="both"/>
        <w:rPr>
          <w:lang w:val="en-US"/>
        </w:rPr>
      </w:pPr>
      <w:r w:rsidRPr="0036322C">
        <w:rPr>
          <w:lang w:val="en-US"/>
        </w:rPr>
        <w:t>The ordering party does not envisage any supplementary or additional orders.</w:t>
      </w:r>
    </w:p>
    <w:p w14:paraId="45637F68" w14:textId="77777777" w:rsidR="00E403E1" w:rsidRPr="0036322C" w:rsidRDefault="00E403E1" w:rsidP="00771C85">
      <w:pPr>
        <w:jc w:val="both"/>
        <w:rPr>
          <w:lang w:val="en-US"/>
        </w:rPr>
      </w:pPr>
    </w:p>
    <w:p w14:paraId="787B504F" w14:textId="77777777" w:rsidR="0036322C" w:rsidRPr="00E403E1" w:rsidRDefault="0036322C" w:rsidP="00771C85">
      <w:pPr>
        <w:jc w:val="both"/>
        <w:rPr>
          <w:b/>
          <w:bCs/>
          <w:lang w:val="en-US"/>
        </w:rPr>
      </w:pPr>
      <w:r w:rsidRPr="00E403E1">
        <w:rPr>
          <w:b/>
          <w:bCs/>
          <w:lang w:val="en-US"/>
        </w:rPr>
        <w:t>Evaluation of the offers</w:t>
      </w:r>
    </w:p>
    <w:p w14:paraId="2DC4CEC7" w14:textId="77777777" w:rsidR="0036322C" w:rsidRPr="00E403E1" w:rsidRDefault="0036322C" w:rsidP="00771C85">
      <w:pPr>
        <w:jc w:val="both"/>
        <w:rPr>
          <w:b/>
          <w:bCs/>
          <w:lang w:val="en-US"/>
        </w:rPr>
      </w:pPr>
      <w:r w:rsidRPr="00E403E1">
        <w:rPr>
          <w:b/>
          <w:bCs/>
          <w:lang w:val="en-US"/>
        </w:rPr>
        <w:t>Assessment criteria and description of the scoring process</w:t>
      </w:r>
    </w:p>
    <w:p w14:paraId="723D674E" w14:textId="77777777" w:rsidR="0036322C" w:rsidRPr="0036322C" w:rsidRDefault="0036322C" w:rsidP="00771C85">
      <w:pPr>
        <w:jc w:val="both"/>
        <w:rPr>
          <w:lang w:val="en-US"/>
        </w:rPr>
      </w:pPr>
      <w:r w:rsidRPr="0036322C">
        <w:rPr>
          <w:lang w:val="en-US"/>
        </w:rPr>
        <w:t>From among the offers that have not been rejected, the Ordering Party will select the most advantageous offer, following the criterion:</w:t>
      </w:r>
    </w:p>
    <w:p w14:paraId="02C6C00D" w14:textId="52DA2719" w:rsidR="0036322C" w:rsidRDefault="0036322C" w:rsidP="00771C85">
      <w:pPr>
        <w:jc w:val="both"/>
        <w:rPr>
          <w:lang w:val="en-US"/>
        </w:rPr>
      </w:pPr>
      <w:r w:rsidRPr="0036322C">
        <w:rPr>
          <w:lang w:val="en-US"/>
        </w:rPr>
        <w:t>Net price (criterion weight: 100%)</w:t>
      </w:r>
    </w:p>
    <w:p w14:paraId="161AC918" w14:textId="1CA15D7C" w:rsidR="0036322C" w:rsidRDefault="0036322C" w:rsidP="00771C85">
      <w:pPr>
        <w:jc w:val="both"/>
        <w:rPr>
          <w:lang w:val="en-US"/>
        </w:rPr>
      </w:pPr>
    </w:p>
    <w:p w14:paraId="7AE55F63" w14:textId="7BC5C6FC" w:rsidR="0036322C" w:rsidRPr="0036322C" w:rsidRDefault="0036322C" w:rsidP="00771C85">
      <w:pPr>
        <w:jc w:val="both"/>
        <w:rPr>
          <w:lang w:val="en-US"/>
        </w:rPr>
      </w:pPr>
      <w:r w:rsidRPr="0036322C">
        <w:rPr>
          <w:lang w:val="en-US"/>
        </w:rPr>
        <w:t>The price taken into account when examining the offer is the value expressed in Polish z</w:t>
      </w:r>
      <w:r w:rsidR="00943898">
        <w:rPr>
          <w:lang w:val="en-US"/>
        </w:rPr>
        <w:t>l</w:t>
      </w:r>
      <w:r w:rsidRPr="0036322C">
        <w:rPr>
          <w:lang w:val="en-US"/>
        </w:rPr>
        <w:t>oty</w:t>
      </w:r>
      <w:r w:rsidR="00943898">
        <w:rPr>
          <w:lang w:val="en-US"/>
        </w:rPr>
        <w:t>s</w:t>
      </w:r>
      <w:r w:rsidRPr="0036322C">
        <w:rPr>
          <w:lang w:val="en-US"/>
        </w:rPr>
        <w:t>, for which the Bidder undertakes to complete the entire subject of the contract. If the bidder provides the price in a foreign currency, it will be converted into Polish zlotys at the average exchange rate of the National Bank of Poland on the date of publication of the inquiry.</w:t>
      </w:r>
    </w:p>
    <w:p w14:paraId="4C8946F6" w14:textId="77777777" w:rsidR="0036322C" w:rsidRPr="0036322C" w:rsidRDefault="0036322C" w:rsidP="00771C85">
      <w:pPr>
        <w:jc w:val="both"/>
        <w:rPr>
          <w:lang w:val="en-US"/>
        </w:rPr>
      </w:pPr>
      <w:r w:rsidRPr="0036322C">
        <w:rPr>
          <w:lang w:val="en-US"/>
        </w:rPr>
        <w:t>The contracting authority, after evaluating the submitted offers, will propose to the tenderer who presented the best offer to sign the contract.</w:t>
      </w:r>
    </w:p>
    <w:p w14:paraId="497417B8" w14:textId="77777777" w:rsidR="0036322C" w:rsidRPr="0036322C" w:rsidRDefault="0036322C" w:rsidP="00771C85">
      <w:pPr>
        <w:jc w:val="both"/>
        <w:rPr>
          <w:lang w:val="en-US"/>
        </w:rPr>
      </w:pPr>
    </w:p>
    <w:p w14:paraId="05BECB35" w14:textId="77777777" w:rsidR="0036322C" w:rsidRPr="00E403E1" w:rsidRDefault="0036322C" w:rsidP="00771C85">
      <w:pPr>
        <w:jc w:val="both"/>
        <w:rPr>
          <w:b/>
          <w:bCs/>
          <w:lang w:val="en-US"/>
        </w:rPr>
      </w:pPr>
      <w:r w:rsidRPr="00E403E1">
        <w:rPr>
          <w:b/>
          <w:bCs/>
          <w:lang w:val="en-US"/>
        </w:rPr>
        <w:t>A. Exclusions</w:t>
      </w:r>
    </w:p>
    <w:p w14:paraId="0386702C" w14:textId="77777777" w:rsidR="0036322C" w:rsidRPr="0036322C" w:rsidRDefault="0036322C" w:rsidP="00771C85">
      <w:pPr>
        <w:jc w:val="both"/>
        <w:rPr>
          <w:lang w:val="en-US"/>
        </w:rPr>
      </w:pPr>
      <w:r w:rsidRPr="0036322C">
        <w:rPr>
          <w:lang w:val="en-US"/>
        </w:rPr>
        <w:t>Entities related personally and by capital with the Ordering Party are excluded from participation in the procedure. Capital or personal ties are understood in particular as mutual ties between the Ordering Party or persons authorized to incur obligations on behalf of the Ordering Party or persons performing on behalf of the Ordering Party activities related to the preparation and conduct of the contractor selection procedure and the contractor, in particular:</w:t>
      </w:r>
    </w:p>
    <w:p w14:paraId="5789F923" w14:textId="77777777" w:rsidR="0036322C" w:rsidRPr="0036322C" w:rsidRDefault="0036322C" w:rsidP="00771C85">
      <w:pPr>
        <w:jc w:val="both"/>
        <w:rPr>
          <w:lang w:val="en-US"/>
        </w:rPr>
      </w:pPr>
      <w:r w:rsidRPr="0036322C">
        <w:rPr>
          <w:lang w:val="en-US"/>
        </w:rPr>
        <w:t>a) participating in the company as a partner in a civil partnership or partnership,</w:t>
      </w:r>
    </w:p>
    <w:p w14:paraId="6327938C" w14:textId="77777777" w:rsidR="0036322C" w:rsidRPr="0036322C" w:rsidRDefault="0036322C" w:rsidP="00771C85">
      <w:pPr>
        <w:jc w:val="both"/>
        <w:rPr>
          <w:lang w:val="en-US"/>
        </w:rPr>
      </w:pPr>
      <w:r w:rsidRPr="0036322C">
        <w:rPr>
          <w:lang w:val="en-US"/>
        </w:rPr>
        <w:t>b) owning shares or at least 5% of shares,</w:t>
      </w:r>
    </w:p>
    <w:p w14:paraId="005447EA" w14:textId="77777777" w:rsidR="0036322C" w:rsidRPr="0036322C" w:rsidRDefault="0036322C" w:rsidP="00771C85">
      <w:pPr>
        <w:jc w:val="both"/>
        <w:rPr>
          <w:lang w:val="en-US"/>
        </w:rPr>
      </w:pPr>
      <w:r w:rsidRPr="0036322C">
        <w:rPr>
          <w:lang w:val="en-US"/>
        </w:rPr>
        <w:t>c) acting as a member of the supervisory or management body, proxy, attorney,</w:t>
      </w:r>
    </w:p>
    <w:p w14:paraId="3C579E9F" w14:textId="77777777" w:rsidR="0036322C" w:rsidRPr="0036322C" w:rsidRDefault="0036322C" w:rsidP="00771C85">
      <w:pPr>
        <w:jc w:val="both"/>
        <w:rPr>
          <w:lang w:val="en-US"/>
        </w:rPr>
      </w:pPr>
      <w:r w:rsidRPr="0036322C">
        <w:rPr>
          <w:lang w:val="en-US"/>
        </w:rPr>
        <w:t>d) remaining in such a legal or actual relationship which may raise justified doubts as to the impartiality in the selection of the contractor, in particular being married, in a straight lineage, consanguinity or affinity up to the second degree or adoption, guardianship or guardianship.</w:t>
      </w:r>
    </w:p>
    <w:p w14:paraId="5BC4B27A" w14:textId="322AAEF3" w:rsidR="0036322C" w:rsidRDefault="0036322C" w:rsidP="00771C85">
      <w:pPr>
        <w:jc w:val="both"/>
        <w:rPr>
          <w:b/>
          <w:bCs/>
          <w:i/>
          <w:iCs/>
          <w:lang w:val="en-US"/>
        </w:rPr>
      </w:pPr>
    </w:p>
    <w:p w14:paraId="2C39D248" w14:textId="77777777" w:rsidR="003C3405" w:rsidRPr="003C3405" w:rsidRDefault="003C3405" w:rsidP="003C3405">
      <w:pPr>
        <w:jc w:val="both"/>
        <w:rPr>
          <w:b/>
          <w:bCs/>
          <w:lang w:val="en-US"/>
        </w:rPr>
      </w:pPr>
      <w:r w:rsidRPr="003C3405">
        <w:rPr>
          <w:b/>
          <w:bCs/>
          <w:lang w:val="en-US"/>
        </w:rPr>
        <w:t>Attachments</w:t>
      </w:r>
    </w:p>
    <w:p w14:paraId="4144D8B7" w14:textId="77777777" w:rsidR="003C3405" w:rsidRPr="003C3405" w:rsidRDefault="003C3405" w:rsidP="003C3405">
      <w:pPr>
        <w:jc w:val="both"/>
        <w:rPr>
          <w:lang w:val="en-US"/>
        </w:rPr>
      </w:pPr>
      <w:r w:rsidRPr="003C3405">
        <w:rPr>
          <w:lang w:val="en-US"/>
        </w:rPr>
        <w:t>Annex No. 1 - Offer form</w:t>
      </w:r>
    </w:p>
    <w:p w14:paraId="093AC60A" w14:textId="7A4D31D3" w:rsidR="003C3405" w:rsidRPr="003C3405" w:rsidRDefault="003C3405" w:rsidP="003C3405">
      <w:pPr>
        <w:jc w:val="both"/>
        <w:rPr>
          <w:lang w:val="en-US"/>
        </w:rPr>
      </w:pPr>
      <w:r w:rsidRPr="003C3405">
        <w:rPr>
          <w:lang w:val="en-US"/>
        </w:rPr>
        <w:t xml:space="preserve">Annex </w:t>
      </w:r>
      <w:r>
        <w:rPr>
          <w:lang w:val="en-US"/>
        </w:rPr>
        <w:t xml:space="preserve">No. </w:t>
      </w:r>
      <w:r w:rsidRPr="003C3405">
        <w:rPr>
          <w:lang w:val="en-US"/>
        </w:rPr>
        <w:t>2 - Offer form in English</w:t>
      </w:r>
    </w:p>
    <w:p w14:paraId="6AF91FFE" w14:textId="69136245" w:rsidR="003C3405" w:rsidRPr="003C3405" w:rsidRDefault="003C3405" w:rsidP="003C3405">
      <w:pPr>
        <w:jc w:val="both"/>
        <w:rPr>
          <w:lang w:val="en-US"/>
        </w:rPr>
      </w:pPr>
      <w:r w:rsidRPr="003C3405">
        <w:rPr>
          <w:lang w:val="en-US"/>
        </w:rPr>
        <w:t xml:space="preserve">Annex No. </w:t>
      </w:r>
      <w:r w:rsidR="00666CE0">
        <w:rPr>
          <w:lang w:val="en-US"/>
        </w:rPr>
        <w:t>3</w:t>
      </w:r>
      <w:r w:rsidRPr="003C3405">
        <w:rPr>
          <w:lang w:val="en-US"/>
        </w:rPr>
        <w:t xml:space="preserve"> - Statement about the lack of connections</w:t>
      </w:r>
    </w:p>
    <w:p w14:paraId="724D4815" w14:textId="55084D04" w:rsidR="003C3405" w:rsidRPr="003C3405" w:rsidRDefault="003C3405" w:rsidP="003C3405">
      <w:pPr>
        <w:jc w:val="both"/>
        <w:rPr>
          <w:lang w:val="en-US"/>
        </w:rPr>
      </w:pPr>
      <w:r w:rsidRPr="003C3405">
        <w:rPr>
          <w:lang w:val="en-US"/>
        </w:rPr>
        <w:t xml:space="preserve">Annex No. </w:t>
      </w:r>
      <w:r w:rsidR="00666CE0">
        <w:rPr>
          <w:lang w:val="en-US"/>
        </w:rPr>
        <w:t>4</w:t>
      </w:r>
      <w:r w:rsidRPr="003C3405">
        <w:rPr>
          <w:lang w:val="en-US"/>
        </w:rPr>
        <w:t xml:space="preserve"> - </w:t>
      </w:r>
      <w:r w:rsidR="00234EDF" w:rsidRPr="003C3405">
        <w:rPr>
          <w:lang w:val="en-US"/>
        </w:rPr>
        <w:t>Statement about the lack of connections</w:t>
      </w:r>
      <w:r w:rsidR="00234EDF">
        <w:rPr>
          <w:lang w:val="en-US"/>
        </w:rPr>
        <w:t xml:space="preserve"> </w:t>
      </w:r>
      <w:r w:rsidRPr="003C3405">
        <w:rPr>
          <w:lang w:val="en-US"/>
        </w:rPr>
        <w:t>in the English</w:t>
      </w:r>
    </w:p>
    <w:p w14:paraId="19D354BA" w14:textId="47477573" w:rsidR="003C3405" w:rsidRPr="003C3405" w:rsidRDefault="003C3405" w:rsidP="003C3405">
      <w:pPr>
        <w:jc w:val="both"/>
        <w:rPr>
          <w:lang w:val="en-US"/>
        </w:rPr>
      </w:pPr>
      <w:r w:rsidRPr="003C3405">
        <w:rPr>
          <w:lang w:val="en-US"/>
        </w:rPr>
        <w:t xml:space="preserve">Annex </w:t>
      </w:r>
      <w:r>
        <w:rPr>
          <w:lang w:val="en-US"/>
        </w:rPr>
        <w:t xml:space="preserve">No. </w:t>
      </w:r>
      <w:r w:rsidR="00666CE0">
        <w:rPr>
          <w:lang w:val="en-US"/>
        </w:rPr>
        <w:t>5</w:t>
      </w:r>
      <w:r w:rsidRPr="003C3405">
        <w:rPr>
          <w:lang w:val="en-US"/>
        </w:rPr>
        <w:t xml:space="preserve"> - Declaration of the fixed asset used</w:t>
      </w:r>
    </w:p>
    <w:p w14:paraId="2A8675EC" w14:textId="7091F2B9" w:rsidR="003C3405" w:rsidRDefault="003C3405" w:rsidP="003C3405">
      <w:pPr>
        <w:jc w:val="both"/>
        <w:rPr>
          <w:lang w:val="en-US"/>
        </w:rPr>
      </w:pPr>
      <w:r w:rsidRPr="003C3405">
        <w:rPr>
          <w:lang w:val="en-US"/>
        </w:rPr>
        <w:t xml:space="preserve">Annex No. </w:t>
      </w:r>
      <w:r w:rsidR="00666CE0">
        <w:rPr>
          <w:lang w:val="en-US"/>
        </w:rPr>
        <w:t>6</w:t>
      </w:r>
      <w:r w:rsidRPr="003C3405">
        <w:rPr>
          <w:lang w:val="en-US"/>
        </w:rPr>
        <w:t xml:space="preserve"> - </w:t>
      </w:r>
      <w:r w:rsidR="00234EDF" w:rsidRPr="003C3405">
        <w:rPr>
          <w:lang w:val="en-US"/>
        </w:rPr>
        <w:t>Declaration of the fixed asset used</w:t>
      </w:r>
      <w:r w:rsidR="00234EDF">
        <w:rPr>
          <w:lang w:val="en-US"/>
        </w:rPr>
        <w:t xml:space="preserve"> </w:t>
      </w:r>
      <w:r w:rsidRPr="003C3405">
        <w:rPr>
          <w:lang w:val="en-US"/>
        </w:rPr>
        <w:t xml:space="preserve"> in English</w:t>
      </w:r>
    </w:p>
    <w:p w14:paraId="1A1014AB" w14:textId="3123ACFC" w:rsidR="00666CE0" w:rsidRPr="003C3405" w:rsidRDefault="00666CE0" w:rsidP="00666CE0">
      <w:pPr>
        <w:jc w:val="both"/>
        <w:rPr>
          <w:lang w:val="en-US"/>
        </w:rPr>
      </w:pPr>
      <w:r w:rsidRPr="003C3405">
        <w:rPr>
          <w:lang w:val="en-US"/>
        </w:rPr>
        <w:t xml:space="preserve">Annex No. </w:t>
      </w:r>
      <w:r>
        <w:rPr>
          <w:lang w:val="en-US"/>
        </w:rPr>
        <w:t>7</w:t>
      </w:r>
      <w:r w:rsidRPr="003C3405">
        <w:rPr>
          <w:lang w:val="en-US"/>
        </w:rPr>
        <w:t xml:space="preserve"> - Inquiry in English</w:t>
      </w:r>
    </w:p>
    <w:p w14:paraId="6905AECE" w14:textId="77777777" w:rsidR="00666CE0" w:rsidRPr="0036322C" w:rsidRDefault="00666CE0" w:rsidP="003C3405">
      <w:pPr>
        <w:jc w:val="both"/>
        <w:rPr>
          <w:lang w:val="en-US"/>
        </w:rPr>
      </w:pPr>
    </w:p>
    <w:sectPr w:rsidR="00666CE0" w:rsidRPr="0036322C" w:rsidSect="00C23FED">
      <w:headerReference w:type="default" r:id="rId8"/>
      <w:footerReference w:type="default" r:id="rId9"/>
      <w:pgSz w:w="11906" w:h="16838"/>
      <w:pgMar w:top="1985" w:right="1417" w:bottom="1135" w:left="1417" w:header="68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6129" w14:textId="77777777" w:rsidR="00E36C1C" w:rsidRDefault="00E36C1C">
      <w:r>
        <w:separator/>
      </w:r>
    </w:p>
  </w:endnote>
  <w:endnote w:type="continuationSeparator" w:id="0">
    <w:p w14:paraId="00D50440" w14:textId="77777777" w:rsidR="00E36C1C" w:rsidRDefault="00E3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327E" w14:textId="77777777" w:rsidR="00DE7F40" w:rsidRDefault="003A6B2A">
    <w:pPr>
      <w:pStyle w:val="Nagwek"/>
      <w:tabs>
        <w:tab w:val="clear" w:pos="9072"/>
        <w:tab w:val="right" w:pos="9866"/>
      </w:tabs>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36529FAC" wp14:editId="1AC44D72">
              <wp:simplePos x="0" y="0"/>
              <wp:positionH relativeFrom="column">
                <wp:posOffset>-375920</wp:posOffset>
              </wp:positionH>
              <wp:positionV relativeFrom="paragraph">
                <wp:posOffset>-21590</wp:posOffset>
              </wp:positionV>
              <wp:extent cx="6448425" cy="342900"/>
              <wp:effectExtent l="24130" t="26035" r="33020" b="5016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47F98917" w14:textId="77777777" w:rsidR="004E0978" w:rsidRPr="004B275B" w:rsidRDefault="004E0978" w:rsidP="004E0978">
                          <w:pPr>
                            <w:jc w:val="center"/>
                            <w:rPr>
                              <w:b/>
                            </w:rPr>
                          </w:pPr>
                          <w:r w:rsidRPr="004B275B">
                            <w:rPr>
                              <w:b/>
                            </w:rPr>
                            <w:t>www.mapadotacji.gov.pl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29FAC" id="Rectangle 1" o:spid="_x0000_s1026" style="position:absolute;margin-left:-29.6pt;margin-top:-1.7pt;width:507.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" fillcolor="#5b9bd5" strokecolor="#f2f2f2" strokeweight="3pt">
              <v:shadow on="t" color="#1f4d78" opacity=".5" offset="1pt"/>
              <v:textbox>
                <w:txbxContent>
                  <w:p w14:paraId="47F98917" w14:textId="77777777" w:rsidR="004E0978" w:rsidRPr="004B275B" w:rsidRDefault="004E0978" w:rsidP="004E0978">
                    <w:pPr>
                      <w:jc w:val="center"/>
                      <w:rPr>
                        <w:b/>
                      </w:rPr>
                    </w:pPr>
                    <w:r w:rsidRPr="004B275B">
                      <w:rPr>
                        <w:b/>
                      </w:rPr>
                      <w:t>www.mapadotacji.gov.pl</w:t>
                    </w:r>
                  </w:p>
                </w:txbxContent>
              </v:textbox>
            </v:rect>
          </w:pict>
        </mc:Fallback>
      </mc:AlternateContent>
    </w:r>
  </w:p>
  <w:p w14:paraId="16D5CB51" w14:textId="77777777" w:rsidR="00DE7F40" w:rsidRPr="00C109E1" w:rsidRDefault="00DE7F40"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66E1" w14:textId="77777777" w:rsidR="00E36C1C" w:rsidRDefault="00E36C1C">
      <w:r>
        <w:separator/>
      </w:r>
    </w:p>
  </w:footnote>
  <w:footnote w:type="continuationSeparator" w:id="0">
    <w:p w14:paraId="22E9D1F5" w14:textId="77777777" w:rsidR="00E36C1C" w:rsidRDefault="00E3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B038" w14:textId="77777777" w:rsidR="00DE7F40" w:rsidRPr="00D66666" w:rsidRDefault="003A6B2A" w:rsidP="00D66666">
    <w:pPr>
      <w:pStyle w:val="Nagwek"/>
      <w:tabs>
        <w:tab w:val="clear" w:pos="4536"/>
        <w:tab w:val="clear" w:pos="9072"/>
        <w:tab w:val="left" w:pos="7530"/>
      </w:tabs>
    </w:pPr>
    <w:r>
      <w:rPr>
        <w:noProof/>
      </w:rPr>
      <w:drawing>
        <wp:inline distT="0" distB="0" distL="0" distR="0" wp14:anchorId="7A82687E" wp14:editId="77EFA45A">
          <wp:extent cx="1362075" cy="723900"/>
          <wp:effectExtent l="0" t="0" r="0" b="0"/>
          <wp:docPr id="1" name="Obraz 1" descr="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Inteligentny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r w:rsidR="00D66666">
      <w:rPr>
        <w:noProof/>
      </w:rPr>
      <w:t xml:space="preserve">  </w:t>
    </w:r>
    <w:r w:rsidR="003D48C4">
      <w:rPr>
        <w:noProof/>
      </w:rPr>
      <w:t xml:space="preserve">    </w:t>
    </w:r>
    <w:r w:rsidR="00D66666">
      <w:rPr>
        <w:noProof/>
      </w:rPr>
      <w:t xml:space="preserve"> </w:t>
    </w:r>
    <w:r>
      <w:rPr>
        <w:noProof/>
      </w:rPr>
      <w:drawing>
        <wp:inline distT="0" distB="0" distL="0" distR="0" wp14:anchorId="3F811731" wp14:editId="56638E70">
          <wp:extent cx="1981200" cy="657225"/>
          <wp:effectExtent l="0" t="0" r="0" b="0"/>
          <wp:docPr id="2" name="Obraz 2"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a:ln>
                    <a:noFill/>
                  </a:ln>
                </pic:spPr>
              </pic:pic>
            </a:graphicData>
          </a:graphic>
        </wp:inline>
      </w:drawing>
    </w:r>
    <w:r w:rsidR="00E817A4">
      <w:rPr>
        <w:noProof/>
      </w:rPr>
      <w:t xml:space="preserve">   </w:t>
    </w:r>
    <w:r w:rsidRPr="001E6CE6">
      <w:rPr>
        <w:noProof/>
      </w:rPr>
      <w:drawing>
        <wp:inline distT="0" distB="0" distL="0" distR="0" wp14:anchorId="445C3E25" wp14:editId="21C8FB04">
          <wp:extent cx="2009775" cy="676275"/>
          <wp:effectExtent l="0" t="0" r="0" b="0"/>
          <wp:docPr id="3" name="Obraz 2" descr="Znak Unii Europejskiej z podpisem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Unii Europejskiej z podpisem Europejski Fundusz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CAC"/>
    <w:multiLevelType w:val="hybridMultilevel"/>
    <w:tmpl w:val="38DE1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F42B8"/>
    <w:multiLevelType w:val="hybridMultilevel"/>
    <w:tmpl w:val="F5766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1B3422"/>
    <w:multiLevelType w:val="hybridMultilevel"/>
    <w:tmpl w:val="91607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2D4B74"/>
    <w:multiLevelType w:val="hybridMultilevel"/>
    <w:tmpl w:val="6520EE42"/>
    <w:lvl w:ilvl="0" w:tplc="04150001">
      <w:start w:val="1"/>
      <w:numFmt w:val="bullet"/>
      <w:lvlText w:val=""/>
      <w:lvlJc w:val="left"/>
      <w:pPr>
        <w:ind w:left="723" w:hanging="360"/>
      </w:pPr>
      <w:rPr>
        <w:rFonts w:ascii="Symbol" w:hAnsi="Symbol" w:hint="default"/>
      </w:rPr>
    </w:lvl>
    <w:lvl w:ilvl="1" w:tplc="04150003">
      <w:start w:val="1"/>
      <w:numFmt w:val="bullet"/>
      <w:lvlText w:val="o"/>
      <w:lvlJc w:val="left"/>
      <w:pPr>
        <w:ind w:left="1443" w:hanging="360"/>
      </w:pPr>
      <w:rPr>
        <w:rFonts w:ascii="Courier New" w:hAnsi="Courier New" w:cs="Courier New" w:hint="default"/>
      </w:rPr>
    </w:lvl>
    <w:lvl w:ilvl="2" w:tplc="04150005">
      <w:start w:val="1"/>
      <w:numFmt w:val="bullet"/>
      <w:lvlText w:val=""/>
      <w:lvlJc w:val="left"/>
      <w:pPr>
        <w:ind w:left="2163" w:hanging="360"/>
      </w:pPr>
      <w:rPr>
        <w:rFonts w:ascii="Wingdings" w:hAnsi="Wingdings" w:hint="default"/>
      </w:rPr>
    </w:lvl>
    <w:lvl w:ilvl="3" w:tplc="04150001">
      <w:start w:val="1"/>
      <w:numFmt w:val="bullet"/>
      <w:lvlText w:val=""/>
      <w:lvlJc w:val="left"/>
      <w:pPr>
        <w:ind w:left="2883" w:hanging="360"/>
      </w:pPr>
      <w:rPr>
        <w:rFonts w:ascii="Symbol" w:hAnsi="Symbol" w:hint="default"/>
      </w:rPr>
    </w:lvl>
    <w:lvl w:ilvl="4" w:tplc="04150003">
      <w:start w:val="1"/>
      <w:numFmt w:val="bullet"/>
      <w:lvlText w:val="o"/>
      <w:lvlJc w:val="left"/>
      <w:pPr>
        <w:ind w:left="3603" w:hanging="360"/>
      </w:pPr>
      <w:rPr>
        <w:rFonts w:ascii="Courier New" w:hAnsi="Courier New" w:cs="Courier New" w:hint="default"/>
      </w:rPr>
    </w:lvl>
    <w:lvl w:ilvl="5" w:tplc="04150005">
      <w:start w:val="1"/>
      <w:numFmt w:val="bullet"/>
      <w:lvlText w:val=""/>
      <w:lvlJc w:val="left"/>
      <w:pPr>
        <w:ind w:left="4323" w:hanging="360"/>
      </w:pPr>
      <w:rPr>
        <w:rFonts w:ascii="Wingdings" w:hAnsi="Wingdings" w:hint="default"/>
      </w:rPr>
    </w:lvl>
    <w:lvl w:ilvl="6" w:tplc="04150001">
      <w:start w:val="1"/>
      <w:numFmt w:val="bullet"/>
      <w:lvlText w:val=""/>
      <w:lvlJc w:val="left"/>
      <w:pPr>
        <w:ind w:left="5043" w:hanging="360"/>
      </w:pPr>
      <w:rPr>
        <w:rFonts w:ascii="Symbol" w:hAnsi="Symbol" w:hint="default"/>
      </w:rPr>
    </w:lvl>
    <w:lvl w:ilvl="7" w:tplc="04150003">
      <w:start w:val="1"/>
      <w:numFmt w:val="bullet"/>
      <w:lvlText w:val="o"/>
      <w:lvlJc w:val="left"/>
      <w:pPr>
        <w:ind w:left="5763" w:hanging="360"/>
      </w:pPr>
      <w:rPr>
        <w:rFonts w:ascii="Courier New" w:hAnsi="Courier New" w:cs="Courier New" w:hint="default"/>
      </w:rPr>
    </w:lvl>
    <w:lvl w:ilvl="8" w:tplc="04150005">
      <w:start w:val="1"/>
      <w:numFmt w:val="bullet"/>
      <w:lvlText w:val=""/>
      <w:lvlJc w:val="left"/>
      <w:pPr>
        <w:ind w:left="6483" w:hanging="360"/>
      </w:pPr>
      <w:rPr>
        <w:rFonts w:ascii="Wingdings" w:hAnsi="Wingdings" w:hint="default"/>
      </w:rPr>
    </w:lvl>
  </w:abstractNum>
  <w:abstractNum w:abstractNumId="5" w15:restartNumberingAfterBreak="0">
    <w:nsid w:val="1EA60329"/>
    <w:multiLevelType w:val="hybridMultilevel"/>
    <w:tmpl w:val="3816275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154459A"/>
    <w:multiLevelType w:val="hybridMultilevel"/>
    <w:tmpl w:val="BE3ED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7A57BE"/>
    <w:multiLevelType w:val="hybridMultilevel"/>
    <w:tmpl w:val="8DD0C54C"/>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F43545"/>
    <w:multiLevelType w:val="hybridMultilevel"/>
    <w:tmpl w:val="A38A9270"/>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742982"/>
    <w:multiLevelType w:val="hybridMultilevel"/>
    <w:tmpl w:val="E99EF0C8"/>
    <w:lvl w:ilvl="0" w:tplc="89E483E4">
      <w:start w:val="1"/>
      <w:numFmt w:val="decimal"/>
      <w:lvlText w:val="%1."/>
      <w:lvlJc w:val="left"/>
      <w:pPr>
        <w:ind w:left="360" w:hanging="360"/>
      </w:pPr>
      <w:rPr>
        <w:rFonts w:cs="Times New Roman"/>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97D14AD"/>
    <w:multiLevelType w:val="hybridMultilevel"/>
    <w:tmpl w:val="094AC7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0F5A7A"/>
    <w:multiLevelType w:val="hybridMultilevel"/>
    <w:tmpl w:val="05027828"/>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FEA7E05"/>
    <w:multiLevelType w:val="hybridMultilevel"/>
    <w:tmpl w:val="A1DC0DA0"/>
    <w:lvl w:ilvl="0" w:tplc="4F82837C">
      <w:start w:val="2"/>
      <w:numFmt w:val="decimal"/>
      <w:lvlText w:val="%1."/>
      <w:lvlJc w:val="left"/>
      <w:pPr>
        <w:ind w:left="360" w:hanging="360"/>
      </w:pPr>
      <w:rPr>
        <w:rFonts w:cs="Times New Roman" w:hint="default"/>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5C557B59"/>
    <w:multiLevelType w:val="hybridMultilevel"/>
    <w:tmpl w:val="198C71F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E147E32"/>
    <w:multiLevelType w:val="hybridMultilevel"/>
    <w:tmpl w:val="4B78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C61118"/>
    <w:multiLevelType w:val="hybridMultilevel"/>
    <w:tmpl w:val="33BC0B14"/>
    <w:lvl w:ilvl="0" w:tplc="C59A590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A87EAA"/>
    <w:multiLevelType w:val="hybridMultilevel"/>
    <w:tmpl w:val="42982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AD3960"/>
    <w:multiLevelType w:val="singleLevel"/>
    <w:tmpl w:val="1C565D2E"/>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7"/>
  </w:num>
  <w:num w:numId="2">
    <w:abstractNumId w:val="13"/>
  </w:num>
  <w:num w:numId="3">
    <w:abstractNumId w:val="12"/>
  </w:num>
  <w:num w:numId="4">
    <w:abstractNumId w:val="6"/>
  </w:num>
  <w:num w:numId="5">
    <w:abstractNumId w:val="16"/>
  </w:num>
  <w:num w:numId="6">
    <w:abstractNumId w:val="1"/>
  </w:num>
  <w:num w:numId="7">
    <w:abstractNumId w:val="18"/>
  </w:num>
  <w:num w:numId="8">
    <w:abstractNumId w:val="5"/>
  </w:num>
  <w:num w:numId="9">
    <w:abstractNumId w:val="10"/>
  </w:num>
  <w:num w:numId="10">
    <w:abstractNumId w:val="11"/>
  </w:num>
  <w:num w:numId="11">
    <w:abstractNumId w:val="9"/>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4"/>
  </w:num>
  <w:num w:numId="19">
    <w:abstractNumId w:val="2"/>
  </w:num>
  <w:num w:numId="20">
    <w:abstractNumId w:val="0"/>
  </w:num>
  <w:num w:numId="21">
    <w:abstractNumId w:val="0"/>
  </w:num>
  <w:num w:numId="22">
    <w:abstractNumId w:val="19"/>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E1"/>
    <w:rsid w:val="0000362E"/>
    <w:rsid w:val="00007C03"/>
    <w:rsid w:val="00014C4F"/>
    <w:rsid w:val="00020EF8"/>
    <w:rsid w:val="00022FC3"/>
    <w:rsid w:val="00035EFA"/>
    <w:rsid w:val="00035F42"/>
    <w:rsid w:val="00043D37"/>
    <w:rsid w:val="000444F0"/>
    <w:rsid w:val="000527F1"/>
    <w:rsid w:val="00061555"/>
    <w:rsid w:val="00067589"/>
    <w:rsid w:val="00071106"/>
    <w:rsid w:val="00076683"/>
    <w:rsid w:val="000801A9"/>
    <w:rsid w:val="000808A9"/>
    <w:rsid w:val="00082BF3"/>
    <w:rsid w:val="000A043E"/>
    <w:rsid w:val="000A19F4"/>
    <w:rsid w:val="000A733F"/>
    <w:rsid w:val="000A774B"/>
    <w:rsid w:val="000B23AB"/>
    <w:rsid w:val="000B33BD"/>
    <w:rsid w:val="000B5DC9"/>
    <w:rsid w:val="000D3C79"/>
    <w:rsid w:val="000D79BD"/>
    <w:rsid w:val="000D7B17"/>
    <w:rsid w:val="000E3FAA"/>
    <w:rsid w:val="000E5DFA"/>
    <w:rsid w:val="000F5D81"/>
    <w:rsid w:val="000F74B1"/>
    <w:rsid w:val="001067B6"/>
    <w:rsid w:val="001107CD"/>
    <w:rsid w:val="00122C66"/>
    <w:rsid w:val="00124B64"/>
    <w:rsid w:val="0013097A"/>
    <w:rsid w:val="00140386"/>
    <w:rsid w:val="00160C23"/>
    <w:rsid w:val="0016451F"/>
    <w:rsid w:val="00173382"/>
    <w:rsid w:val="00176C6C"/>
    <w:rsid w:val="00180ED5"/>
    <w:rsid w:val="001929D1"/>
    <w:rsid w:val="001C17C8"/>
    <w:rsid w:val="001C29D9"/>
    <w:rsid w:val="001D682D"/>
    <w:rsid w:val="001D749D"/>
    <w:rsid w:val="001E53A9"/>
    <w:rsid w:val="00202658"/>
    <w:rsid w:val="00213313"/>
    <w:rsid w:val="00213713"/>
    <w:rsid w:val="002215D1"/>
    <w:rsid w:val="0022281D"/>
    <w:rsid w:val="00224180"/>
    <w:rsid w:val="00226287"/>
    <w:rsid w:val="00231778"/>
    <w:rsid w:val="00234EDF"/>
    <w:rsid w:val="0024064A"/>
    <w:rsid w:val="00245B60"/>
    <w:rsid w:val="00250E2C"/>
    <w:rsid w:val="00257BF7"/>
    <w:rsid w:val="0026130A"/>
    <w:rsid w:val="00272AC9"/>
    <w:rsid w:val="002765DA"/>
    <w:rsid w:val="00283797"/>
    <w:rsid w:val="00293042"/>
    <w:rsid w:val="00297E49"/>
    <w:rsid w:val="002A6FD6"/>
    <w:rsid w:val="002A7EC2"/>
    <w:rsid w:val="002C4B27"/>
    <w:rsid w:val="002D201E"/>
    <w:rsid w:val="002D53AA"/>
    <w:rsid w:val="002E055A"/>
    <w:rsid w:val="002E7612"/>
    <w:rsid w:val="00307216"/>
    <w:rsid w:val="0031366E"/>
    <w:rsid w:val="00335354"/>
    <w:rsid w:val="003526DC"/>
    <w:rsid w:val="00352F4B"/>
    <w:rsid w:val="003536D0"/>
    <w:rsid w:val="00354F45"/>
    <w:rsid w:val="0035703E"/>
    <w:rsid w:val="0036322C"/>
    <w:rsid w:val="00376BAA"/>
    <w:rsid w:val="003829B2"/>
    <w:rsid w:val="003856C3"/>
    <w:rsid w:val="0038582F"/>
    <w:rsid w:val="0039311F"/>
    <w:rsid w:val="003A6B2A"/>
    <w:rsid w:val="003B1F82"/>
    <w:rsid w:val="003B2AD5"/>
    <w:rsid w:val="003B54B5"/>
    <w:rsid w:val="003C3405"/>
    <w:rsid w:val="003C5AC5"/>
    <w:rsid w:val="003D1C95"/>
    <w:rsid w:val="003D48C4"/>
    <w:rsid w:val="003F041F"/>
    <w:rsid w:val="003F054D"/>
    <w:rsid w:val="003F6748"/>
    <w:rsid w:val="0040330E"/>
    <w:rsid w:val="004043CC"/>
    <w:rsid w:val="004043E8"/>
    <w:rsid w:val="00405E24"/>
    <w:rsid w:val="004122B2"/>
    <w:rsid w:val="004220A2"/>
    <w:rsid w:val="00430BED"/>
    <w:rsid w:val="004466B8"/>
    <w:rsid w:val="00447A94"/>
    <w:rsid w:val="00462591"/>
    <w:rsid w:val="00465342"/>
    <w:rsid w:val="00476DDD"/>
    <w:rsid w:val="00495113"/>
    <w:rsid w:val="004A0B9B"/>
    <w:rsid w:val="004B275B"/>
    <w:rsid w:val="004B557B"/>
    <w:rsid w:val="004B57AF"/>
    <w:rsid w:val="004C5DB9"/>
    <w:rsid w:val="004C60F5"/>
    <w:rsid w:val="004E0978"/>
    <w:rsid w:val="004E5EF9"/>
    <w:rsid w:val="004E5FFD"/>
    <w:rsid w:val="004E6593"/>
    <w:rsid w:val="004F2CC4"/>
    <w:rsid w:val="004F3F4B"/>
    <w:rsid w:val="005030BF"/>
    <w:rsid w:val="0050713E"/>
    <w:rsid w:val="005115B1"/>
    <w:rsid w:val="00511F34"/>
    <w:rsid w:val="00513633"/>
    <w:rsid w:val="005144F1"/>
    <w:rsid w:val="00514F7F"/>
    <w:rsid w:val="00527E54"/>
    <w:rsid w:val="00536A17"/>
    <w:rsid w:val="00540045"/>
    <w:rsid w:val="00545BB8"/>
    <w:rsid w:val="00554F66"/>
    <w:rsid w:val="00554FCA"/>
    <w:rsid w:val="0055639C"/>
    <w:rsid w:val="00557B3B"/>
    <w:rsid w:val="00562A7F"/>
    <w:rsid w:val="00571A7E"/>
    <w:rsid w:val="00577388"/>
    <w:rsid w:val="00586E49"/>
    <w:rsid w:val="005935D0"/>
    <w:rsid w:val="0059471E"/>
    <w:rsid w:val="005A2B61"/>
    <w:rsid w:val="005B3ECC"/>
    <w:rsid w:val="005B6F33"/>
    <w:rsid w:val="005B7579"/>
    <w:rsid w:val="005D2C2B"/>
    <w:rsid w:val="005D6980"/>
    <w:rsid w:val="005E3FEF"/>
    <w:rsid w:val="005E40D6"/>
    <w:rsid w:val="005E4CDA"/>
    <w:rsid w:val="005E7BB3"/>
    <w:rsid w:val="005F1FA9"/>
    <w:rsid w:val="005F5A7B"/>
    <w:rsid w:val="005F7660"/>
    <w:rsid w:val="006040AD"/>
    <w:rsid w:val="00611849"/>
    <w:rsid w:val="00621188"/>
    <w:rsid w:val="006234AA"/>
    <w:rsid w:val="006349B4"/>
    <w:rsid w:val="00634A7D"/>
    <w:rsid w:val="00655BFF"/>
    <w:rsid w:val="00655ECC"/>
    <w:rsid w:val="00657B31"/>
    <w:rsid w:val="006615C7"/>
    <w:rsid w:val="00666CE0"/>
    <w:rsid w:val="00666FD7"/>
    <w:rsid w:val="00674AA0"/>
    <w:rsid w:val="006761FF"/>
    <w:rsid w:val="00681044"/>
    <w:rsid w:val="006917EC"/>
    <w:rsid w:val="00692F18"/>
    <w:rsid w:val="006A7B67"/>
    <w:rsid w:val="006B33C7"/>
    <w:rsid w:val="006C24BE"/>
    <w:rsid w:val="006C7209"/>
    <w:rsid w:val="006D0F62"/>
    <w:rsid w:val="006D1AD4"/>
    <w:rsid w:val="006D38DD"/>
    <w:rsid w:val="006D6080"/>
    <w:rsid w:val="006D7C2E"/>
    <w:rsid w:val="006E0525"/>
    <w:rsid w:val="006E5C46"/>
    <w:rsid w:val="006E6489"/>
    <w:rsid w:val="006E7722"/>
    <w:rsid w:val="007039E5"/>
    <w:rsid w:val="0070460A"/>
    <w:rsid w:val="007105FE"/>
    <w:rsid w:val="00715D16"/>
    <w:rsid w:val="00722DBD"/>
    <w:rsid w:val="007235C0"/>
    <w:rsid w:val="00731397"/>
    <w:rsid w:val="00741B1C"/>
    <w:rsid w:val="00745565"/>
    <w:rsid w:val="0075508B"/>
    <w:rsid w:val="00762CDD"/>
    <w:rsid w:val="007676FD"/>
    <w:rsid w:val="00771C85"/>
    <w:rsid w:val="00777D40"/>
    <w:rsid w:val="0078141A"/>
    <w:rsid w:val="007827D7"/>
    <w:rsid w:val="0078463E"/>
    <w:rsid w:val="00787170"/>
    <w:rsid w:val="00791619"/>
    <w:rsid w:val="007A085A"/>
    <w:rsid w:val="007B60E9"/>
    <w:rsid w:val="007C503E"/>
    <w:rsid w:val="007C6209"/>
    <w:rsid w:val="007D2C03"/>
    <w:rsid w:val="007F0F16"/>
    <w:rsid w:val="007F41D0"/>
    <w:rsid w:val="007F7326"/>
    <w:rsid w:val="00804C67"/>
    <w:rsid w:val="008056F0"/>
    <w:rsid w:val="008155B4"/>
    <w:rsid w:val="0081742E"/>
    <w:rsid w:val="00820549"/>
    <w:rsid w:val="008249C7"/>
    <w:rsid w:val="008338EC"/>
    <w:rsid w:val="00841C39"/>
    <w:rsid w:val="008455E1"/>
    <w:rsid w:val="00855553"/>
    <w:rsid w:val="008609C5"/>
    <w:rsid w:val="0086216B"/>
    <w:rsid w:val="0086767D"/>
    <w:rsid w:val="00867D65"/>
    <w:rsid w:val="00874449"/>
    <w:rsid w:val="00874522"/>
    <w:rsid w:val="00877892"/>
    <w:rsid w:val="00890894"/>
    <w:rsid w:val="00891BA9"/>
    <w:rsid w:val="00896296"/>
    <w:rsid w:val="008A3FE6"/>
    <w:rsid w:val="008A78B6"/>
    <w:rsid w:val="008B4539"/>
    <w:rsid w:val="008B5929"/>
    <w:rsid w:val="008C1C0D"/>
    <w:rsid w:val="008C3299"/>
    <w:rsid w:val="008F15B9"/>
    <w:rsid w:val="008F175E"/>
    <w:rsid w:val="008F20F4"/>
    <w:rsid w:val="008F39B0"/>
    <w:rsid w:val="008F524C"/>
    <w:rsid w:val="00901A5C"/>
    <w:rsid w:val="00902D08"/>
    <w:rsid w:val="009079CC"/>
    <w:rsid w:val="00907A8C"/>
    <w:rsid w:val="009167E2"/>
    <w:rsid w:val="00917F32"/>
    <w:rsid w:val="00921196"/>
    <w:rsid w:val="009228C4"/>
    <w:rsid w:val="00932E77"/>
    <w:rsid w:val="00934E17"/>
    <w:rsid w:val="00936B76"/>
    <w:rsid w:val="009416F1"/>
    <w:rsid w:val="00943898"/>
    <w:rsid w:val="00947ADB"/>
    <w:rsid w:val="009626B8"/>
    <w:rsid w:val="009706EB"/>
    <w:rsid w:val="00973269"/>
    <w:rsid w:val="00977BF8"/>
    <w:rsid w:val="00994EF6"/>
    <w:rsid w:val="009A31CE"/>
    <w:rsid w:val="009B7641"/>
    <w:rsid w:val="009C37CF"/>
    <w:rsid w:val="009C6C8E"/>
    <w:rsid w:val="009D3DB6"/>
    <w:rsid w:val="009F7CAA"/>
    <w:rsid w:val="00A01CE1"/>
    <w:rsid w:val="00A109AB"/>
    <w:rsid w:val="00A22C0E"/>
    <w:rsid w:val="00A24046"/>
    <w:rsid w:val="00A335AD"/>
    <w:rsid w:val="00A42E0D"/>
    <w:rsid w:val="00A917C9"/>
    <w:rsid w:val="00AB67D6"/>
    <w:rsid w:val="00AC4D7E"/>
    <w:rsid w:val="00AD0E0D"/>
    <w:rsid w:val="00AD39D9"/>
    <w:rsid w:val="00AE3727"/>
    <w:rsid w:val="00AE60F7"/>
    <w:rsid w:val="00AE696B"/>
    <w:rsid w:val="00AF133F"/>
    <w:rsid w:val="00AF33D2"/>
    <w:rsid w:val="00B2140C"/>
    <w:rsid w:val="00B26FD8"/>
    <w:rsid w:val="00B326FA"/>
    <w:rsid w:val="00B5419C"/>
    <w:rsid w:val="00B57A47"/>
    <w:rsid w:val="00B625C2"/>
    <w:rsid w:val="00B66275"/>
    <w:rsid w:val="00B70001"/>
    <w:rsid w:val="00B71926"/>
    <w:rsid w:val="00B776EC"/>
    <w:rsid w:val="00B86F93"/>
    <w:rsid w:val="00BA03F3"/>
    <w:rsid w:val="00BA5591"/>
    <w:rsid w:val="00BD1A0C"/>
    <w:rsid w:val="00BD1F62"/>
    <w:rsid w:val="00C025F4"/>
    <w:rsid w:val="00C02FC4"/>
    <w:rsid w:val="00C04DBE"/>
    <w:rsid w:val="00C059BC"/>
    <w:rsid w:val="00C109E1"/>
    <w:rsid w:val="00C23FED"/>
    <w:rsid w:val="00C25995"/>
    <w:rsid w:val="00C27F8B"/>
    <w:rsid w:val="00C32320"/>
    <w:rsid w:val="00C33219"/>
    <w:rsid w:val="00C34478"/>
    <w:rsid w:val="00C4506D"/>
    <w:rsid w:val="00C57D42"/>
    <w:rsid w:val="00C61373"/>
    <w:rsid w:val="00C64288"/>
    <w:rsid w:val="00C72ECA"/>
    <w:rsid w:val="00C862F7"/>
    <w:rsid w:val="00C8761F"/>
    <w:rsid w:val="00CA0DA6"/>
    <w:rsid w:val="00CA63BE"/>
    <w:rsid w:val="00CC1B83"/>
    <w:rsid w:val="00CC7AB6"/>
    <w:rsid w:val="00CD2F16"/>
    <w:rsid w:val="00CD36E0"/>
    <w:rsid w:val="00CE7A6D"/>
    <w:rsid w:val="00CF5EAB"/>
    <w:rsid w:val="00D105E4"/>
    <w:rsid w:val="00D2115F"/>
    <w:rsid w:val="00D23CCB"/>
    <w:rsid w:val="00D30590"/>
    <w:rsid w:val="00D32A09"/>
    <w:rsid w:val="00D4428A"/>
    <w:rsid w:val="00D6133C"/>
    <w:rsid w:val="00D64A3B"/>
    <w:rsid w:val="00D654EC"/>
    <w:rsid w:val="00D66666"/>
    <w:rsid w:val="00D72BD8"/>
    <w:rsid w:val="00D76056"/>
    <w:rsid w:val="00D802BA"/>
    <w:rsid w:val="00D92F8A"/>
    <w:rsid w:val="00D979A2"/>
    <w:rsid w:val="00DA3039"/>
    <w:rsid w:val="00DA356D"/>
    <w:rsid w:val="00DA484E"/>
    <w:rsid w:val="00DA635F"/>
    <w:rsid w:val="00DB6C15"/>
    <w:rsid w:val="00DC3E07"/>
    <w:rsid w:val="00DC6296"/>
    <w:rsid w:val="00DD2C10"/>
    <w:rsid w:val="00DD5E2C"/>
    <w:rsid w:val="00DE7F40"/>
    <w:rsid w:val="00DF425B"/>
    <w:rsid w:val="00DF4D08"/>
    <w:rsid w:val="00DF59DF"/>
    <w:rsid w:val="00E02B57"/>
    <w:rsid w:val="00E03D10"/>
    <w:rsid w:val="00E16AB7"/>
    <w:rsid w:val="00E20550"/>
    <w:rsid w:val="00E24B44"/>
    <w:rsid w:val="00E35448"/>
    <w:rsid w:val="00E36C1C"/>
    <w:rsid w:val="00E403E1"/>
    <w:rsid w:val="00E43AD8"/>
    <w:rsid w:val="00E47B3B"/>
    <w:rsid w:val="00E51D9B"/>
    <w:rsid w:val="00E6129C"/>
    <w:rsid w:val="00E61945"/>
    <w:rsid w:val="00E637D7"/>
    <w:rsid w:val="00E64E13"/>
    <w:rsid w:val="00E66C64"/>
    <w:rsid w:val="00E778E0"/>
    <w:rsid w:val="00E814F3"/>
    <w:rsid w:val="00E817A4"/>
    <w:rsid w:val="00E82E37"/>
    <w:rsid w:val="00E83604"/>
    <w:rsid w:val="00E84793"/>
    <w:rsid w:val="00E904F2"/>
    <w:rsid w:val="00E9547E"/>
    <w:rsid w:val="00EA091B"/>
    <w:rsid w:val="00EB13A2"/>
    <w:rsid w:val="00EB2187"/>
    <w:rsid w:val="00ED0F07"/>
    <w:rsid w:val="00ED61A9"/>
    <w:rsid w:val="00ED6990"/>
    <w:rsid w:val="00F030B8"/>
    <w:rsid w:val="00F07F3F"/>
    <w:rsid w:val="00F17860"/>
    <w:rsid w:val="00F26188"/>
    <w:rsid w:val="00F45B1F"/>
    <w:rsid w:val="00F76745"/>
    <w:rsid w:val="00F810EE"/>
    <w:rsid w:val="00F82568"/>
    <w:rsid w:val="00F9022A"/>
    <w:rsid w:val="00F92194"/>
    <w:rsid w:val="00FA7C73"/>
    <w:rsid w:val="00FB04B2"/>
    <w:rsid w:val="00FB4474"/>
    <w:rsid w:val="00FD21D6"/>
    <w:rsid w:val="00FD3DFB"/>
    <w:rsid w:val="00FD4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8A0B"/>
  <w15:chartTrackingRefBased/>
  <w15:docId w15:val="{8975C55A-0224-4CCD-AD42-E21372B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Myriad Pro" w:hAnsi="Myriad Pro"/>
      <w:b/>
    </w:rPr>
  </w:style>
  <w:style w:type="paragraph" w:styleId="Nagwek2">
    <w:name w:val="heading 2"/>
    <w:basedOn w:val="Normalny"/>
    <w:next w:val="Normalny"/>
    <w:link w:val="Nagwek2Znak"/>
    <w:uiPriority w:val="9"/>
    <w:semiHidden/>
    <w:unhideWhenUsed/>
    <w:qFormat/>
    <w:rsid w:val="00DC6296"/>
    <w:pPr>
      <w:keepNext/>
      <w:spacing w:before="240" w:after="60"/>
      <w:outlineLvl w:val="1"/>
    </w:pPr>
    <w:rPr>
      <w:rFonts w:ascii="Cambria" w:hAnsi="Cambria"/>
      <w:b/>
      <w:bCs/>
      <w:i/>
      <w:iCs/>
      <w:sz w:val="28"/>
      <w:szCs w:val="28"/>
    </w:rPr>
  </w:style>
  <w:style w:type="paragraph" w:styleId="Nagwek6">
    <w:name w:val="heading 6"/>
    <w:basedOn w:val="Normalny"/>
    <w:next w:val="Normalny"/>
    <w:link w:val="Nagwek6Znak"/>
    <w:qFormat/>
    <w:pPr>
      <w:keepNext/>
      <w:tabs>
        <w:tab w:val="left" w:pos="709"/>
      </w:tabs>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paragraph" w:styleId="Tekstprzypisukocowego">
    <w:name w:val="endnote text"/>
    <w:basedOn w:val="Normalny"/>
    <w:semiHidden/>
    <w:rPr>
      <w:sz w:val="20"/>
      <w:szCs w:val="20"/>
    </w:rPr>
  </w:style>
  <w:style w:type="character" w:styleId="Hipercze">
    <w:name w:val="Hyperlink"/>
    <w:semiHidden/>
    <w:rPr>
      <w:color w:val="0000FF"/>
      <w:u w:val="single"/>
    </w:rPr>
  </w:style>
  <w:style w:type="character" w:customStyle="1" w:styleId="NagwekZnak">
    <w:name w:val="Nagłówek Znak"/>
    <w:link w:val="Nagwek"/>
    <w:rsid w:val="00657B31"/>
    <w:rPr>
      <w:sz w:val="24"/>
      <w:szCs w:val="24"/>
    </w:rPr>
  </w:style>
  <w:style w:type="paragraph" w:styleId="Tekstdymka">
    <w:name w:val="Balloon Text"/>
    <w:basedOn w:val="Normalny"/>
    <w:link w:val="TekstdymkaZnak"/>
    <w:uiPriority w:val="99"/>
    <w:semiHidden/>
    <w:unhideWhenUsed/>
    <w:rsid w:val="00657B31"/>
    <w:rPr>
      <w:rFonts w:ascii="Tahoma" w:hAnsi="Tahoma" w:cs="Tahoma"/>
      <w:sz w:val="16"/>
      <w:szCs w:val="16"/>
    </w:rPr>
  </w:style>
  <w:style w:type="character" w:customStyle="1" w:styleId="TekstdymkaZnak">
    <w:name w:val="Tekst dymka Znak"/>
    <w:link w:val="Tekstdymka"/>
    <w:uiPriority w:val="99"/>
    <w:semiHidden/>
    <w:rsid w:val="00657B31"/>
    <w:rPr>
      <w:rFonts w:ascii="Tahoma" w:hAnsi="Tahoma" w:cs="Tahoma"/>
      <w:sz w:val="16"/>
      <w:szCs w:val="16"/>
    </w:rPr>
  </w:style>
  <w:style w:type="character" w:styleId="Odwoanieprzypisukocowego">
    <w:name w:val="endnote reference"/>
    <w:uiPriority w:val="99"/>
    <w:semiHidden/>
    <w:unhideWhenUsed/>
    <w:rsid w:val="00C4506D"/>
    <w:rPr>
      <w:vertAlign w:val="superscript"/>
    </w:rPr>
  </w:style>
  <w:style w:type="character" w:customStyle="1" w:styleId="Nagwek6Znak">
    <w:name w:val="Nagłówek 6 Znak"/>
    <w:link w:val="Nagwek6"/>
    <w:rsid w:val="00D30590"/>
    <w:rPr>
      <w:sz w:val="24"/>
    </w:rPr>
  </w:style>
  <w:style w:type="paragraph" w:styleId="Tekstprzypisudolnego">
    <w:name w:val="footnote text"/>
    <w:aliases w:val="Podrozdział,Footnote,Podrozdzia3"/>
    <w:basedOn w:val="Normalny"/>
    <w:link w:val="TekstprzypisudolnegoZnak"/>
    <w:uiPriority w:val="99"/>
    <w:semiHidden/>
    <w:rsid w:val="004043CC"/>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043CC"/>
  </w:style>
  <w:style w:type="character" w:styleId="Odwoanieprzypisudolnego">
    <w:name w:val="footnote reference"/>
    <w:aliases w:val="Footnote Reference Number"/>
    <w:uiPriority w:val="99"/>
    <w:semiHidden/>
    <w:rsid w:val="004043CC"/>
    <w:rPr>
      <w:vertAlign w:val="superscript"/>
    </w:rPr>
  </w:style>
  <w:style w:type="paragraph" w:styleId="Akapitzlist">
    <w:name w:val="List Paragraph"/>
    <w:aliases w:val="Numerowanie,List Paragraph,Akapit z listą BS,Kolorowa lista — akcent 11,Akapit z listą2,Preambuła"/>
    <w:basedOn w:val="Normalny"/>
    <w:link w:val="AkapitzlistZnak"/>
    <w:uiPriority w:val="34"/>
    <w:qFormat/>
    <w:rsid w:val="004043CC"/>
    <w:pPr>
      <w:ind w:left="720"/>
      <w:contextualSpacing/>
    </w:pPr>
    <w:rPr>
      <w:sz w:val="20"/>
      <w:szCs w:val="20"/>
    </w:rPr>
  </w:style>
  <w:style w:type="character" w:customStyle="1" w:styleId="Nagwek2Znak">
    <w:name w:val="Nagłówek 2 Znak"/>
    <w:link w:val="Nagwek2"/>
    <w:uiPriority w:val="9"/>
    <w:semiHidden/>
    <w:rsid w:val="00DC6296"/>
    <w:rPr>
      <w:rFonts w:ascii="Cambria" w:eastAsia="Times New Roman" w:hAnsi="Cambria" w:cs="Times New Roman"/>
      <w:b/>
      <w:bCs/>
      <w:i/>
      <w:iCs/>
      <w:sz w:val="28"/>
      <w:szCs w:val="28"/>
    </w:rPr>
  </w:style>
  <w:style w:type="character" w:styleId="Odwoaniedokomentarza">
    <w:name w:val="annotation reference"/>
    <w:uiPriority w:val="99"/>
    <w:semiHidden/>
    <w:unhideWhenUsed/>
    <w:rsid w:val="00DC6296"/>
    <w:rPr>
      <w:sz w:val="16"/>
      <w:szCs w:val="16"/>
    </w:rPr>
  </w:style>
  <w:style w:type="paragraph" w:styleId="Tekstkomentarza">
    <w:name w:val="annotation text"/>
    <w:basedOn w:val="Normalny"/>
    <w:link w:val="TekstkomentarzaZnak1"/>
    <w:uiPriority w:val="99"/>
    <w:semiHidden/>
    <w:unhideWhenUsed/>
    <w:rsid w:val="00DC6296"/>
    <w:pPr>
      <w:suppressAutoHyphens/>
    </w:pPr>
    <w:rPr>
      <w:sz w:val="20"/>
      <w:szCs w:val="20"/>
      <w:lang w:eastAsia="zh-CN"/>
    </w:rPr>
  </w:style>
  <w:style w:type="character" w:customStyle="1" w:styleId="TekstkomentarzaZnak">
    <w:name w:val="Tekst komentarza Znak"/>
    <w:basedOn w:val="Domylnaczcionkaakapitu"/>
    <w:uiPriority w:val="99"/>
    <w:semiHidden/>
    <w:rsid w:val="00DC6296"/>
  </w:style>
  <w:style w:type="character" w:customStyle="1" w:styleId="TekstkomentarzaZnak1">
    <w:name w:val="Tekst komentarza Znak1"/>
    <w:link w:val="Tekstkomentarza"/>
    <w:uiPriority w:val="99"/>
    <w:semiHidden/>
    <w:rsid w:val="00DC6296"/>
    <w:rPr>
      <w:lang w:eastAsia="zh-CN"/>
    </w:rPr>
  </w:style>
  <w:style w:type="paragraph" w:styleId="Tematkomentarza">
    <w:name w:val="annotation subject"/>
    <w:basedOn w:val="Tekstkomentarza"/>
    <w:next w:val="Tekstkomentarza"/>
    <w:link w:val="TematkomentarzaZnak"/>
    <w:uiPriority w:val="99"/>
    <w:semiHidden/>
    <w:unhideWhenUsed/>
    <w:rsid w:val="00896296"/>
    <w:pPr>
      <w:suppressAutoHyphens w:val="0"/>
    </w:pPr>
    <w:rPr>
      <w:b/>
      <w:bCs/>
      <w:lang w:eastAsia="pl-PL"/>
    </w:rPr>
  </w:style>
  <w:style w:type="character" w:customStyle="1" w:styleId="TematkomentarzaZnak">
    <w:name w:val="Temat komentarza Znak"/>
    <w:link w:val="Tematkomentarza"/>
    <w:uiPriority w:val="99"/>
    <w:semiHidden/>
    <w:rsid w:val="00896296"/>
    <w:rPr>
      <w:b/>
      <w:bCs/>
      <w:lang w:eastAsia="zh-CN"/>
    </w:rPr>
  </w:style>
  <w:style w:type="table" w:styleId="Tabela-Siatka">
    <w:name w:val="Table Grid"/>
    <w:basedOn w:val="Standardowy"/>
    <w:uiPriority w:val="59"/>
    <w:rsid w:val="00CD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82BF3"/>
    <w:rPr>
      <w:sz w:val="24"/>
      <w:szCs w:val="24"/>
    </w:rPr>
  </w:style>
  <w:style w:type="character" w:customStyle="1" w:styleId="AkapitzlistZnak">
    <w:name w:val="Akapit z listą Znak"/>
    <w:aliases w:val="Numerowanie Znak,List Paragraph Znak,Akapit z listą BS Znak,Kolorowa lista — akcent 11 Znak,Akapit z listą2 Znak,Preambuła Znak"/>
    <w:link w:val="Akapitzlist"/>
    <w:uiPriority w:val="34"/>
    <w:locked/>
    <w:rsid w:val="00D8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3092">
      <w:bodyDiv w:val="1"/>
      <w:marLeft w:val="0"/>
      <w:marRight w:val="0"/>
      <w:marTop w:val="0"/>
      <w:marBottom w:val="0"/>
      <w:divBdr>
        <w:top w:val="none" w:sz="0" w:space="0" w:color="auto"/>
        <w:left w:val="none" w:sz="0" w:space="0" w:color="auto"/>
        <w:bottom w:val="none" w:sz="0" w:space="0" w:color="auto"/>
        <w:right w:val="none" w:sz="0" w:space="0" w:color="auto"/>
      </w:divBdr>
    </w:div>
    <w:div w:id="1377120206">
      <w:bodyDiv w:val="1"/>
      <w:marLeft w:val="0"/>
      <w:marRight w:val="0"/>
      <w:marTop w:val="0"/>
      <w:marBottom w:val="0"/>
      <w:divBdr>
        <w:top w:val="none" w:sz="0" w:space="0" w:color="auto"/>
        <w:left w:val="none" w:sz="0" w:space="0" w:color="auto"/>
        <w:bottom w:val="none" w:sz="0" w:space="0" w:color="auto"/>
        <w:right w:val="none" w:sz="0" w:space="0" w:color="auto"/>
      </w:divBdr>
    </w:div>
    <w:div w:id="1605065580">
      <w:bodyDiv w:val="1"/>
      <w:marLeft w:val="0"/>
      <w:marRight w:val="0"/>
      <w:marTop w:val="0"/>
      <w:marBottom w:val="0"/>
      <w:divBdr>
        <w:top w:val="none" w:sz="0" w:space="0" w:color="auto"/>
        <w:left w:val="none" w:sz="0" w:space="0" w:color="auto"/>
        <w:bottom w:val="none" w:sz="0" w:space="0" w:color="auto"/>
        <w:right w:val="none" w:sz="0" w:space="0" w:color="auto"/>
      </w:divBdr>
    </w:div>
    <w:div w:id="1913420598">
      <w:bodyDiv w:val="1"/>
      <w:marLeft w:val="0"/>
      <w:marRight w:val="0"/>
      <w:marTop w:val="0"/>
      <w:marBottom w:val="0"/>
      <w:divBdr>
        <w:top w:val="none" w:sz="0" w:space="0" w:color="auto"/>
        <w:left w:val="none" w:sz="0" w:space="0" w:color="auto"/>
        <w:bottom w:val="none" w:sz="0" w:space="0" w:color="auto"/>
        <w:right w:val="none" w:sz="0" w:space="0" w:color="auto"/>
      </w:divBdr>
    </w:div>
    <w:div w:id="21279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F9F7-46C3-4ABF-B1AA-80B1DC3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2309</Words>
  <Characters>12024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DPR-II-4/0725/67/07</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DPR-II-4/0725/67/07</dc:title>
  <dc:subject/>
  <dc:creator>LAPTOP</dc:creator>
  <cp:keywords/>
  <cp:lastModifiedBy>Grażyna</cp:lastModifiedBy>
  <cp:revision>7</cp:revision>
  <cp:lastPrinted>2017-02-22T12:01:00Z</cp:lastPrinted>
  <dcterms:created xsi:type="dcterms:W3CDTF">2022-03-17T09:37:00Z</dcterms:created>
  <dcterms:modified xsi:type="dcterms:W3CDTF">2022-03-22T14:51:00Z</dcterms:modified>
</cp:coreProperties>
</file>