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B41F6" w14:textId="77777777" w:rsidR="00911C96" w:rsidRDefault="00911C96" w:rsidP="00911C96">
      <w:pPr>
        <w:spacing w:after="40" w:line="271" w:lineRule="auto"/>
        <w:jc w:val="both"/>
        <w:rPr>
          <w:rFonts w:eastAsia="Arial" w:cstheme="minorHAnsi"/>
          <w:b/>
        </w:rPr>
      </w:pPr>
    </w:p>
    <w:p w14:paraId="41EE2891" w14:textId="7D7E29EC" w:rsidR="00911C96" w:rsidRPr="00911C96" w:rsidRDefault="00911C96" w:rsidP="00911C96">
      <w:pPr>
        <w:spacing w:after="40" w:line="271" w:lineRule="auto"/>
        <w:jc w:val="both"/>
        <w:rPr>
          <w:rFonts w:cstheme="minorHAnsi"/>
          <w:b/>
        </w:rPr>
      </w:pPr>
      <w:r w:rsidRPr="00911C96">
        <w:rPr>
          <w:rFonts w:eastAsia="Arial" w:cstheme="minorHAnsi"/>
          <w:b/>
        </w:rPr>
        <w:t>Załącznik nr 1</w:t>
      </w:r>
      <w:r w:rsidRPr="00911C96">
        <w:rPr>
          <w:rFonts w:cstheme="minorHAnsi"/>
          <w:b/>
        </w:rPr>
        <w:t xml:space="preserve"> – Opis przedmiotu zamówienia</w:t>
      </w:r>
    </w:p>
    <w:p w14:paraId="3BAB9E8C" w14:textId="689715FE" w:rsidR="00911C96" w:rsidRDefault="00911C96">
      <w:pPr>
        <w:rPr>
          <w:rFonts w:cstheme="minorHAnsi"/>
          <w:sz w:val="23"/>
          <w:szCs w:val="23"/>
        </w:rPr>
      </w:pPr>
    </w:p>
    <w:p w14:paraId="54A7F9BC" w14:textId="71E36521" w:rsidR="00F716F8" w:rsidRPr="00911C96" w:rsidRDefault="00D91117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 ramach zamówienia przewidziano kompleksowe wykonanie instalacji fotowoltaicznej na gruncie o mocy co najmniej 31.5KwP.</w:t>
      </w:r>
    </w:p>
    <w:p w14:paraId="6E1AB23F" w14:textId="1EEBAF35" w:rsidR="00D91117" w:rsidRPr="00911C96" w:rsidRDefault="00D91117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Zakres zamówienia obejmuje: dostawę i montaż fabrycznie nowych, nieużywanych paneli fotowoltaicznych, dedykowanej konstrukcji pod panele, falowników,</w:t>
      </w:r>
      <w:r w:rsidR="00CF3F3F" w:rsidRPr="00911C96">
        <w:rPr>
          <w:rFonts w:cstheme="minorHAnsi"/>
          <w:sz w:val="23"/>
          <w:szCs w:val="23"/>
        </w:rPr>
        <w:t xml:space="preserve"> systemu monitorowania,</w:t>
      </w:r>
      <w:r w:rsidRPr="00911C96">
        <w:rPr>
          <w:rFonts w:cstheme="minorHAnsi"/>
          <w:sz w:val="23"/>
          <w:szCs w:val="23"/>
        </w:rPr>
        <w:t xml:space="preserve"> okablowania wraz z uziemieniem, skrzynek przyłączeniowych oraz wykonanie i przekazanie Zamawiającemu niezbędnej dokumentacji koniecznej do przyłączenia instalacji i umożliwienia rozliczania energii ze sprzedawcą energii elektrycznej oraz dokonania wszelkich wymaganych przepisami prawa zgłoszeń związanych z eksploatacją tej instalacji. </w:t>
      </w:r>
    </w:p>
    <w:p w14:paraId="292D7D8A" w14:textId="60E0FDFA" w:rsidR="00D91117" w:rsidRPr="00911C96" w:rsidRDefault="00D91117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Miejsce instalacji:</w:t>
      </w:r>
    </w:p>
    <w:p w14:paraId="327C4EF1" w14:textId="26CF231B" w:rsidR="00D91117" w:rsidRPr="00911C96" w:rsidRDefault="00990F01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Działka nr </w:t>
      </w:r>
      <w:proofErr w:type="spellStart"/>
      <w:r w:rsidRPr="00911C96">
        <w:rPr>
          <w:rFonts w:cstheme="minorHAnsi"/>
          <w:sz w:val="23"/>
          <w:szCs w:val="23"/>
        </w:rPr>
        <w:t>ewid</w:t>
      </w:r>
      <w:proofErr w:type="spellEnd"/>
      <w:r w:rsidRPr="00911C96">
        <w:rPr>
          <w:rFonts w:cstheme="minorHAnsi"/>
          <w:sz w:val="23"/>
          <w:szCs w:val="23"/>
        </w:rPr>
        <w:t>. 4118/2 oraz 4118/3 przy ul. Dworcowej 22 w Milówce (34-360) Milówka. Instalacja skierowana na południe, wzdłuż ulicy Nowej, w jednym ciągu. Maksymalna powierzchnia instalacji (powierzchnia paneli) nie może przekraczać</w:t>
      </w:r>
      <w:r w:rsidR="00E11A08" w:rsidRPr="00911C96">
        <w:rPr>
          <w:rFonts w:cstheme="minorHAnsi"/>
          <w:sz w:val="23"/>
          <w:szCs w:val="23"/>
        </w:rPr>
        <w:t xml:space="preserve"> 165m2</w:t>
      </w:r>
    </w:p>
    <w:p w14:paraId="1095A104" w14:textId="2E831450" w:rsidR="00990F01" w:rsidRPr="00911C96" w:rsidRDefault="00AF5AAB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Odległość (mierzona jako długość przewodu) pomiędzy instalacją a licznikiem energii elektrycznej</w:t>
      </w:r>
      <w:r w:rsidR="00D357DF" w:rsidRPr="00911C96">
        <w:rPr>
          <w:rFonts w:cstheme="minorHAnsi"/>
          <w:sz w:val="23"/>
          <w:szCs w:val="23"/>
        </w:rPr>
        <w:t xml:space="preserve"> (skrzynia POMIAR)</w:t>
      </w:r>
      <w:r w:rsidRPr="00911C96">
        <w:rPr>
          <w:rFonts w:cstheme="minorHAnsi"/>
          <w:sz w:val="23"/>
          <w:szCs w:val="23"/>
        </w:rPr>
        <w:t xml:space="preserve"> wynosi</w:t>
      </w:r>
      <w:r w:rsidR="00E11A08" w:rsidRPr="00911C96">
        <w:rPr>
          <w:rFonts w:cstheme="minorHAnsi"/>
          <w:sz w:val="23"/>
          <w:szCs w:val="23"/>
        </w:rPr>
        <w:t xml:space="preserve"> </w:t>
      </w:r>
      <w:r w:rsidR="0057092A" w:rsidRPr="00911C96">
        <w:rPr>
          <w:rFonts w:cstheme="minorHAnsi"/>
          <w:sz w:val="23"/>
          <w:szCs w:val="23"/>
        </w:rPr>
        <w:t>31</w:t>
      </w:r>
      <w:r w:rsidRPr="00911C96">
        <w:rPr>
          <w:rFonts w:cstheme="minorHAnsi"/>
          <w:sz w:val="23"/>
          <w:szCs w:val="23"/>
        </w:rPr>
        <w:t xml:space="preserve"> </w:t>
      </w:r>
      <w:proofErr w:type="spellStart"/>
      <w:r w:rsidRPr="00911C96">
        <w:rPr>
          <w:rFonts w:cstheme="minorHAnsi"/>
          <w:sz w:val="23"/>
          <w:szCs w:val="23"/>
        </w:rPr>
        <w:t>mb</w:t>
      </w:r>
      <w:proofErr w:type="spellEnd"/>
      <w:r w:rsidRPr="00911C96">
        <w:rPr>
          <w:rFonts w:cstheme="minorHAnsi"/>
          <w:sz w:val="23"/>
          <w:szCs w:val="23"/>
        </w:rPr>
        <w:t xml:space="preserve">. W </w:t>
      </w:r>
      <w:r w:rsidR="0057092A" w:rsidRPr="00911C96">
        <w:rPr>
          <w:rFonts w:cstheme="minorHAnsi"/>
          <w:sz w:val="23"/>
          <w:szCs w:val="23"/>
        </w:rPr>
        <w:t>45</w:t>
      </w:r>
      <w:r w:rsidRPr="00911C96">
        <w:rPr>
          <w:rFonts w:cstheme="minorHAnsi"/>
          <w:sz w:val="23"/>
          <w:szCs w:val="23"/>
        </w:rPr>
        <w:t>% linia ta jest pokryta trawnikiem, w pozostałej części kostką brukową.</w:t>
      </w:r>
    </w:p>
    <w:p w14:paraId="666E5674" w14:textId="2303CA0F" w:rsidR="00AF5AAB" w:rsidRPr="00911C96" w:rsidRDefault="00AF5AAB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Data produkcji paneli fotowoltaicznych oraz falowników nie może być starsza niż 2021r.</w:t>
      </w:r>
    </w:p>
    <w:p w14:paraId="0CA59236" w14:textId="77777777" w:rsidR="00DE49E0" w:rsidRPr="00911C96" w:rsidRDefault="00DE49E0">
      <w:pPr>
        <w:rPr>
          <w:rFonts w:cstheme="minorHAnsi"/>
          <w:sz w:val="23"/>
          <w:szCs w:val="23"/>
        </w:rPr>
      </w:pPr>
    </w:p>
    <w:p w14:paraId="1FC9340F" w14:textId="3FCE6146" w:rsidR="00DE49E0" w:rsidRPr="00911C96" w:rsidRDefault="00DE49E0">
      <w:pPr>
        <w:rPr>
          <w:rFonts w:cstheme="minorHAnsi"/>
          <w:b/>
          <w:bCs/>
          <w:sz w:val="23"/>
          <w:szCs w:val="23"/>
        </w:rPr>
      </w:pPr>
      <w:r w:rsidRPr="00911C96">
        <w:rPr>
          <w:rFonts w:cstheme="minorHAnsi"/>
          <w:b/>
          <w:bCs/>
          <w:sz w:val="23"/>
          <w:szCs w:val="23"/>
        </w:rPr>
        <w:t>Parametry systemu monitorowania</w:t>
      </w:r>
    </w:p>
    <w:p w14:paraId="636B5A05" w14:textId="46E6D013" w:rsidR="00AF5AAB" w:rsidRPr="00911C96" w:rsidRDefault="00AF5AAB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Rozwiązania zastosowane w instalacji muszą umożliwiać monitorowanie jej stanu poprzez urządzenia mobilne </w:t>
      </w:r>
      <w:r w:rsidR="002B3505" w:rsidRPr="00911C96">
        <w:rPr>
          <w:rFonts w:cstheme="minorHAnsi"/>
          <w:sz w:val="23"/>
          <w:szCs w:val="23"/>
        </w:rPr>
        <w:t xml:space="preserve">będące w posiadaniu Zamawiającego </w:t>
      </w:r>
      <w:r w:rsidRPr="00911C96">
        <w:rPr>
          <w:rFonts w:cstheme="minorHAnsi"/>
          <w:sz w:val="23"/>
          <w:szCs w:val="23"/>
        </w:rPr>
        <w:t xml:space="preserve">oparte na systemie operacyjnym iOS w formie dedykowanej aplikacji. Interfejs aplikacji musi mieć możliwość wyświetlania informacji w języku polskim. Dostęp do danych rzeczywistych oraz danych historycznych musi być dostępny zarówno z sieci zewnętrznej jak i wewnętrznej. </w:t>
      </w:r>
      <w:r w:rsidR="002B3505" w:rsidRPr="00911C96">
        <w:rPr>
          <w:rFonts w:cstheme="minorHAnsi"/>
          <w:sz w:val="23"/>
          <w:szCs w:val="23"/>
        </w:rPr>
        <w:t>W sytuacji awarii, system monitorujący musi wysyłać powiadomienie na wskazany przez Zamawiającego adres e-mail. Dedykowana aplikacja musi umożliwiać:</w:t>
      </w:r>
    </w:p>
    <w:p w14:paraId="62B1C473" w14:textId="0050CD73" w:rsidR="002B3505" w:rsidRPr="00911C96" w:rsidRDefault="002B3505">
      <w:pPr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- wyświetlanie wartości  bieżącej produkcji wraz z wykresem </w:t>
      </w:r>
      <w:r w:rsidRPr="00911C96">
        <w:rPr>
          <w:rFonts w:cstheme="minorHAnsi"/>
          <w:sz w:val="23"/>
          <w:szCs w:val="23"/>
        </w:rPr>
        <w:br/>
        <w:t>- wyświetlanie wartości produkcji w danym dniu wraz z wykresem</w:t>
      </w:r>
      <w:r w:rsidRPr="00911C96">
        <w:rPr>
          <w:rFonts w:cstheme="minorHAnsi"/>
          <w:sz w:val="23"/>
          <w:szCs w:val="23"/>
        </w:rPr>
        <w:br/>
        <w:t>-wyświetlanie wartości  produkcji historycznej w dowolnym wybranym dniu wraz z wykresem</w:t>
      </w:r>
      <w:r w:rsidRPr="00911C96">
        <w:rPr>
          <w:rFonts w:cstheme="minorHAnsi"/>
          <w:sz w:val="23"/>
          <w:szCs w:val="23"/>
        </w:rPr>
        <w:br/>
        <w:t>-wyświetlanie wartości  produkcji w dowolnie wybranym miesiącu wraz z wykresem</w:t>
      </w:r>
      <w:r w:rsidRPr="00911C96">
        <w:rPr>
          <w:rFonts w:cstheme="minorHAnsi"/>
          <w:sz w:val="23"/>
          <w:szCs w:val="23"/>
        </w:rPr>
        <w:br/>
        <w:t>- wyświetlanie wartości produkcji w dowolnie wybranym roku wraz z wykresem</w:t>
      </w:r>
      <w:r w:rsidRPr="00911C96">
        <w:rPr>
          <w:rFonts w:cstheme="minorHAnsi"/>
          <w:sz w:val="23"/>
          <w:szCs w:val="23"/>
        </w:rPr>
        <w:br/>
        <w:t>- wyświetlanie wartości  produkcji łącznie wraz z wykresem</w:t>
      </w:r>
      <w:r w:rsidRPr="00911C96">
        <w:rPr>
          <w:rFonts w:cstheme="minorHAnsi"/>
          <w:sz w:val="23"/>
          <w:szCs w:val="23"/>
        </w:rPr>
        <w:br/>
        <w:t>- obliczanie uzysków na podstawie produkcji oraz cen energii elektrycznej z uwzględnieniem zaprogramowanych kosztów energii elektrycznej</w:t>
      </w:r>
      <w:r w:rsidRPr="00911C96">
        <w:rPr>
          <w:rFonts w:cstheme="minorHAnsi"/>
          <w:sz w:val="23"/>
          <w:szCs w:val="23"/>
        </w:rPr>
        <w:br/>
        <w:t>- obliczanie oszczędności CO2</w:t>
      </w:r>
    </w:p>
    <w:p w14:paraId="26F1E931" w14:textId="202DBF38" w:rsidR="00DE49E0" w:rsidRPr="00911C96" w:rsidRDefault="00DE49E0" w:rsidP="00DE49E0">
      <w:pPr>
        <w:autoSpaceDE w:val="0"/>
        <w:spacing w:after="40"/>
        <w:jc w:val="both"/>
        <w:rPr>
          <w:rFonts w:cstheme="minorHAnsi"/>
          <w:b/>
          <w:bCs/>
          <w:sz w:val="23"/>
          <w:szCs w:val="23"/>
        </w:rPr>
      </w:pPr>
      <w:r w:rsidRPr="00911C96">
        <w:rPr>
          <w:rFonts w:cstheme="minorHAnsi"/>
          <w:b/>
          <w:bCs/>
          <w:sz w:val="23"/>
          <w:szCs w:val="23"/>
        </w:rPr>
        <w:t>Parametry</w:t>
      </w:r>
      <w:r w:rsidR="00F03987" w:rsidRPr="00911C96">
        <w:rPr>
          <w:rFonts w:cstheme="minorHAnsi"/>
          <w:b/>
          <w:bCs/>
          <w:sz w:val="23"/>
          <w:szCs w:val="23"/>
        </w:rPr>
        <w:t xml:space="preserve"> paneli fotowoltaicznych:</w:t>
      </w:r>
    </w:p>
    <w:p w14:paraId="758AD3BB" w14:textId="09B2C672" w:rsidR="00DE49E0" w:rsidRPr="00911C96" w:rsidRDefault="00DE49E0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zasilanie – trójfazowe,</w:t>
      </w:r>
    </w:p>
    <w:p w14:paraId="2A73BD1C" w14:textId="35675694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dwustronność 70±5%</w:t>
      </w:r>
    </w:p>
    <w:p w14:paraId="587144B4" w14:textId="37E2A87C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obniżenie mocy w pierwszym roku &lt;2$</w:t>
      </w:r>
    </w:p>
    <w:p w14:paraId="0D666F8C" w14:textId="5599348D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30 letnia liniowa gwarancja na moc, zapewniająca minimum 92,2% mocy po 10 latach, 87,7% po 15 latach, 84,5% po 20 latach, 80,7% po 25 latach.</w:t>
      </w:r>
    </w:p>
    <w:p w14:paraId="7181DC83" w14:textId="4F71C07C" w:rsidR="0057092A" w:rsidRPr="00911C96" w:rsidRDefault="0057092A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lastRenderedPageBreak/>
        <w:t>Gwarancja standardowa min. 12 lat</w:t>
      </w:r>
    </w:p>
    <w:p w14:paraId="63E7B596" w14:textId="599D5200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odporność na grad: minimum 25 mm grad przy prędkości 23 m/s</w:t>
      </w:r>
    </w:p>
    <w:p w14:paraId="3C9E92AE" w14:textId="22942ABE" w:rsidR="00BA54C2" w:rsidRPr="00911C96" w:rsidRDefault="00DE49E0" w:rsidP="00BA54C2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typ ogniw </w:t>
      </w:r>
      <w:r w:rsidR="00BA54C2" w:rsidRPr="00911C96">
        <w:rPr>
          <w:rFonts w:cstheme="minorHAnsi"/>
          <w:sz w:val="23"/>
          <w:szCs w:val="23"/>
        </w:rPr>
        <w:t>–</w:t>
      </w:r>
      <w:r w:rsidRPr="00911C96">
        <w:rPr>
          <w:rFonts w:cstheme="minorHAnsi"/>
          <w:sz w:val="23"/>
          <w:szCs w:val="23"/>
        </w:rPr>
        <w:t xml:space="preserve"> monokrystaliczne</w:t>
      </w:r>
      <w:r w:rsidR="00BA54C2" w:rsidRPr="00911C96">
        <w:rPr>
          <w:rFonts w:cstheme="minorHAnsi"/>
          <w:sz w:val="23"/>
          <w:szCs w:val="23"/>
        </w:rPr>
        <w:t xml:space="preserve"> half-</w:t>
      </w:r>
      <w:proofErr w:type="spellStart"/>
      <w:r w:rsidR="00BA54C2" w:rsidRPr="00911C96">
        <w:rPr>
          <w:rFonts w:cstheme="minorHAnsi"/>
          <w:sz w:val="23"/>
          <w:szCs w:val="23"/>
        </w:rPr>
        <w:t>cut</w:t>
      </w:r>
      <w:proofErr w:type="spellEnd"/>
    </w:p>
    <w:p w14:paraId="405CBACF" w14:textId="45783A51" w:rsidR="00DE49E0" w:rsidRPr="00911C96" w:rsidRDefault="00DE49E0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całkowita moc instalacji – </w:t>
      </w:r>
      <w:r w:rsidR="00BA54C2" w:rsidRPr="00911C96">
        <w:rPr>
          <w:rFonts w:cstheme="minorHAnsi"/>
          <w:sz w:val="23"/>
          <w:szCs w:val="23"/>
        </w:rPr>
        <w:t>nie mniej niż 31,5Kwp i nie więcej niż 40KwP.</w:t>
      </w:r>
      <w:r w:rsidRPr="00911C96">
        <w:rPr>
          <w:rFonts w:cstheme="minorHAnsi"/>
          <w:sz w:val="23"/>
          <w:szCs w:val="23"/>
        </w:rPr>
        <w:t xml:space="preserve"> </w:t>
      </w:r>
    </w:p>
    <w:p w14:paraId="40777BC1" w14:textId="1249D46F" w:rsidR="00DE49E0" w:rsidRPr="00911C96" w:rsidRDefault="00DE49E0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dopuszczalne obciążenie wiatrem </w:t>
      </w:r>
      <w:proofErr w:type="spellStart"/>
      <w:r w:rsidR="00FC64D7" w:rsidRPr="00911C96">
        <w:rPr>
          <w:rFonts w:cstheme="minorHAnsi"/>
          <w:sz w:val="23"/>
          <w:szCs w:val="23"/>
        </w:rPr>
        <w:t>panela</w:t>
      </w:r>
      <w:proofErr w:type="spellEnd"/>
      <w:r w:rsidRPr="00911C96">
        <w:rPr>
          <w:rFonts w:cstheme="minorHAnsi"/>
          <w:sz w:val="23"/>
          <w:szCs w:val="23"/>
        </w:rPr>
        <w:t xml:space="preserve"> : minimum 2400 Pa,</w:t>
      </w:r>
    </w:p>
    <w:p w14:paraId="42D36BD0" w14:textId="77777777" w:rsidR="00DE49E0" w:rsidRPr="00911C96" w:rsidRDefault="00DE49E0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dopuszczalne obciążenie śniegiem </w:t>
      </w:r>
      <w:proofErr w:type="spellStart"/>
      <w:r w:rsidRPr="00911C96">
        <w:rPr>
          <w:rFonts w:cstheme="minorHAnsi"/>
          <w:sz w:val="23"/>
          <w:szCs w:val="23"/>
        </w:rPr>
        <w:t>panela</w:t>
      </w:r>
      <w:proofErr w:type="spellEnd"/>
      <w:r w:rsidRPr="00911C96">
        <w:rPr>
          <w:rFonts w:cstheme="minorHAnsi"/>
          <w:sz w:val="23"/>
          <w:szCs w:val="23"/>
        </w:rPr>
        <w:t xml:space="preserve"> : minimum 5400 Pa, </w:t>
      </w:r>
    </w:p>
    <w:p w14:paraId="43DBD617" w14:textId="44D8036F" w:rsidR="00DE49E0" w:rsidRPr="00911C96" w:rsidRDefault="00DE49E0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sprawność modułu na poziomie do 20,9%</w:t>
      </w:r>
    </w:p>
    <w:p w14:paraId="2E0893C4" w14:textId="63C4EDE4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Temperatura pracy: co najmniej w zakresie -40°C ~ +85°C </w:t>
      </w:r>
    </w:p>
    <w:p w14:paraId="14E73319" w14:textId="6556FB54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Tolerancja mocy wyjściowej 0 ~ +5 W</w:t>
      </w:r>
    </w:p>
    <w:p w14:paraId="4D2010C5" w14:textId="62303D1E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Maksymalne napięcie systemu 1500 V DC (IEC/UL) </w:t>
      </w:r>
    </w:p>
    <w:p w14:paraId="6FA582C9" w14:textId="00B937AF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Odporność ogniowa UL typ 29</w:t>
      </w:r>
    </w:p>
    <w:p w14:paraId="5C99DF3F" w14:textId="5C2FDD5A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Skrzynka przyłączeniowa IP68, trzy diody</w:t>
      </w:r>
    </w:p>
    <w:p w14:paraId="0E42ACFC" w14:textId="30092AD9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Rama ze stopu aluminium anodowanego </w:t>
      </w:r>
    </w:p>
    <w:p w14:paraId="6DC53EF7" w14:textId="61723FC9" w:rsidR="00FC64D7" w:rsidRPr="00911C96" w:rsidRDefault="00FC64D7" w:rsidP="00DE49E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Podwójne szkło, szkło hartowane powlekane min. 2,0 mm </w:t>
      </w:r>
    </w:p>
    <w:p w14:paraId="3B2BA66A" w14:textId="09C3C012" w:rsidR="00140073" w:rsidRPr="00911C96" w:rsidRDefault="00140073" w:rsidP="00140073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książki  gwarancyjne modułów fotowoltaicznych z numerami seryjnymi sprzętu.</w:t>
      </w:r>
    </w:p>
    <w:p w14:paraId="35AC3A8C" w14:textId="16C1599A" w:rsidR="00AA7958" w:rsidRPr="00911C96" w:rsidRDefault="002956D1" w:rsidP="00140073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Certyfikaty dotyczące kompletnego systemu i produktów: </w:t>
      </w:r>
      <w:r w:rsidR="00AA7958" w:rsidRPr="00911C96">
        <w:rPr>
          <w:rFonts w:cstheme="minorHAnsi"/>
          <w:sz w:val="23"/>
          <w:szCs w:val="23"/>
        </w:rPr>
        <w:t xml:space="preserve">IEC 61215, IEC 61730, UL 61730 ISO 9001:2008: System zarządzania jakością ISO </w:t>
      </w:r>
      <w:proofErr w:type="spellStart"/>
      <w:r w:rsidR="00AA7958" w:rsidRPr="00911C96">
        <w:rPr>
          <w:rFonts w:cstheme="minorHAnsi"/>
          <w:sz w:val="23"/>
          <w:szCs w:val="23"/>
        </w:rPr>
        <w:t>ISO</w:t>
      </w:r>
      <w:proofErr w:type="spellEnd"/>
      <w:r w:rsidR="00AA7958" w:rsidRPr="00911C96">
        <w:rPr>
          <w:rFonts w:cstheme="minorHAnsi"/>
          <w:sz w:val="23"/>
          <w:szCs w:val="23"/>
        </w:rPr>
        <w:t xml:space="preserve"> 14001: 2004: System zarządzania środowiskowego ISO TS62941: Wytyczne dotyczące kwalifikacji projektu modułu i homologacji typu OHSAS 18001: 2007 Bezpieczeństwo i higiena pracy</w:t>
      </w:r>
    </w:p>
    <w:p w14:paraId="7705F8ED" w14:textId="77777777" w:rsidR="00140073" w:rsidRPr="00911C96" w:rsidRDefault="00140073" w:rsidP="00140073">
      <w:pPr>
        <w:spacing w:after="0" w:line="360" w:lineRule="auto"/>
        <w:ind w:left="720"/>
        <w:jc w:val="both"/>
        <w:rPr>
          <w:rFonts w:cstheme="minorHAnsi"/>
          <w:sz w:val="23"/>
          <w:szCs w:val="23"/>
        </w:rPr>
      </w:pPr>
    </w:p>
    <w:p w14:paraId="37BE36F6" w14:textId="174F3F8E" w:rsidR="00FC64D7" w:rsidRPr="00911C96" w:rsidRDefault="00FC64D7" w:rsidP="00FC64D7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645E94D" w14:textId="739A436F" w:rsidR="00FC64D7" w:rsidRPr="00911C96" w:rsidRDefault="00FC64D7" w:rsidP="00FC64D7">
      <w:pPr>
        <w:autoSpaceDE w:val="0"/>
        <w:spacing w:after="40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Parametry konstrukcji:</w:t>
      </w:r>
    </w:p>
    <w:p w14:paraId="6754510D" w14:textId="386B0EF1" w:rsidR="00CF3F3F" w:rsidRPr="00911C96" w:rsidRDefault="00CF3F3F" w:rsidP="00CF3F3F">
      <w:pPr>
        <w:pStyle w:val="Akapitzlist"/>
        <w:numPr>
          <w:ilvl w:val="0"/>
          <w:numId w:val="1"/>
        </w:num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Konstrukcja dedykowana dla oferowanych paneli fotowoltaicznych</w:t>
      </w:r>
    </w:p>
    <w:p w14:paraId="74AAF9E0" w14:textId="77777777" w:rsidR="00CF3F3F" w:rsidRPr="00911C96" w:rsidRDefault="00CF3F3F" w:rsidP="00CF3F3F">
      <w:pPr>
        <w:jc w:val="both"/>
        <w:rPr>
          <w:rFonts w:cstheme="minorHAnsi"/>
          <w:sz w:val="23"/>
          <w:szCs w:val="23"/>
        </w:rPr>
      </w:pPr>
    </w:p>
    <w:p w14:paraId="622C48A8" w14:textId="5842DA58" w:rsidR="00CF3F3F" w:rsidRPr="00911C96" w:rsidRDefault="00CF3F3F" w:rsidP="00CF3F3F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Konstrukcje nośne powinny być wykonane przez firmę specjalizującą się w produkcji systemów montażowych dedykowanych do instalacji fotowoltaicznych. Konstrukcje muszą posiadać odpowiednie certyfikaty, dopuszczenia oraz dokumenty potwierdzające ich zgodność z obowiązującymi przepisami prawa oraz normami technicznymi wystawionymi przez niezależne jednostki certyfikujące. System montażowy musi zostać zaprojektowany i dobrany w taki sposób, aby zapewnić prawidłowe funkcjonowanie </w:t>
      </w:r>
      <w:r w:rsidR="006565D8" w:rsidRPr="00911C96">
        <w:rPr>
          <w:rFonts w:cstheme="minorHAnsi"/>
          <w:sz w:val="23"/>
          <w:szCs w:val="23"/>
        </w:rPr>
        <w:t xml:space="preserve">oferowanej </w:t>
      </w:r>
      <w:r w:rsidRPr="00911C96">
        <w:rPr>
          <w:rFonts w:cstheme="minorHAnsi"/>
          <w:sz w:val="23"/>
          <w:szCs w:val="23"/>
        </w:rPr>
        <w:t xml:space="preserve">instalacji fotowoltaicznej w okresie min. 25 lat. System montażowy powinien zapewnić </w:t>
      </w:r>
      <w:proofErr w:type="spellStart"/>
      <w:r w:rsidRPr="00911C96">
        <w:rPr>
          <w:rFonts w:cstheme="minorHAnsi"/>
          <w:sz w:val="23"/>
          <w:szCs w:val="23"/>
        </w:rPr>
        <w:t>ekwipotencjalizację</w:t>
      </w:r>
      <w:proofErr w:type="spellEnd"/>
      <w:r w:rsidRPr="00911C96">
        <w:rPr>
          <w:rFonts w:cstheme="minorHAnsi"/>
          <w:sz w:val="23"/>
          <w:szCs w:val="23"/>
        </w:rPr>
        <w:t xml:space="preserve"> pomiędzy ramą modułu fotowoltaicznego a elementami konstrukcji wsporczej na której moduł został położony np. poprzez stosowanie specjalnych klem z „ząbkami” lub podkładek „uziemiających ” podczas montażu anodowaną powłokę ramy modułu.</w:t>
      </w:r>
    </w:p>
    <w:p w14:paraId="0188FEC1" w14:textId="77777777" w:rsidR="00CF3F3F" w:rsidRPr="00911C96" w:rsidRDefault="00CF3F3F" w:rsidP="00CF3F3F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lastRenderedPageBreak/>
        <w:t xml:space="preserve">W ostateczności w przypadku, gdy system montażowy nie zapewni </w:t>
      </w:r>
      <w:proofErr w:type="spellStart"/>
      <w:r w:rsidRPr="00911C96">
        <w:rPr>
          <w:rFonts w:cstheme="minorHAnsi"/>
          <w:sz w:val="23"/>
          <w:szCs w:val="23"/>
        </w:rPr>
        <w:t>ekwipotencjalizacji</w:t>
      </w:r>
      <w:proofErr w:type="spellEnd"/>
      <w:r w:rsidRPr="00911C96">
        <w:rPr>
          <w:rFonts w:cstheme="minorHAnsi"/>
          <w:sz w:val="23"/>
          <w:szCs w:val="23"/>
        </w:rPr>
        <w:t xml:space="preserve"> należy wykonać połączenia pomiędzy poszczególnymi ramami modułów fotowoltaicznych oraz elementami konstrukcji wsporczej na której moduły zostały położone. Nie dopuszcza się montażu modułów fotowoltaicznych z ramami aluminiowymi bezpośrednio na stalowych profilach ocynkowanych.</w:t>
      </w:r>
    </w:p>
    <w:p w14:paraId="7FA1E5A9" w14:textId="77777777" w:rsidR="00CF3F3F" w:rsidRPr="00911C96" w:rsidRDefault="00CF3F3F" w:rsidP="00CF3F3F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 zakresie montażu samej konstrukcji jak i modułów fotowoltaicznych należy ściśle przestrzegać wytycznych producentów i stosować się bezwzględnie do instrukcji planowania i montażu.</w:t>
      </w:r>
    </w:p>
    <w:p w14:paraId="5D7BAD5C" w14:textId="5EE6FBE4" w:rsidR="00CF3F3F" w:rsidRPr="00911C96" w:rsidRDefault="00CF3F3F" w:rsidP="00CF3F3F">
      <w:pPr>
        <w:jc w:val="both"/>
        <w:rPr>
          <w:rFonts w:cstheme="minorHAnsi"/>
          <w:sz w:val="23"/>
          <w:szCs w:val="23"/>
        </w:rPr>
      </w:pPr>
    </w:p>
    <w:p w14:paraId="10BF2F92" w14:textId="6E325BDA" w:rsidR="00FC64D7" w:rsidRPr="00911C96" w:rsidRDefault="00FC64D7" w:rsidP="00FC64D7">
      <w:pPr>
        <w:spacing w:line="256" w:lineRule="auto"/>
        <w:rPr>
          <w:rFonts w:cstheme="minorHAnsi"/>
          <w:sz w:val="23"/>
          <w:szCs w:val="23"/>
        </w:rPr>
      </w:pPr>
    </w:p>
    <w:p w14:paraId="6D3245C7" w14:textId="7418C84B" w:rsidR="00CC2F2C" w:rsidRPr="00911C96" w:rsidRDefault="00CC2F2C" w:rsidP="00FC64D7">
      <w:p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Parametry </w:t>
      </w:r>
      <w:r w:rsidR="00F03987" w:rsidRPr="00911C96">
        <w:rPr>
          <w:rFonts w:cstheme="minorHAnsi"/>
          <w:sz w:val="23"/>
          <w:szCs w:val="23"/>
        </w:rPr>
        <w:t>falownika:</w:t>
      </w:r>
    </w:p>
    <w:p w14:paraId="00A1CC27" w14:textId="3A8DAA70" w:rsidR="00CC2F2C" w:rsidRPr="00911C96" w:rsidRDefault="00E11A08" w:rsidP="00FC64D7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Dopuszczalna liczba falowników: 1 lub 2</w:t>
      </w:r>
    </w:p>
    <w:p w14:paraId="67D057DD" w14:textId="66F8F17B" w:rsidR="00E11A08" w:rsidRPr="00911C96" w:rsidRDefault="00E11A08" w:rsidP="00FC64D7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Oferowany falownik musi umożliwiać maksymalne wykorzystanie mocy i uzysku oferowanych paneli</w:t>
      </w:r>
    </w:p>
    <w:p w14:paraId="7754FB49" w14:textId="4EAA680A" w:rsidR="00E11A08" w:rsidRPr="00911C96" w:rsidRDefault="00E11A08" w:rsidP="00FC64D7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Oferowany falownik nie może ograniczać mocy i uzysku oferowanych paneli fotowoltaicznych</w:t>
      </w:r>
    </w:p>
    <w:p w14:paraId="711E0D26" w14:textId="067E6D2F" w:rsidR="00DE49E0" w:rsidRPr="00911C96" w:rsidRDefault="00DE49E0" w:rsidP="00FC64D7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wykrywanie rezystancji izolacji DC </w:t>
      </w:r>
    </w:p>
    <w:p w14:paraId="3B2F5334" w14:textId="37424D12" w:rsidR="00E11A08" w:rsidRPr="00911C96" w:rsidRDefault="00E11A08" w:rsidP="00FC64D7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Liczba </w:t>
      </w:r>
      <w:proofErr w:type="spellStart"/>
      <w:r w:rsidRPr="00911C96">
        <w:rPr>
          <w:rFonts w:cstheme="minorHAnsi"/>
          <w:sz w:val="23"/>
          <w:szCs w:val="23"/>
        </w:rPr>
        <w:t>trackerów</w:t>
      </w:r>
      <w:proofErr w:type="spellEnd"/>
      <w:r w:rsidRPr="00911C96">
        <w:rPr>
          <w:rFonts w:cstheme="minorHAnsi"/>
          <w:sz w:val="23"/>
          <w:szCs w:val="23"/>
        </w:rPr>
        <w:t xml:space="preserve"> MPP: minimum 3</w:t>
      </w:r>
    </w:p>
    <w:p w14:paraId="28EB4C70" w14:textId="38C5E4C5" w:rsidR="00DE49E0" w:rsidRPr="00911C96" w:rsidRDefault="00DE49E0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zabezpieczenie przed łukiem elektrycznym </w:t>
      </w:r>
    </w:p>
    <w:p w14:paraId="1AE63B20" w14:textId="10329309" w:rsidR="005B1470" w:rsidRPr="00911C96" w:rsidRDefault="005B1470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Stopień ochrony IP6</w:t>
      </w:r>
      <w:r w:rsidR="0057092A" w:rsidRPr="00911C96">
        <w:rPr>
          <w:rFonts w:cstheme="minorHAnsi"/>
          <w:sz w:val="23"/>
          <w:szCs w:val="23"/>
        </w:rPr>
        <w:t>5</w:t>
      </w:r>
    </w:p>
    <w:p w14:paraId="1079FC54" w14:textId="059385AF" w:rsidR="005B1470" w:rsidRPr="00911C96" w:rsidRDefault="006847B4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Pobór energii w nocy &lt;1</w:t>
      </w:r>
      <w:r w:rsidR="00E11A08" w:rsidRPr="00911C96">
        <w:rPr>
          <w:rFonts w:cstheme="minorHAnsi"/>
          <w:sz w:val="23"/>
          <w:szCs w:val="23"/>
        </w:rPr>
        <w:t>6</w:t>
      </w:r>
      <w:r w:rsidRPr="00911C96">
        <w:rPr>
          <w:rFonts w:cstheme="minorHAnsi"/>
          <w:sz w:val="23"/>
          <w:szCs w:val="23"/>
        </w:rPr>
        <w:t>W</w:t>
      </w:r>
    </w:p>
    <w:p w14:paraId="46998516" w14:textId="4AA87DBD" w:rsidR="006847B4" w:rsidRPr="00911C96" w:rsidRDefault="006847B4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Rodzaj falownika: beztransformatorowy</w:t>
      </w:r>
    </w:p>
    <w:p w14:paraId="3CECA3BC" w14:textId="0B6EB8B4" w:rsidR="006847B4" w:rsidRPr="00911C96" w:rsidRDefault="006847B4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Chłodzenie za pomocą regulowanej wentylacji</w:t>
      </w:r>
    </w:p>
    <w:p w14:paraId="31B09AE5" w14:textId="401D1A00" w:rsidR="004D1970" w:rsidRPr="00911C96" w:rsidRDefault="004D1970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Zakres temperatur otoczenia: -40°C - +6</w:t>
      </w:r>
      <w:r w:rsidR="0057092A" w:rsidRPr="00911C96">
        <w:rPr>
          <w:rFonts w:cstheme="minorHAnsi"/>
          <w:sz w:val="23"/>
          <w:szCs w:val="23"/>
        </w:rPr>
        <w:t>5</w:t>
      </w:r>
      <w:r w:rsidRPr="00911C96">
        <w:rPr>
          <w:rFonts w:cstheme="minorHAnsi"/>
          <w:sz w:val="23"/>
          <w:szCs w:val="23"/>
        </w:rPr>
        <w:t>°C</w:t>
      </w:r>
    </w:p>
    <w:p w14:paraId="65E0323C" w14:textId="61998B08" w:rsidR="00DE49E0" w:rsidRPr="00911C96" w:rsidRDefault="00DE49E0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zabezpieczenie przed odwrotną polaryzacją DC </w:t>
      </w:r>
    </w:p>
    <w:p w14:paraId="56090B98" w14:textId="48E6A2E6" w:rsidR="00A933DF" w:rsidRPr="00911C96" w:rsidRDefault="00894E80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Europejski współczynnik sprawności  (</w:t>
      </w:r>
      <w:proofErr w:type="spellStart"/>
      <w:r w:rsidRPr="00911C96">
        <w:rPr>
          <w:rFonts w:cstheme="minorHAnsi"/>
          <w:sz w:val="23"/>
          <w:szCs w:val="23"/>
        </w:rPr>
        <w:t>ηEU</w:t>
      </w:r>
      <w:proofErr w:type="spellEnd"/>
      <w:r w:rsidRPr="00911C96">
        <w:rPr>
          <w:rFonts w:cstheme="minorHAnsi"/>
          <w:sz w:val="23"/>
          <w:szCs w:val="23"/>
        </w:rPr>
        <w:t>): min. 97.8%</w:t>
      </w:r>
    </w:p>
    <w:p w14:paraId="73F89E9C" w14:textId="1851EA97" w:rsidR="00F20F04" w:rsidRPr="00911C96" w:rsidRDefault="00F20F04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  <w:lang w:val="en-US"/>
        </w:rPr>
      </w:pPr>
      <w:proofErr w:type="spellStart"/>
      <w:r w:rsidRPr="00911C96">
        <w:rPr>
          <w:rFonts w:cstheme="minorHAnsi"/>
          <w:sz w:val="23"/>
          <w:szCs w:val="23"/>
          <w:lang w:val="en-US"/>
        </w:rPr>
        <w:t>Certyfikaty</w:t>
      </w:r>
      <w:proofErr w:type="spellEnd"/>
      <w:r w:rsidRPr="00911C96">
        <w:rPr>
          <w:rFonts w:cstheme="minorHAnsi"/>
          <w:sz w:val="23"/>
          <w:szCs w:val="23"/>
          <w:lang w:val="en-US"/>
        </w:rPr>
        <w:t xml:space="preserve">: </w:t>
      </w:r>
      <w:r w:rsidR="0057092A" w:rsidRPr="00911C96">
        <w:rPr>
          <w:rFonts w:cstheme="minorHAnsi"/>
          <w:sz w:val="23"/>
          <w:szCs w:val="23"/>
          <w:lang w:val="en-US"/>
        </w:rPr>
        <w:t>AS/NZS 4777.2:2020, IEC62109-1/-2, VDE-AR-N 4105:2018, IEC62116, EN50549-1:2019 &amp; EN50549-2:2019, VDE-AR-N 4110:2018, CEI 0-16:2019, CEI 0-21:2019</w:t>
      </w:r>
    </w:p>
    <w:p w14:paraId="32B240C8" w14:textId="6A3A60C0" w:rsidR="00DE49E0" w:rsidRPr="00911C96" w:rsidRDefault="00DE49E0" w:rsidP="00DE49E0">
      <w:pPr>
        <w:numPr>
          <w:ilvl w:val="0"/>
          <w:numId w:val="1"/>
        </w:numPr>
        <w:spacing w:line="256" w:lineRule="auto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10 letnia gwarancja producenta </w:t>
      </w:r>
    </w:p>
    <w:p w14:paraId="126EA01D" w14:textId="59F23960" w:rsidR="00DE49E0" w:rsidRPr="00911C96" w:rsidRDefault="00DE49E0" w:rsidP="00DE49E0">
      <w:pPr>
        <w:rPr>
          <w:rFonts w:cstheme="minorHAnsi"/>
          <w:sz w:val="23"/>
          <w:szCs w:val="23"/>
        </w:rPr>
      </w:pPr>
    </w:p>
    <w:p w14:paraId="3C8FFA08" w14:textId="7A77DCCB" w:rsidR="0057092A" w:rsidRPr="00911C96" w:rsidRDefault="0057092A" w:rsidP="00DE49E0">
      <w:pPr>
        <w:rPr>
          <w:rFonts w:cstheme="minorHAnsi"/>
          <w:sz w:val="23"/>
          <w:szCs w:val="23"/>
        </w:rPr>
      </w:pPr>
    </w:p>
    <w:p w14:paraId="635E5A6B" w14:textId="35BFB2AF" w:rsidR="0057092A" w:rsidRPr="00911C96" w:rsidRDefault="0057092A" w:rsidP="00DE49E0">
      <w:pPr>
        <w:rPr>
          <w:rFonts w:cstheme="minorHAnsi"/>
          <w:sz w:val="23"/>
          <w:szCs w:val="23"/>
        </w:rPr>
      </w:pPr>
    </w:p>
    <w:p w14:paraId="389EB491" w14:textId="446F96F2" w:rsidR="00DE49E0" w:rsidRPr="00911C96" w:rsidRDefault="00DE49E0" w:rsidP="00DE49E0">
      <w:pPr>
        <w:autoSpaceDE w:val="0"/>
        <w:spacing w:after="40"/>
        <w:jc w:val="both"/>
        <w:rPr>
          <w:rFonts w:cstheme="minorHAnsi"/>
          <w:sz w:val="23"/>
          <w:szCs w:val="23"/>
        </w:rPr>
      </w:pPr>
    </w:p>
    <w:p w14:paraId="74B6233F" w14:textId="77777777" w:rsidR="00DE49E0" w:rsidRPr="00911C96" w:rsidRDefault="00DE49E0" w:rsidP="00DE49E0">
      <w:pPr>
        <w:autoSpaceDE w:val="0"/>
        <w:spacing w:after="40"/>
        <w:jc w:val="both"/>
        <w:rPr>
          <w:rFonts w:cstheme="minorHAnsi"/>
          <w:sz w:val="23"/>
          <w:szCs w:val="23"/>
        </w:rPr>
      </w:pPr>
    </w:p>
    <w:p w14:paraId="3957B89A" w14:textId="227C6341" w:rsidR="00A4360C" w:rsidRPr="00911C96" w:rsidRDefault="00A4360C" w:rsidP="00A4360C">
      <w:pPr>
        <w:spacing w:after="0" w:line="360" w:lineRule="auto"/>
        <w:jc w:val="both"/>
        <w:rPr>
          <w:rFonts w:cstheme="minorHAnsi"/>
          <w:b/>
          <w:bCs/>
          <w:sz w:val="23"/>
          <w:szCs w:val="23"/>
        </w:rPr>
      </w:pPr>
      <w:r w:rsidRPr="00911C96">
        <w:rPr>
          <w:rFonts w:cstheme="minorHAnsi"/>
          <w:b/>
          <w:bCs/>
          <w:sz w:val="23"/>
          <w:szCs w:val="23"/>
        </w:rPr>
        <w:t>Zakres prac objętych zamówieniem :</w:t>
      </w:r>
    </w:p>
    <w:p w14:paraId="7551BC91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dostawa i montaż paneli fotowoltaicznych,</w:t>
      </w:r>
    </w:p>
    <w:p w14:paraId="54305C36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dostawa i montaż konstrukcji wsporczych i mocujących panele na gruncie </w:t>
      </w:r>
    </w:p>
    <w:p w14:paraId="5E4E7774" w14:textId="74D6569F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dostawa i montaż </w:t>
      </w:r>
      <w:r w:rsidR="0024352F" w:rsidRPr="00911C96">
        <w:rPr>
          <w:rFonts w:cstheme="minorHAnsi"/>
          <w:sz w:val="23"/>
          <w:szCs w:val="23"/>
        </w:rPr>
        <w:t>inwerterów sieciowych</w:t>
      </w:r>
    </w:p>
    <w:p w14:paraId="0349964E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dostawa i montaż modułu Wi-Fi,</w:t>
      </w:r>
    </w:p>
    <w:p w14:paraId="3917D6CC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dostawa i montaż okablowania,</w:t>
      </w:r>
    </w:p>
    <w:p w14:paraId="62982D3F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dostawa i montaż ograniczników przepięć AC i DC,</w:t>
      </w:r>
    </w:p>
    <w:p w14:paraId="030CB244" w14:textId="0E11B956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Wykonanie prac gruntowych w zakresie przeprowadzenia tras kablowych z uwzględnieniem ominięcia bieżących tras kablowych na terenie realizacji inwestycji</w:t>
      </w:r>
      <w:r w:rsidR="009F021F" w:rsidRPr="00911C96">
        <w:rPr>
          <w:rFonts w:cstheme="minorHAnsi"/>
          <w:sz w:val="23"/>
          <w:szCs w:val="23"/>
        </w:rPr>
        <w:t xml:space="preserve"> oraz prace odtworzeniowego stanu pierwotnego n</w:t>
      </w:r>
      <w:r w:rsidR="004B75A3" w:rsidRPr="00911C96">
        <w:rPr>
          <w:rFonts w:cstheme="minorHAnsi"/>
          <w:sz w:val="23"/>
          <w:szCs w:val="23"/>
        </w:rPr>
        <w:t>aruszonej powierzchni (trawnik, kostka brukowa).</w:t>
      </w:r>
    </w:p>
    <w:p w14:paraId="191F8F28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dostawa i montaż wyłączników nadmiarowo-prądowych AC i DC ,</w:t>
      </w:r>
    </w:p>
    <w:p w14:paraId="6AC3AAB4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Wpięcie instalacji do skrzyni WLZ przy skrzyni  POMIAR</w:t>
      </w:r>
    </w:p>
    <w:p w14:paraId="6F789C92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wykonanie uziemienia instalacji </w:t>
      </w:r>
      <w:proofErr w:type="spellStart"/>
      <w:r w:rsidRPr="00911C96">
        <w:rPr>
          <w:rFonts w:cstheme="minorHAnsi"/>
          <w:sz w:val="23"/>
          <w:szCs w:val="23"/>
        </w:rPr>
        <w:t>pv</w:t>
      </w:r>
      <w:proofErr w:type="spellEnd"/>
      <w:r w:rsidRPr="00911C96">
        <w:rPr>
          <w:rFonts w:cstheme="minorHAnsi"/>
          <w:sz w:val="23"/>
          <w:szCs w:val="23"/>
        </w:rPr>
        <w:t>,</w:t>
      </w:r>
    </w:p>
    <w:p w14:paraId="011B7D70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wykonanie pomiarów kontrolnych, testy systemu, zgłoszenie do PSP, uzyskanie opinii rzeczoznawcy ds. Zabezpieczeń ppoż.</w:t>
      </w:r>
    </w:p>
    <w:p w14:paraId="16A7D07C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wykonanie konfiguracji i uruchomienia systemu,</w:t>
      </w:r>
    </w:p>
    <w:p w14:paraId="3EF5F1A0" w14:textId="77777777" w:rsidR="00A4360C" w:rsidRPr="00911C96" w:rsidRDefault="00A4360C" w:rsidP="00A436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zgłoszenie do OSD TAURON w celu przyłączenia </w:t>
      </w:r>
      <w:proofErr w:type="spellStart"/>
      <w:r w:rsidRPr="00911C96">
        <w:rPr>
          <w:rFonts w:cstheme="minorHAnsi"/>
          <w:sz w:val="23"/>
          <w:szCs w:val="23"/>
        </w:rPr>
        <w:t>mikroinstalacji</w:t>
      </w:r>
      <w:proofErr w:type="spellEnd"/>
      <w:r w:rsidRPr="00911C96">
        <w:rPr>
          <w:rFonts w:cstheme="minorHAnsi"/>
          <w:sz w:val="23"/>
          <w:szCs w:val="23"/>
        </w:rPr>
        <w:t>.</w:t>
      </w:r>
    </w:p>
    <w:p w14:paraId="7EC48CE0" w14:textId="77777777" w:rsidR="00DE49E0" w:rsidRPr="00911C96" w:rsidRDefault="00DE49E0" w:rsidP="00DE49E0">
      <w:pPr>
        <w:autoSpaceDE w:val="0"/>
        <w:spacing w:after="40"/>
        <w:jc w:val="both"/>
        <w:rPr>
          <w:rFonts w:cstheme="minorHAnsi"/>
          <w:sz w:val="23"/>
          <w:szCs w:val="23"/>
        </w:rPr>
      </w:pPr>
    </w:p>
    <w:p w14:paraId="39A22C18" w14:textId="77777777" w:rsidR="009B57B6" w:rsidRPr="00911C96" w:rsidRDefault="009B57B6" w:rsidP="00911C96">
      <w:pPr>
        <w:rPr>
          <w:rFonts w:cstheme="minorHAnsi"/>
          <w:b/>
          <w:bCs/>
          <w:sz w:val="23"/>
          <w:szCs w:val="23"/>
        </w:rPr>
      </w:pPr>
      <w:r w:rsidRPr="00911C96">
        <w:rPr>
          <w:rFonts w:cstheme="minorHAnsi"/>
          <w:b/>
          <w:bCs/>
          <w:sz w:val="23"/>
          <w:szCs w:val="23"/>
        </w:rPr>
        <w:t>Dodatkowe wymagania odnośnie instalacji</w:t>
      </w:r>
    </w:p>
    <w:p w14:paraId="1D8268B7" w14:textId="77777777" w:rsidR="009B57B6" w:rsidRPr="00911C96" w:rsidRDefault="009B57B6" w:rsidP="009B57B6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Wykonawca zobowiązany będzie do przygotowania pełnej niezbędnej powykonawczej dokumentacji technicznej wraz z wnioskami, które będą podstawą przyłączenia instalacji do zewnętrznej sieci energetycznej.  </w:t>
      </w:r>
    </w:p>
    <w:p w14:paraId="2EF7FFB6" w14:textId="77777777" w:rsidR="009B57B6" w:rsidRPr="00911C96" w:rsidRDefault="009B57B6" w:rsidP="009B57B6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 xml:space="preserve">Wykonawca instalacji zobowiązany będzie w okresie pierwszych 10 lat użytkowania do wykonania corocznych przeglądów gwarancyjnych z działania i ochrony przeciwporażeniowej instalacji, co każdorazowo zostanie potwierdzone protokołem z przeglądu gwarancyjnego. Za wykonanie ww. przeglądów gwarancyjnych Wykonawcy nie będzie przysługiwało dodatkowe wynagrodzenie. </w:t>
      </w:r>
    </w:p>
    <w:p w14:paraId="50255034" w14:textId="77777777" w:rsidR="00911C96" w:rsidRPr="00911C96" w:rsidRDefault="00911C96" w:rsidP="00911C96">
      <w:pPr>
        <w:rPr>
          <w:rFonts w:cstheme="minorHAnsi"/>
          <w:b/>
          <w:bCs/>
          <w:sz w:val="23"/>
          <w:szCs w:val="23"/>
        </w:rPr>
      </w:pPr>
    </w:p>
    <w:p w14:paraId="38205E04" w14:textId="07FEAC51" w:rsidR="00F647BD" w:rsidRPr="00911C96" w:rsidRDefault="00F647BD" w:rsidP="00911C96">
      <w:pPr>
        <w:rPr>
          <w:rFonts w:cstheme="minorHAnsi"/>
          <w:b/>
          <w:bCs/>
          <w:sz w:val="23"/>
          <w:szCs w:val="23"/>
        </w:rPr>
      </w:pPr>
      <w:r w:rsidRPr="00911C96">
        <w:rPr>
          <w:rFonts w:cstheme="minorHAnsi"/>
          <w:b/>
          <w:bCs/>
          <w:sz w:val="23"/>
          <w:szCs w:val="23"/>
        </w:rPr>
        <w:t>Szczegółowy opis wymagań i definicji dotyczących "produktów równoważnych"</w:t>
      </w:r>
    </w:p>
    <w:p w14:paraId="4CC39552" w14:textId="77777777" w:rsidR="00F647BD" w:rsidRPr="00911C96" w:rsidRDefault="00F647BD" w:rsidP="00F647BD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Jeżeli dokumentacja przedstawiona w powyższym opisie wskazywałaby w odniesieniu do niektórych materiałów i urządzeń znaki towarowe, normy lub pochodzenie, Zamawiający dopuszcza oferowanie „produktów równoważnych” pod względem parametrów technicznych, użytkowych oraz eksploatacyjnych pod warunkiem, że zagwarantują one realizację robót w zgodzie z opracowaną dokumentacją oraz zapewnią uzyskanie parametrów technicznych nie gorszych od założonych.</w:t>
      </w:r>
    </w:p>
    <w:p w14:paraId="06444AC7" w14:textId="77777777" w:rsidR="00F647BD" w:rsidRPr="00911C96" w:rsidRDefault="00F647BD" w:rsidP="00F647BD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Wszelkie „produkty” pochodzące od konkretnych producentów, określają minimalne parametry jakościowe i cechy użytkowe, jakim muszą odpowiadać towary, aby spełnić wymagania stawiane przez Zamawiającego i stanowią wyłącznie wzorzec jakościowy przedmiotu zamówienia. Poprzez zapis dot. minimalnych wymagań parametrów jakościowych, Zamawiający rozumie wymagania towarów zawarte w ogólnie dostępnych źródłach, katalogach, stronach internetowych producentów. Operowanie przykładowymi nazwami producenta lub normami, ma jedynie na celu doprecyzowanie poziomu oczekiwań w stosunku do określonego rozwiązania.</w:t>
      </w:r>
    </w:p>
    <w:p w14:paraId="1B765BE6" w14:textId="77777777" w:rsidR="00B3549C" w:rsidRPr="00911C96" w:rsidRDefault="00B3549C" w:rsidP="00B3549C">
      <w:pPr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W przypadku oferowania produktów równoważnych, Zamawiający wymaga złożenia stosownych dokumentów, uwiarygodniających te materiały lub urządzenia. Bedą one podlegały ocenie Zamawiającego i będą podstawą decyzji o akceptacji „równoważników” lub odrzuceniu oferty z powodu ich „</w:t>
      </w:r>
      <w:proofErr w:type="spellStart"/>
      <w:r w:rsidRPr="00911C96">
        <w:rPr>
          <w:rFonts w:cstheme="minorHAnsi"/>
          <w:sz w:val="23"/>
          <w:szCs w:val="23"/>
        </w:rPr>
        <w:t>nierównoważności</w:t>
      </w:r>
      <w:proofErr w:type="spellEnd"/>
      <w:r w:rsidRPr="00911C96">
        <w:rPr>
          <w:rFonts w:cstheme="minorHAnsi"/>
          <w:sz w:val="23"/>
          <w:szCs w:val="23"/>
        </w:rPr>
        <w:t>”.</w:t>
      </w:r>
    </w:p>
    <w:p w14:paraId="7B3084B8" w14:textId="37ACF978" w:rsidR="00DE49E0" w:rsidRPr="00911C96" w:rsidRDefault="00DE49E0" w:rsidP="00DE49E0">
      <w:pPr>
        <w:autoSpaceDE w:val="0"/>
        <w:spacing w:after="40"/>
        <w:jc w:val="both"/>
        <w:rPr>
          <w:rFonts w:cstheme="minorHAnsi"/>
          <w:sz w:val="23"/>
          <w:szCs w:val="23"/>
        </w:rPr>
      </w:pPr>
    </w:p>
    <w:p w14:paraId="539EB0BA" w14:textId="77777777" w:rsidR="004C3542" w:rsidRPr="00911C96" w:rsidRDefault="004C3542" w:rsidP="004C3542">
      <w:pPr>
        <w:rPr>
          <w:rFonts w:cstheme="minorHAnsi"/>
          <w:sz w:val="23"/>
          <w:szCs w:val="23"/>
        </w:rPr>
      </w:pPr>
    </w:p>
    <w:p w14:paraId="01EB486A" w14:textId="09EEB6E6" w:rsidR="009D637B" w:rsidRPr="00911C96" w:rsidRDefault="009D637B" w:rsidP="009D637B">
      <w:pPr>
        <w:autoSpaceDE w:val="0"/>
        <w:spacing w:after="40"/>
        <w:jc w:val="both"/>
        <w:rPr>
          <w:rFonts w:cstheme="minorHAnsi"/>
          <w:sz w:val="23"/>
          <w:szCs w:val="23"/>
        </w:rPr>
      </w:pPr>
    </w:p>
    <w:p w14:paraId="51B02411" w14:textId="7152FBBD" w:rsidR="00DE49E0" w:rsidRPr="00911C96" w:rsidRDefault="001E0C5D" w:rsidP="00DE49E0">
      <w:pPr>
        <w:autoSpaceDE w:val="0"/>
        <w:spacing w:after="40"/>
        <w:jc w:val="both"/>
        <w:rPr>
          <w:rFonts w:cstheme="minorHAnsi"/>
          <w:b/>
          <w:bCs/>
          <w:sz w:val="23"/>
          <w:szCs w:val="23"/>
        </w:rPr>
      </w:pPr>
      <w:r w:rsidRPr="00911C96">
        <w:rPr>
          <w:rFonts w:cstheme="minorHAnsi"/>
          <w:b/>
          <w:bCs/>
          <w:sz w:val="23"/>
          <w:szCs w:val="23"/>
        </w:rPr>
        <w:t xml:space="preserve">Dodatkowe </w:t>
      </w:r>
      <w:r w:rsidR="00911C96" w:rsidRPr="00911C96">
        <w:rPr>
          <w:rFonts w:cstheme="minorHAnsi"/>
          <w:b/>
          <w:bCs/>
          <w:sz w:val="23"/>
          <w:szCs w:val="23"/>
        </w:rPr>
        <w:t>dokumenty które należy złożyć do oferty</w:t>
      </w:r>
    </w:p>
    <w:p w14:paraId="5E35C550" w14:textId="39FE5C94" w:rsidR="007641B4" w:rsidRPr="00911C96" w:rsidRDefault="00911C96" w:rsidP="00911C96">
      <w:pPr>
        <w:autoSpaceDE w:val="0"/>
        <w:spacing w:after="40"/>
        <w:jc w:val="both"/>
        <w:rPr>
          <w:rFonts w:cstheme="minorHAnsi"/>
          <w:sz w:val="23"/>
          <w:szCs w:val="23"/>
        </w:rPr>
      </w:pPr>
      <w:r w:rsidRPr="00911C96">
        <w:rPr>
          <w:rFonts w:cstheme="minorHAnsi"/>
          <w:sz w:val="23"/>
          <w:szCs w:val="23"/>
        </w:rPr>
        <w:t>C</w:t>
      </w:r>
      <w:r w:rsidR="001E0C5D" w:rsidRPr="00911C96">
        <w:rPr>
          <w:rFonts w:cstheme="minorHAnsi"/>
          <w:sz w:val="23"/>
          <w:szCs w:val="23"/>
        </w:rPr>
        <w:t>ertyfikat</w:t>
      </w:r>
      <w:r w:rsidRPr="00911C96">
        <w:rPr>
          <w:rFonts w:cstheme="minorHAnsi"/>
          <w:sz w:val="23"/>
          <w:szCs w:val="23"/>
        </w:rPr>
        <w:t>y</w:t>
      </w:r>
      <w:r w:rsidR="001E0C5D" w:rsidRPr="00911C96">
        <w:rPr>
          <w:rFonts w:cstheme="minorHAnsi"/>
          <w:sz w:val="23"/>
          <w:szCs w:val="23"/>
        </w:rPr>
        <w:t xml:space="preserve"> i kart</w:t>
      </w:r>
      <w:r w:rsidRPr="00911C96">
        <w:rPr>
          <w:rFonts w:cstheme="minorHAnsi"/>
          <w:sz w:val="23"/>
          <w:szCs w:val="23"/>
        </w:rPr>
        <w:t>y katalogowe</w:t>
      </w:r>
      <w:r w:rsidR="001E0C5D" w:rsidRPr="00911C96">
        <w:rPr>
          <w:rFonts w:cstheme="minorHAnsi"/>
          <w:sz w:val="23"/>
          <w:szCs w:val="23"/>
        </w:rPr>
        <w:t xml:space="preserve"> potwierdzających spełnienie warunków</w:t>
      </w:r>
      <w:r w:rsidRPr="00911C96">
        <w:rPr>
          <w:rFonts w:cstheme="minorHAnsi"/>
          <w:sz w:val="23"/>
          <w:szCs w:val="23"/>
        </w:rPr>
        <w:t xml:space="preserve"> technicznych oferowanych urządzeń</w:t>
      </w:r>
    </w:p>
    <w:p w14:paraId="64188F6D" w14:textId="77777777" w:rsidR="001E0C5D" w:rsidRPr="00911C96" w:rsidRDefault="001E0C5D" w:rsidP="00DE49E0">
      <w:pPr>
        <w:autoSpaceDE w:val="0"/>
        <w:spacing w:after="40"/>
        <w:jc w:val="both"/>
        <w:rPr>
          <w:rFonts w:cstheme="minorHAnsi"/>
          <w:sz w:val="23"/>
          <w:szCs w:val="23"/>
        </w:rPr>
      </w:pPr>
    </w:p>
    <w:p w14:paraId="43BDB0B6" w14:textId="77777777" w:rsidR="00DE49E0" w:rsidRPr="00911C96" w:rsidRDefault="00DE49E0" w:rsidP="00DE49E0">
      <w:pPr>
        <w:autoSpaceDE w:val="0"/>
        <w:spacing w:after="40"/>
        <w:jc w:val="both"/>
        <w:rPr>
          <w:rFonts w:eastAsia="Arial" w:cstheme="minorHAnsi"/>
          <w:b/>
          <w:bCs/>
          <w:sz w:val="23"/>
          <w:szCs w:val="23"/>
        </w:rPr>
      </w:pPr>
    </w:p>
    <w:p w14:paraId="766690E2" w14:textId="77777777" w:rsidR="00DE49E0" w:rsidRPr="00911C96" w:rsidRDefault="00DE49E0" w:rsidP="00DE49E0">
      <w:pPr>
        <w:autoSpaceDE w:val="0"/>
        <w:spacing w:after="40"/>
        <w:jc w:val="both"/>
        <w:rPr>
          <w:rFonts w:eastAsia="Arial" w:cstheme="minorHAnsi"/>
          <w:b/>
          <w:bCs/>
          <w:sz w:val="23"/>
          <w:szCs w:val="23"/>
        </w:rPr>
      </w:pPr>
    </w:p>
    <w:p w14:paraId="7CAA6074" w14:textId="77777777" w:rsidR="002B3505" w:rsidRPr="00911C96" w:rsidRDefault="002B3505">
      <w:pPr>
        <w:rPr>
          <w:rFonts w:cstheme="minorHAnsi"/>
          <w:sz w:val="23"/>
          <w:szCs w:val="23"/>
        </w:rPr>
      </w:pPr>
    </w:p>
    <w:p w14:paraId="0C06B027" w14:textId="77777777" w:rsidR="002B3505" w:rsidRPr="00911C96" w:rsidRDefault="002B3505">
      <w:pPr>
        <w:rPr>
          <w:rFonts w:cstheme="minorHAnsi"/>
          <w:sz w:val="23"/>
          <w:szCs w:val="23"/>
        </w:rPr>
      </w:pPr>
      <w:bookmarkStart w:id="0" w:name="_GoBack"/>
      <w:bookmarkEnd w:id="0"/>
    </w:p>
    <w:sectPr w:rsidR="002B3505" w:rsidRPr="00911C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2E78" w14:textId="77777777" w:rsidR="00CA6E7B" w:rsidRDefault="00CA6E7B" w:rsidP="002B3505">
      <w:pPr>
        <w:spacing w:after="0" w:line="240" w:lineRule="auto"/>
      </w:pPr>
      <w:r>
        <w:separator/>
      </w:r>
    </w:p>
  </w:endnote>
  <w:endnote w:type="continuationSeparator" w:id="0">
    <w:p w14:paraId="50FBD218" w14:textId="77777777" w:rsidR="00CA6E7B" w:rsidRDefault="00CA6E7B" w:rsidP="002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21A0" w14:textId="77777777" w:rsidR="00CA6E7B" w:rsidRDefault="00CA6E7B" w:rsidP="002B3505">
      <w:pPr>
        <w:spacing w:after="0" w:line="240" w:lineRule="auto"/>
      </w:pPr>
      <w:r>
        <w:separator/>
      </w:r>
    </w:p>
  </w:footnote>
  <w:footnote w:type="continuationSeparator" w:id="0">
    <w:p w14:paraId="034375F6" w14:textId="77777777" w:rsidR="00CA6E7B" w:rsidRDefault="00CA6E7B" w:rsidP="002B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F01" w14:textId="1C52A7B1" w:rsidR="00911C96" w:rsidRDefault="00911C96">
    <w:pPr>
      <w:pStyle w:val="Nagwek"/>
    </w:pPr>
    <w:r>
      <w:rPr>
        <w:noProof/>
      </w:rPr>
      <w:drawing>
        <wp:inline distT="0" distB="0" distL="0" distR="0" wp14:anchorId="29F7E59A" wp14:editId="6683C534">
          <wp:extent cx="5760720" cy="719376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9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F85"/>
    <w:multiLevelType w:val="hybridMultilevel"/>
    <w:tmpl w:val="2BE65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7C1"/>
    <w:multiLevelType w:val="hybridMultilevel"/>
    <w:tmpl w:val="FFF02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AD"/>
    <w:multiLevelType w:val="hybridMultilevel"/>
    <w:tmpl w:val="2398F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4981"/>
    <w:multiLevelType w:val="hybridMultilevel"/>
    <w:tmpl w:val="60A4FD4A"/>
    <w:lvl w:ilvl="0" w:tplc="A2EE1F12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AF4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AAB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2663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ED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479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CB0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04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0B1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17"/>
    <w:rsid w:val="00140073"/>
    <w:rsid w:val="00191922"/>
    <w:rsid w:val="001E0C5D"/>
    <w:rsid w:val="0024352F"/>
    <w:rsid w:val="00266C78"/>
    <w:rsid w:val="002956D1"/>
    <w:rsid w:val="002B3505"/>
    <w:rsid w:val="003127E0"/>
    <w:rsid w:val="00361D89"/>
    <w:rsid w:val="00407467"/>
    <w:rsid w:val="004100E4"/>
    <w:rsid w:val="00473184"/>
    <w:rsid w:val="004A29A2"/>
    <w:rsid w:val="004B75A3"/>
    <w:rsid w:val="004C3542"/>
    <w:rsid w:val="004D1970"/>
    <w:rsid w:val="0057092A"/>
    <w:rsid w:val="005B1470"/>
    <w:rsid w:val="006565D8"/>
    <w:rsid w:val="006847B4"/>
    <w:rsid w:val="007641B4"/>
    <w:rsid w:val="00781004"/>
    <w:rsid w:val="007951B1"/>
    <w:rsid w:val="00843675"/>
    <w:rsid w:val="00894E80"/>
    <w:rsid w:val="00911C96"/>
    <w:rsid w:val="00990F01"/>
    <w:rsid w:val="00993322"/>
    <w:rsid w:val="009B57B6"/>
    <w:rsid w:val="009D637B"/>
    <w:rsid w:val="009F021F"/>
    <w:rsid w:val="00A4360C"/>
    <w:rsid w:val="00A56DE4"/>
    <w:rsid w:val="00A602F8"/>
    <w:rsid w:val="00A8227D"/>
    <w:rsid w:val="00A933DF"/>
    <w:rsid w:val="00AA7958"/>
    <w:rsid w:val="00AF5AAB"/>
    <w:rsid w:val="00B3549C"/>
    <w:rsid w:val="00BA54C2"/>
    <w:rsid w:val="00CA6E7B"/>
    <w:rsid w:val="00CA79AB"/>
    <w:rsid w:val="00CC2F2C"/>
    <w:rsid w:val="00CF3F3F"/>
    <w:rsid w:val="00D357DF"/>
    <w:rsid w:val="00D91117"/>
    <w:rsid w:val="00DE49E0"/>
    <w:rsid w:val="00DE75E6"/>
    <w:rsid w:val="00E11A08"/>
    <w:rsid w:val="00E233EC"/>
    <w:rsid w:val="00F03987"/>
    <w:rsid w:val="00F20F04"/>
    <w:rsid w:val="00F647BD"/>
    <w:rsid w:val="00FC2BE8"/>
    <w:rsid w:val="00FC64D7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E5B9"/>
  <w15:chartTrackingRefBased/>
  <w15:docId w15:val="{47E3BA21-FBC8-4418-AC41-5BACB054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5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49E0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C96"/>
  </w:style>
  <w:style w:type="paragraph" w:styleId="Stopka">
    <w:name w:val="footer"/>
    <w:basedOn w:val="Normalny"/>
    <w:link w:val="StopkaZnak"/>
    <w:uiPriority w:val="99"/>
    <w:unhideWhenUsed/>
    <w:rsid w:val="0091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9FA227FB07534FBBFF7DDF00BBD64D" ma:contentTypeVersion="5" ma:contentTypeDescription="Utwórz nowy dokument." ma:contentTypeScope="" ma:versionID="9a90eb9078f7164b2daa57031f088116">
  <xsd:schema xmlns:xsd="http://www.w3.org/2001/XMLSchema" xmlns:xs="http://www.w3.org/2001/XMLSchema" xmlns:p="http://schemas.microsoft.com/office/2006/metadata/properties" xmlns:ns3="a1b6b5e9-82f2-4900-9e4c-343c2daf1564" xmlns:ns4="54fb5a26-3bca-4529-90fc-1a3e21dadd08" targetNamespace="http://schemas.microsoft.com/office/2006/metadata/properties" ma:root="true" ma:fieldsID="5cc55d302be673aea00bae47d735482f" ns3:_="" ns4:_="">
    <xsd:import namespace="a1b6b5e9-82f2-4900-9e4c-343c2daf1564"/>
    <xsd:import namespace="54fb5a26-3bca-4529-90fc-1a3e21dadd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b5e9-82f2-4900-9e4c-343c2daf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5a26-3bca-4529-90fc-1a3e21da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23246-E076-4465-8635-C59431D9FBA8}">
  <ds:schemaRefs>
    <ds:schemaRef ds:uri="http://purl.org/dc/dcmitype/"/>
    <ds:schemaRef ds:uri="http://schemas.microsoft.com/office/infopath/2007/PartnerControls"/>
    <ds:schemaRef ds:uri="http://purl.org/dc/elements/1.1/"/>
    <ds:schemaRef ds:uri="a1b6b5e9-82f2-4900-9e4c-343c2daf1564"/>
    <ds:schemaRef ds:uri="54fb5a26-3bca-4529-90fc-1a3e21dadd0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E8BFEA-00A8-4B48-8B2B-19F239E9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6b5e9-82f2-4900-9e4c-343c2daf1564"/>
    <ds:schemaRef ds:uri="54fb5a26-3bca-4529-90fc-1a3e21dad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8EB1C-514F-4EB8-A11A-879BE6134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Bialozyt</dc:creator>
  <cp:keywords/>
  <dc:description/>
  <cp:lastModifiedBy>kwolski</cp:lastModifiedBy>
  <cp:revision>2</cp:revision>
  <dcterms:created xsi:type="dcterms:W3CDTF">2022-02-24T11:31:00Z</dcterms:created>
  <dcterms:modified xsi:type="dcterms:W3CDTF">2022-02-24T11:31:00Z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0x010100439FA227FB07534FBBFF7DDF00BBD64D</vt:lpwstr>
  </property>
</Properties>
</file>