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24325" w14:textId="77777777" w:rsidR="00AF2850" w:rsidRPr="00F27DFB" w:rsidRDefault="00AF2850" w:rsidP="00F27DF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F27DFB">
        <w:rPr>
          <w:rFonts w:ascii="Arial" w:eastAsia="Times New Roman" w:hAnsi="Arial" w:cs="Arial"/>
          <w:b/>
          <w:lang w:eastAsia="pl-PL"/>
        </w:rPr>
        <w:t>Załącznik nr 2 do SWZ</w:t>
      </w:r>
    </w:p>
    <w:p w14:paraId="3646BCF5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CBC6AA" w14:textId="77777777" w:rsidR="00AF2850" w:rsidRPr="00F27DFB" w:rsidRDefault="00AF2850" w:rsidP="00AF285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27DFB">
        <w:rPr>
          <w:rFonts w:ascii="Arial" w:eastAsia="Times New Roman" w:hAnsi="Arial" w:cs="Arial"/>
          <w:b/>
          <w:sz w:val="28"/>
          <w:szCs w:val="28"/>
          <w:lang w:eastAsia="pl-PL"/>
        </w:rPr>
        <w:t>OPIS PRZEDMIOTU ZAMÓWIENIA</w:t>
      </w:r>
    </w:p>
    <w:p w14:paraId="6E91426B" w14:textId="77777777" w:rsidR="00AF2850" w:rsidRPr="00F27DFB" w:rsidRDefault="00AF2850" w:rsidP="00AF285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5ADFAD5" w14:textId="77777777" w:rsidR="00AF2850" w:rsidRPr="00F27DFB" w:rsidRDefault="00AF2850" w:rsidP="00AF2850">
      <w:pPr>
        <w:spacing w:after="0" w:line="240" w:lineRule="auto"/>
        <w:rPr>
          <w:rFonts w:ascii="Arial" w:hAnsi="Arial" w:cs="Arial"/>
          <w:bCs/>
        </w:rPr>
      </w:pPr>
      <w:r w:rsidRPr="00F27DFB">
        <w:rPr>
          <w:rFonts w:ascii="Arial" w:eastAsia="Times New Roman" w:hAnsi="Arial" w:cs="Arial"/>
          <w:lang w:eastAsia="pl-PL"/>
        </w:rPr>
        <w:t xml:space="preserve">Dostawa wraz z rozładunkiem, wniesieniem, zainstalowaniem, uruchomieniem oraz dostarczeniem instrukcji stanowiskowej wraz z jej wdrożeniem </w:t>
      </w:r>
      <w:r w:rsidRPr="00F27DFB">
        <w:rPr>
          <w:rFonts w:ascii="Arial" w:eastAsia="Times New Roman" w:hAnsi="Arial" w:cs="Arial"/>
          <w:bCs/>
          <w:lang w:eastAsia="pl-PL"/>
        </w:rPr>
        <w:t xml:space="preserve">do </w:t>
      </w:r>
      <w:r w:rsidRPr="00F27DFB">
        <w:rPr>
          <w:rFonts w:ascii="Arial" w:hAnsi="Arial" w:cs="Arial"/>
          <w:bCs/>
        </w:rPr>
        <w:t xml:space="preserve">Akademickiego Ośrodka Diagnostyki Patomorfologicznej i </w:t>
      </w:r>
      <w:proofErr w:type="spellStart"/>
      <w:r w:rsidRPr="00F27DFB">
        <w:rPr>
          <w:rFonts w:ascii="Arial" w:hAnsi="Arial" w:cs="Arial"/>
          <w:bCs/>
        </w:rPr>
        <w:t>Genetyczno</w:t>
      </w:r>
      <w:proofErr w:type="spellEnd"/>
      <w:r w:rsidRPr="00F27DFB">
        <w:rPr>
          <w:rFonts w:ascii="Arial" w:hAnsi="Arial" w:cs="Arial"/>
          <w:bCs/>
        </w:rPr>
        <w:t xml:space="preserve"> – Molekularnej Spółka z ograniczoną odpowiedzialnością, ul. Jerzego Waszyngtona 13, 15-269 Białystok</w:t>
      </w:r>
    </w:p>
    <w:p w14:paraId="0E7C8FE1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BA85DB0" w14:textId="77777777" w:rsidR="00AF2850" w:rsidRPr="00F27DFB" w:rsidRDefault="00AF2850" w:rsidP="00AF2850">
      <w:pPr>
        <w:tabs>
          <w:tab w:val="center" w:pos="4818"/>
          <w:tab w:val="left" w:pos="7545"/>
        </w:tabs>
        <w:spacing w:after="120" w:line="240" w:lineRule="auto"/>
        <w:rPr>
          <w:rFonts w:ascii="Arial" w:eastAsia="Times New Roman" w:hAnsi="Arial" w:cs="Arial"/>
          <w:b/>
          <w:lang w:eastAsia="x-none"/>
        </w:rPr>
      </w:pPr>
      <w:proofErr w:type="spellStart"/>
      <w:r w:rsidRPr="00F27DFB">
        <w:rPr>
          <w:rFonts w:ascii="Arial" w:eastAsia="Times New Roman" w:hAnsi="Arial" w:cs="Arial"/>
          <w:b/>
          <w:lang w:eastAsia="x-none"/>
        </w:rPr>
        <w:t>Termocykler</w:t>
      </w:r>
      <w:proofErr w:type="spellEnd"/>
      <w:r w:rsidRPr="00F27DFB">
        <w:rPr>
          <w:rFonts w:ascii="Arial" w:eastAsia="Times New Roman" w:hAnsi="Arial" w:cs="Arial"/>
          <w:b/>
          <w:lang w:eastAsia="x-none"/>
        </w:rPr>
        <w:t xml:space="preserve"> Real </w:t>
      </w:r>
      <w:proofErr w:type="spellStart"/>
      <w:r w:rsidRPr="00F27DFB">
        <w:rPr>
          <w:rFonts w:ascii="Arial" w:eastAsia="Times New Roman" w:hAnsi="Arial" w:cs="Arial"/>
          <w:b/>
          <w:lang w:eastAsia="x-none"/>
        </w:rPr>
        <w:t>time</w:t>
      </w:r>
      <w:proofErr w:type="spellEnd"/>
      <w:r w:rsidRPr="00F27DFB">
        <w:rPr>
          <w:rFonts w:ascii="Arial" w:eastAsia="Times New Roman" w:hAnsi="Arial" w:cs="Arial"/>
          <w:b/>
          <w:lang w:eastAsia="x-none"/>
        </w:rPr>
        <w:t xml:space="preserve"> PCR do amplifikacji DNA w czasie rzeczywistym, 4 kanałowy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723"/>
        <w:gridCol w:w="2407"/>
        <w:gridCol w:w="1275"/>
        <w:gridCol w:w="1176"/>
        <w:gridCol w:w="60"/>
      </w:tblGrid>
      <w:tr w:rsidR="00AF2850" w:rsidRPr="00F27DFB" w14:paraId="4E50D941" w14:textId="77777777" w:rsidTr="00F27DFB">
        <w:trPr>
          <w:trHeight w:val="872"/>
          <w:jc w:val="center"/>
        </w:trPr>
        <w:tc>
          <w:tcPr>
            <w:tcW w:w="9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168E" w14:textId="77777777" w:rsidR="00AF2850" w:rsidRPr="00F27DFB" w:rsidRDefault="00AF285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27DFB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Nazwa i adres Wykonawcy: </w:t>
            </w:r>
          </w:p>
          <w:p w14:paraId="74B13BD2" w14:textId="77777777" w:rsidR="00AF2850" w:rsidRPr="00F27DFB" w:rsidRDefault="00AF285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2850" w:rsidRPr="00F27DFB" w14:paraId="68A1FBCC" w14:textId="77777777" w:rsidTr="00F27DFB">
        <w:trPr>
          <w:trHeight w:val="413"/>
          <w:jc w:val="center"/>
        </w:trPr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B7718" w14:textId="77777777" w:rsidR="00AF2850" w:rsidRPr="00F27DFB" w:rsidRDefault="00AF285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8"/>
                <w:sz w:val="20"/>
                <w:szCs w:val="20"/>
                <w:lang w:eastAsia="hi-IN" w:bidi="hi-IN"/>
              </w:rPr>
            </w:pPr>
            <w:r w:rsidRPr="00F27D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Typ/Model/Numer Katalogowy</w:t>
            </w:r>
            <w:r w:rsidRPr="00F27DFB">
              <w:rPr>
                <w:rFonts w:ascii="Arial" w:eastAsia="SimSun" w:hAnsi="Arial" w:cs="Arial"/>
                <w:b/>
                <w:bCs/>
                <w:kern w:val="18"/>
                <w:sz w:val="20"/>
                <w:szCs w:val="20"/>
                <w:lang w:eastAsia="hi-IN" w:bidi="hi-IN"/>
              </w:rPr>
              <w:t xml:space="preserve"> (jeśli dotyczy)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49D72" w14:textId="77777777" w:rsidR="00AF2850" w:rsidRPr="00F27DFB" w:rsidRDefault="00AF285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8"/>
                <w:sz w:val="20"/>
                <w:szCs w:val="20"/>
                <w:lang w:eastAsia="hi-IN" w:bidi="hi-IN"/>
              </w:rPr>
            </w:pPr>
            <w:r w:rsidRPr="00F27DFB">
              <w:rPr>
                <w:rFonts w:ascii="Arial" w:eastAsia="SimSun" w:hAnsi="Arial" w:cs="Arial"/>
                <w:b/>
                <w:kern w:val="18"/>
                <w:sz w:val="20"/>
                <w:szCs w:val="20"/>
                <w:lang w:eastAsia="hi-IN" w:bidi="hi-IN"/>
              </w:rPr>
              <w:t xml:space="preserve">Producent - pełna nazwa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9146D" w14:textId="77777777" w:rsidR="00AF2850" w:rsidRPr="00F27DFB" w:rsidRDefault="00AF285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8"/>
                <w:sz w:val="20"/>
                <w:szCs w:val="20"/>
                <w:lang w:eastAsia="hi-IN" w:bidi="hi-IN"/>
              </w:rPr>
            </w:pPr>
            <w:r w:rsidRPr="00F27DFB">
              <w:rPr>
                <w:rFonts w:ascii="Arial" w:eastAsia="SimSun" w:hAnsi="Arial" w:cs="Arial"/>
                <w:b/>
                <w:kern w:val="18"/>
                <w:sz w:val="20"/>
                <w:szCs w:val="20"/>
                <w:lang w:eastAsia="hi-IN" w:bidi="hi-IN"/>
              </w:rPr>
              <w:t>Kraj producenta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176A9" w14:textId="77777777" w:rsidR="00AF2850" w:rsidRPr="00F27DFB" w:rsidRDefault="00AF285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18"/>
                <w:sz w:val="20"/>
                <w:szCs w:val="20"/>
                <w:lang w:eastAsia="hi-IN" w:bidi="hi-IN"/>
              </w:rPr>
            </w:pPr>
            <w:r w:rsidRPr="00F27DFB">
              <w:rPr>
                <w:rFonts w:ascii="Arial" w:eastAsia="SimSun" w:hAnsi="Arial" w:cs="Arial"/>
                <w:b/>
                <w:kern w:val="18"/>
                <w:sz w:val="20"/>
                <w:szCs w:val="20"/>
                <w:lang w:eastAsia="hi-IN" w:bidi="hi-IN"/>
              </w:rPr>
              <w:t>Rok produkcji</w:t>
            </w:r>
          </w:p>
        </w:tc>
      </w:tr>
      <w:tr w:rsidR="00AF2850" w:rsidRPr="00F27DFB" w14:paraId="04CD1512" w14:textId="77777777" w:rsidTr="00F27DFB">
        <w:trPr>
          <w:trHeight w:val="413"/>
          <w:jc w:val="center"/>
        </w:trPr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A91D" w14:textId="77777777" w:rsidR="00AF2850" w:rsidRPr="00F27DFB" w:rsidRDefault="00AF2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7581" w14:textId="77777777" w:rsidR="00AF2850" w:rsidRPr="00F27DFB" w:rsidRDefault="00AF285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529CA00" w14:textId="77777777" w:rsidR="00AF2850" w:rsidRPr="00F27DFB" w:rsidRDefault="00AF2850">
            <w:pPr>
              <w:spacing w:after="0" w:line="240" w:lineRule="auto"/>
              <w:jc w:val="center"/>
              <w:rPr>
                <w:rFonts w:ascii="Arial" w:eastAsia="SimSun" w:hAnsi="Arial" w:cs="Arial"/>
                <w:kern w:val="18"/>
                <w:sz w:val="20"/>
                <w:szCs w:val="20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50D2" w14:textId="77777777" w:rsidR="00AF2850" w:rsidRPr="00F27DFB" w:rsidRDefault="00AF2850">
            <w:pPr>
              <w:spacing w:after="0" w:line="240" w:lineRule="auto"/>
              <w:jc w:val="center"/>
              <w:rPr>
                <w:rFonts w:ascii="Arial" w:eastAsia="SimSun" w:hAnsi="Arial" w:cs="Arial"/>
                <w:kern w:val="18"/>
                <w:sz w:val="20"/>
                <w:szCs w:val="20"/>
                <w:lang w:eastAsia="hi-IN" w:bidi="hi-IN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5491" w14:textId="77777777" w:rsidR="00AF2850" w:rsidRPr="00F27DFB" w:rsidRDefault="00AF285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18"/>
                <w:sz w:val="20"/>
                <w:szCs w:val="20"/>
                <w:lang w:eastAsia="hi-IN" w:bidi="hi-IN"/>
              </w:rPr>
            </w:pPr>
            <w:r w:rsidRPr="00F27DFB">
              <w:rPr>
                <w:rFonts w:ascii="Arial" w:eastAsia="SimSun" w:hAnsi="Arial" w:cs="Arial"/>
                <w:b/>
                <w:kern w:val="18"/>
                <w:sz w:val="20"/>
                <w:szCs w:val="20"/>
                <w:lang w:eastAsia="hi-IN" w:bidi="hi-IN"/>
              </w:rPr>
              <w:t>2021/2022</w:t>
            </w:r>
          </w:p>
        </w:tc>
      </w:tr>
      <w:tr w:rsidR="00AF2850" w:rsidRPr="00F27DFB" w14:paraId="13CB398C" w14:textId="77777777" w:rsidTr="00F27DFB">
        <w:trPr>
          <w:trHeight w:val="744"/>
          <w:jc w:val="center"/>
        </w:trPr>
        <w:tc>
          <w:tcPr>
            <w:tcW w:w="9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E1793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UWAGA!</w:t>
            </w:r>
            <w:r w:rsidRPr="00F27D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Wykonawca jest zobowiązany wpisać do ww. tabeli nazwę i oznaczenia urządzenia (typ/model/numer katalogowy, pełną nazwę i kraj producenta) w sposób zgodny z oznaczeniami, które znajdą się w materiałach informacyjnych.</w:t>
            </w:r>
          </w:p>
        </w:tc>
      </w:tr>
      <w:tr w:rsidR="00AF2850" w:rsidRPr="00F27DFB" w14:paraId="18949197" w14:textId="77777777" w:rsidTr="00F27DFB">
        <w:trPr>
          <w:trHeight w:val="4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B6CD9" w14:textId="77777777" w:rsidR="00AF2850" w:rsidRPr="00F27DFB" w:rsidRDefault="00AF2850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</w:pPr>
            <w:r w:rsidRPr="00F27DF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BBB7E" w14:textId="77777777" w:rsidR="00AF2850" w:rsidRPr="00F27DFB" w:rsidRDefault="00AF2850">
            <w:pPr>
              <w:snapToGrid w:val="0"/>
              <w:spacing w:after="0" w:line="240" w:lineRule="auto"/>
              <w:ind w:right="-65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l-PL"/>
              </w:rPr>
              <w:t>Wymagania techniczne, użytkowe i FUNKCJONALNE</w:t>
            </w:r>
          </w:p>
        </w:tc>
      </w:tr>
      <w:tr w:rsidR="00AF2850" w:rsidRPr="00F27DFB" w14:paraId="243594F2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05E8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943A9" w14:textId="77777777" w:rsidR="00AF2850" w:rsidRPr="00F27DFB" w:rsidRDefault="00AF2850" w:rsidP="00C93A84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proofErr w:type="spellStart"/>
            <w:r w:rsidRPr="00F27DFB">
              <w:rPr>
                <w:rFonts w:ascii="Arial" w:hAnsi="Arial" w:cs="Arial"/>
              </w:rPr>
              <w:t>Termocykler</w:t>
            </w:r>
            <w:proofErr w:type="spellEnd"/>
            <w:r w:rsidRPr="00F27DFB">
              <w:rPr>
                <w:rFonts w:ascii="Arial" w:hAnsi="Arial" w:cs="Arial"/>
              </w:rPr>
              <w:t xml:space="preserve"> real </w:t>
            </w:r>
            <w:proofErr w:type="spellStart"/>
            <w:r w:rsidRPr="00F27DFB">
              <w:rPr>
                <w:rFonts w:ascii="Arial" w:hAnsi="Arial" w:cs="Arial"/>
              </w:rPr>
              <w:t>time</w:t>
            </w:r>
            <w:proofErr w:type="spellEnd"/>
            <w:r w:rsidRPr="00F27DFB">
              <w:rPr>
                <w:rFonts w:ascii="Arial" w:hAnsi="Arial" w:cs="Arial"/>
              </w:rPr>
              <w:t xml:space="preserve"> PCR, 4-kanałowy</w:t>
            </w:r>
          </w:p>
        </w:tc>
      </w:tr>
      <w:tr w:rsidR="00AF2850" w:rsidRPr="00F27DFB" w14:paraId="07758DFE" w14:textId="77777777" w:rsidTr="00F27DFB">
        <w:trPr>
          <w:trHeight w:val="12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C6A1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E99A" w14:textId="432D5076" w:rsidR="00AF2850" w:rsidRPr="00F27DFB" w:rsidRDefault="00C93A84" w:rsidP="00C93A84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 xml:space="preserve">Odczyt co </w:t>
            </w:r>
            <w:r w:rsidR="00AF2850" w:rsidRPr="00F27DFB">
              <w:rPr>
                <w:rFonts w:ascii="Arial" w:hAnsi="Arial" w:cs="Arial"/>
              </w:rPr>
              <w:t xml:space="preserve">najmniej takich barwników jak: BEBO, LC Green, Syto9, FAM, </w:t>
            </w:r>
            <w:proofErr w:type="spellStart"/>
            <w:r w:rsidR="00AF2850" w:rsidRPr="00F27DFB">
              <w:rPr>
                <w:rFonts w:ascii="Arial" w:hAnsi="Arial" w:cs="Arial"/>
              </w:rPr>
              <w:t>Sybr</w:t>
            </w:r>
            <w:proofErr w:type="spellEnd"/>
            <w:r w:rsidR="00AF2850" w:rsidRPr="00F27DFB">
              <w:rPr>
                <w:rFonts w:ascii="Arial" w:hAnsi="Arial" w:cs="Arial"/>
              </w:rPr>
              <w:t xml:space="preserve"> Green I, </w:t>
            </w:r>
            <w:proofErr w:type="spellStart"/>
            <w:r w:rsidR="00AF2850" w:rsidRPr="00F27DFB">
              <w:rPr>
                <w:rFonts w:ascii="Arial" w:hAnsi="Arial" w:cs="Arial"/>
              </w:rPr>
              <w:t>RiboGreen</w:t>
            </w:r>
            <w:proofErr w:type="spellEnd"/>
            <w:r w:rsidR="00AF2850" w:rsidRPr="00F27DFB">
              <w:rPr>
                <w:rFonts w:ascii="Arial" w:hAnsi="Arial" w:cs="Arial"/>
              </w:rPr>
              <w:t xml:space="preserve">, </w:t>
            </w:r>
            <w:proofErr w:type="spellStart"/>
            <w:r w:rsidR="00AF2850" w:rsidRPr="00F27DFB">
              <w:rPr>
                <w:rFonts w:ascii="Arial" w:hAnsi="Arial" w:cs="Arial"/>
              </w:rPr>
              <w:t>PicoGreen</w:t>
            </w:r>
            <w:proofErr w:type="spellEnd"/>
            <w:r w:rsidR="00AF2850" w:rsidRPr="00F27DFB">
              <w:rPr>
                <w:rFonts w:ascii="Arial" w:hAnsi="Arial" w:cs="Arial"/>
              </w:rPr>
              <w:t xml:space="preserve">, </w:t>
            </w:r>
            <w:proofErr w:type="spellStart"/>
            <w:r w:rsidR="00AF2850" w:rsidRPr="00F27DFB">
              <w:rPr>
                <w:rFonts w:ascii="Arial" w:hAnsi="Arial" w:cs="Arial"/>
              </w:rPr>
              <w:t>EvaGreen</w:t>
            </w:r>
            <w:proofErr w:type="spellEnd"/>
            <w:r w:rsidR="00AF2850" w:rsidRPr="00F27DFB">
              <w:rPr>
                <w:rFonts w:ascii="Arial" w:hAnsi="Arial" w:cs="Arial"/>
              </w:rPr>
              <w:t xml:space="preserve">, TET, </w:t>
            </w:r>
            <w:proofErr w:type="spellStart"/>
            <w:r w:rsidR="00AF2850" w:rsidRPr="00F27DFB">
              <w:rPr>
                <w:rFonts w:ascii="Arial" w:hAnsi="Arial" w:cs="Arial"/>
              </w:rPr>
              <w:t>CalFluor</w:t>
            </w:r>
            <w:proofErr w:type="spellEnd"/>
            <w:r w:rsidR="00AF2850" w:rsidRPr="00F27DFB">
              <w:rPr>
                <w:rFonts w:ascii="Arial" w:hAnsi="Arial" w:cs="Arial"/>
              </w:rPr>
              <w:t xml:space="preserve"> Gold 540, JOE, VIC, HEX, Cal Fluor Orange 560, </w:t>
            </w:r>
            <w:proofErr w:type="spellStart"/>
            <w:r w:rsidR="00AF2850" w:rsidRPr="00F27DFB">
              <w:rPr>
                <w:rFonts w:ascii="Arial" w:hAnsi="Arial" w:cs="Arial"/>
              </w:rPr>
              <w:t>Quasar</w:t>
            </w:r>
            <w:proofErr w:type="spellEnd"/>
            <w:r w:rsidR="00AF2850" w:rsidRPr="00F27DFB">
              <w:rPr>
                <w:rFonts w:ascii="Arial" w:hAnsi="Arial" w:cs="Arial"/>
              </w:rPr>
              <w:t xml:space="preserve"> 570, Cy3, NED, TAMRA, ROX, Texas RED, Cal Fluor Red 610,LC Red 640, </w:t>
            </w:r>
            <w:proofErr w:type="spellStart"/>
            <w:r w:rsidR="00AF2850" w:rsidRPr="00F27DFB">
              <w:rPr>
                <w:rFonts w:ascii="Arial" w:hAnsi="Arial" w:cs="Arial"/>
              </w:rPr>
              <w:t>Quasar</w:t>
            </w:r>
            <w:proofErr w:type="spellEnd"/>
            <w:r w:rsidR="00AF2850" w:rsidRPr="00F27DFB">
              <w:rPr>
                <w:rFonts w:ascii="Arial" w:hAnsi="Arial" w:cs="Arial"/>
              </w:rPr>
              <w:t xml:space="preserve"> 670, Cy5, Cy5,5</w:t>
            </w:r>
          </w:p>
        </w:tc>
      </w:tr>
      <w:tr w:rsidR="00AF2850" w:rsidRPr="00F27DFB" w14:paraId="6ABD148C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02F8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FB8B0" w14:textId="77777777" w:rsidR="00AF2850" w:rsidRPr="00F27DFB" w:rsidRDefault="00AF2850" w:rsidP="00C93A84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>System otwarty współpracujący z odczynnikami różnych producentów</w:t>
            </w:r>
          </w:p>
        </w:tc>
      </w:tr>
      <w:tr w:rsidR="00AF2850" w:rsidRPr="00F27DFB" w14:paraId="16CEA424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2C2D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BB13" w14:textId="77777777" w:rsidR="00AF2850" w:rsidRPr="00F27DFB" w:rsidRDefault="00AF2850" w:rsidP="00C93A84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 xml:space="preserve">System dedykowany do odczytu sygnału z  barwników </w:t>
            </w:r>
            <w:proofErr w:type="spellStart"/>
            <w:r w:rsidRPr="00F27DFB">
              <w:rPr>
                <w:rFonts w:ascii="Arial" w:hAnsi="Arial" w:cs="Arial"/>
              </w:rPr>
              <w:t>interkalujących</w:t>
            </w:r>
            <w:proofErr w:type="spellEnd"/>
            <w:r w:rsidRPr="00F27DFB">
              <w:rPr>
                <w:rFonts w:ascii="Arial" w:hAnsi="Arial" w:cs="Arial"/>
              </w:rPr>
              <w:t xml:space="preserve">, sond hydrolizujących, podwójnych sond </w:t>
            </w:r>
            <w:proofErr w:type="spellStart"/>
            <w:r w:rsidRPr="00F27DFB">
              <w:rPr>
                <w:rFonts w:ascii="Arial" w:hAnsi="Arial" w:cs="Arial"/>
              </w:rPr>
              <w:t>hybrydyzująch</w:t>
            </w:r>
            <w:proofErr w:type="spellEnd"/>
            <w:r w:rsidRPr="00F27DFB">
              <w:rPr>
                <w:rFonts w:ascii="Arial" w:hAnsi="Arial" w:cs="Arial"/>
              </w:rPr>
              <w:t xml:space="preserve">, </w:t>
            </w:r>
            <w:proofErr w:type="spellStart"/>
            <w:r w:rsidRPr="00F27DFB">
              <w:rPr>
                <w:rFonts w:ascii="Arial" w:hAnsi="Arial" w:cs="Arial"/>
              </w:rPr>
              <w:t>Molecular</w:t>
            </w:r>
            <w:proofErr w:type="spellEnd"/>
            <w:r w:rsidRPr="00F27DFB">
              <w:rPr>
                <w:rFonts w:ascii="Arial" w:hAnsi="Arial" w:cs="Arial"/>
              </w:rPr>
              <w:t xml:space="preserve"> </w:t>
            </w:r>
            <w:proofErr w:type="spellStart"/>
            <w:r w:rsidRPr="00F27DFB">
              <w:rPr>
                <w:rFonts w:ascii="Arial" w:hAnsi="Arial" w:cs="Arial"/>
              </w:rPr>
              <w:t>Beacons</w:t>
            </w:r>
            <w:proofErr w:type="spellEnd"/>
            <w:r w:rsidRPr="00F27DFB">
              <w:rPr>
                <w:rFonts w:ascii="Arial" w:hAnsi="Arial" w:cs="Arial"/>
              </w:rPr>
              <w:t xml:space="preserve">, Lux </w:t>
            </w:r>
            <w:proofErr w:type="spellStart"/>
            <w:r w:rsidRPr="00F27DFB">
              <w:rPr>
                <w:rFonts w:ascii="Arial" w:hAnsi="Arial" w:cs="Arial"/>
              </w:rPr>
              <w:t>Primers</w:t>
            </w:r>
            <w:proofErr w:type="spellEnd"/>
          </w:p>
        </w:tc>
      </w:tr>
      <w:tr w:rsidR="00AF2850" w:rsidRPr="00F27DFB" w14:paraId="57B6DACC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C38F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A0D8D" w14:textId="77777777" w:rsidR="00AF2850" w:rsidRPr="00F27DFB" w:rsidRDefault="00AF2850" w:rsidP="00C93A84">
            <w:pPr>
              <w:spacing w:after="200" w:line="276" w:lineRule="auto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>Wzbudzenie sygnału: wysokoenergetyczne diody LED osobne dla każdego kanału</w:t>
            </w:r>
          </w:p>
        </w:tc>
      </w:tr>
      <w:tr w:rsidR="00AF2850" w:rsidRPr="00F27DFB" w14:paraId="1BB938BF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B8A0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B96E8" w14:textId="77777777" w:rsidR="00AF2850" w:rsidRPr="00F27DFB" w:rsidRDefault="00AF2850" w:rsidP="00C93A84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>Odczyt sygnału: fotodioda osobna dla każdego kanału</w:t>
            </w:r>
          </w:p>
        </w:tc>
      </w:tr>
      <w:tr w:rsidR="00AF2850" w:rsidRPr="00F27DFB" w14:paraId="7A76178D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B19C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46651" w14:textId="77777777" w:rsidR="00AF2850" w:rsidRPr="00F27DFB" w:rsidRDefault="00AF2850" w:rsidP="00C93A84">
            <w:pPr>
              <w:spacing w:after="200" w:line="276" w:lineRule="auto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>Stała droga optyczna, bez ruchomych elementów- brak potrzeby kalibracji</w:t>
            </w:r>
          </w:p>
        </w:tc>
      </w:tr>
      <w:tr w:rsidR="00AF2850" w:rsidRPr="00F27DFB" w14:paraId="093DB4ED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6C2B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C6F7D" w14:textId="77777777" w:rsidR="00AF2850" w:rsidRPr="00F27DFB" w:rsidRDefault="00AF2850" w:rsidP="00C93A84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>Brak potrzeby stosowania barwnika referencyjnego typu ROX</w:t>
            </w:r>
          </w:p>
        </w:tc>
      </w:tr>
      <w:tr w:rsidR="00AF2850" w:rsidRPr="00F27DFB" w14:paraId="7B6229F4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A983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DD005" w14:textId="55FDF48A" w:rsidR="00AF2850" w:rsidRPr="00F27DFB" w:rsidRDefault="00AF2850" w:rsidP="00C93A84">
            <w:pPr>
              <w:spacing w:line="252" w:lineRule="auto"/>
              <w:rPr>
                <w:rFonts w:ascii="Arial" w:hAnsi="Arial" w:cs="Arial"/>
              </w:rPr>
            </w:pPr>
            <w:proofErr w:type="spellStart"/>
            <w:r w:rsidRPr="00F27DFB">
              <w:rPr>
                <w:rFonts w:ascii="Arial" w:hAnsi="Arial" w:cs="Arial"/>
              </w:rPr>
              <w:t>Termocykler</w:t>
            </w:r>
            <w:proofErr w:type="spellEnd"/>
            <w:r w:rsidRPr="00F27DFB">
              <w:rPr>
                <w:rFonts w:ascii="Arial" w:hAnsi="Arial" w:cs="Arial"/>
              </w:rPr>
              <w:t xml:space="preserve"> rotorowy, wykorzystujący indukcję mag</w:t>
            </w:r>
            <w:r w:rsidR="00C93A84" w:rsidRPr="00F27DFB">
              <w:rPr>
                <w:rFonts w:ascii="Arial" w:hAnsi="Arial" w:cs="Arial"/>
              </w:rPr>
              <w:t>netyczną do grzania i chłodzenia</w:t>
            </w:r>
            <w:r w:rsidRPr="00F27DFB">
              <w:rPr>
                <w:rFonts w:ascii="Arial" w:hAnsi="Arial" w:cs="Arial"/>
              </w:rPr>
              <w:t xml:space="preserve"> powietrzem</w:t>
            </w:r>
          </w:p>
        </w:tc>
      </w:tr>
      <w:tr w:rsidR="00AF2850" w:rsidRPr="00F27DFB" w14:paraId="32524C83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632F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F17E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>Jednorodność temperatury w komorze reakcyjnej maximum ±0,1</w:t>
            </w:r>
            <w:r w:rsidRPr="00F27DFB">
              <w:rPr>
                <w:rFonts w:ascii="Arial" w:hAnsi="Arial" w:cs="Arial"/>
                <w:vertAlign w:val="superscript"/>
              </w:rPr>
              <w:t>0</w:t>
            </w:r>
            <w:r w:rsidRPr="00F27DFB">
              <w:rPr>
                <w:rFonts w:ascii="Arial" w:hAnsi="Arial" w:cs="Arial"/>
              </w:rPr>
              <w:t>C</w:t>
            </w:r>
          </w:p>
        </w:tc>
      </w:tr>
      <w:tr w:rsidR="00AF2850" w:rsidRPr="00F27DFB" w14:paraId="7B6A9935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F9FC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FB75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>Dokładność temperatury maksimum ±0,25</w:t>
            </w:r>
            <w:r w:rsidRPr="00F27DFB">
              <w:rPr>
                <w:rFonts w:ascii="Arial" w:hAnsi="Arial" w:cs="Arial"/>
                <w:vertAlign w:val="superscript"/>
              </w:rPr>
              <w:t>0</w:t>
            </w:r>
            <w:r w:rsidRPr="00F27DFB">
              <w:rPr>
                <w:rFonts w:ascii="Arial" w:hAnsi="Arial" w:cs="Arial"/>
              </w:rPr>
              <w:t xml:space="preserve">C </w:t>
            </w:r>
          </w:p>
        </w:tc>
      </w:tr>
      <w:tr w:rsidR="00AF2850" w:rsidRPr="00F27DFB" w14:paraId="46A6977B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8110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81190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>Objętość reakcji minimum 5-30µl, ustawiana w oprogramowaniu</w:t>
            </w:r>
          </w:p>
        </w:tc>
      </w:tr>
      <w:tr w:rsidR="00AF2850" w:rsidRPr="00F27DFB" w14:paraId="325C7F18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1F2E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616D" w14:textId="79103926" w:rsidR="00AF2850" w:rsidRPr="00F27DFB" w:rsidRDefault="00AF2850" w:rsidP="00C93A84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proofErr w:type="spellStart"/>
            <w:r w:rsidRPr="00F27DFB">
              <w:rPr>
                <w:rFonts w:ascii="Arial" w:hAnsi="Arial" w:cs="Arial"/>
              </w:rPr>
              <w:t>Termocykler</w:t>
            </w:r>
            <w:proofErr w:type="spellEnd"/>
            <w:r w:rsidRPr="00F27DFB">
              <w:rPr>
                <w:rFonts w:ascii="Arial" w:hAnsi="Arial" w:cs="Arial"/>
              </w:rPr>
              <w:t xml:space="preserve"> sterowany z poziomu zewnętrznego komputera</w:t>
            </w:r>
          </w:p>
        </w:tc>
      </w:tr>
      <w:tr w:rsidR="00AF2850" w:rsidRPr="00F27DFB" w14:paraId="5C3CDC46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9629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5F95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 xml:space="preserve">Możliwość połączenia </w:t>
            </w:r>
            <w:proofErr w:type="spellStart"/>
            <w:r w:rsidRPr="00F27DFB">
              <w:rPr>
                <w:rFonts w:ascii="Arial" w:hAnsi="Arial" w:cs="Arial"/>
              </w:rPr>
              <w:t>termocyklera</w:t>
            </w:r>
            <w:proofErr w:type="spellEnd"/>
            <w:r w:rsidRPr="00F27DFB">
              <w:rPr>
                <w:rFonts w:ascii="Arial" w:hAnsi="Arial" w:cs="Arial"/>
              </w:rPr>
              <w:t xml:space="preserve"> z komputerem za pomocą złącza USB i za pomocą bezprzewodowego interfejsu </w:t>
            </w:r>
            <w:proofErr w:type="spellStart"/>
            <w:r w:rsidRPr="00F27DFB">
              <w:rPr>
                <w:rFonts w:ascii="Arial" w:hAnsi="Arial" w:cs="Arial"/>
              </w:rPr>
              <w:t>bluetooth</w:t>
            </w:r>
            <w:proofErr w:type="spellEnd"/>
          </w:p>
        </w:tc>
      </w:tr>
      <w:tr w:rsidR="00AF2850" w:rsidRPr="00F27DFB" w14:paraId="6A99EF88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6118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88C44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>Możliwość podłączenia i zarządzania minimum 10 instrumentami z poziomu jednego komputera</w:t>
            </w:r>
          </w:p>
        </w:tc>
      </w:tr>
      <w:tr w:rsidR="00AF2850" w:rsidRPr="00F27DFB" w14:paraId="29E8568A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24BA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B1C4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 xml:space="preserve">Automatyczne zapisywanie danych podczas runu w pamięci urządzenia, a nie komputera sterującego. Możliwość zabrania komputera od maszyny podczas pracy instrumentu. Po ponownym połączeniu się komputera z maszyną przez </w:t>
            </w:r>
            <w:proofErr w:type="spellStart"/>
            <w:r w:rsidRPr="00F27DFB">
              <w:rPr>
                <w:rFonts w:ascii="Arial" w:hAnsi="Arial" w:cs="Arial"/>
              </w:rPr>
              <w:t>bluetooth</w:t>
            </w:r>
            <w:proofErr w:type="spellEnd"/>
            <w:r w:rsidRPr="00F27DFB">
              <w:rPr>
                <w:rFonts w:ascii="Arial" w:hAnsi="Arial" w:cs="Arial"/>
              </w:rPr>
              <w:t xml:space="preserve"> wyniki są automatycznie przesyłane z instrumentu do komputera.</w:t>
            </w:r>
          </w:p>
        </w:tc>
      </w:tr>
      <w:tr w:rsidR="00AF2850" w:rsidRPr="00F27DFB" w14:paraId="2482D143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B7A9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BD5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>Możliwość łączenia wyników uzyskanych z różnych runów z różnych instrumentów w jeden wynik/raport</w:t>
            </w:r>
          </w:p>
        </w:tc>
      </w:tr>
      <w:tr w:rsidR="00AF2850" w:rsidRPr="00F27DFB" w14:paraId="46C42D65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CABC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86E82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 xml:space="preserve">W komplecie z </w:t>
            </w:r>
            <w:proofErr w:type="spellStart"/>
            <w:r w:rsidRPr="00F27DFB">
              <w:rPr>
                <w:rFonts w:ascii="Arial" w:hAnsi="Arial" w:cs="Arial"/>
              </w:rPr>
              <w:t>termocyklerem</w:t>
            </w:r>
            <w:proofErr w:type="spellEnd"/>
            <w:r w:rsidRPr="00F27DFB">
              <w:rPr>
                <w:rFonts w:ascii="Arial" w:hAnsi="Arial" w:cs="Arial"/>
              </w:rPr>
              <w:t xml:space="preserve"> oprogramowanie do projektowania reakcji i analizy otrzymanych danych</w:t>
            </w:r>
          </w:p>
        </w:tc>
      </w:tr>
      <w:tr w:rsidR="00AF2850" w:rsidRPr="00F27DFB" w14:paraId="239EEAB7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500F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23D86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>Oprogramowanie bez limitu licencji i z darmowymi aktualizacjami</w:t>
            </w:r>
          </w:p>
        </w:tc>
      </w:tr>
      <w:tr w:rsidR="00AF2850" w:rsidRPr="00F27DFB" w14:paraId="08CB2453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2854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DAAF" w14:textId="77777777" w:rsidR="00AF2850" w:rsidRPr="00F27DFB" w:rsidRDefault="00AF285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>Oprogramowanie pozwalające na wykonywanie minimum następujących analiz:</w:t>
            </w:r>
          </w:p>
          <w:p w14:paraId="3D043FF2" w14:textId="77777777" w:rsidR="00AF2850" w:rsidRPr="00F27DFB" w:rsidRDefault="00AF2850">
            <w:pPr>
              <w:jc w:val="both"/>
              <w:rPr>
                <w:rFonts w:ascii="Arial" w:hAnsi="Arial" w:cs="Arial"/>
                <w:lang w:val="en-US"/>
              </w:rPr>
            </w:pPr>
            <w:r w:rsidRPr="00F27DFB">
              <w:rPr>
                <w:rFonts w:ascii="Arial" w:hAnsi="Arial" w:cs="Arial"/>
                <w:lang w:val="en-US"/>
              </w:rPr>
              <w:t>- absolute quantification</w:t>
            </w:r>
          </w:p>
          <w:p w14:paraId="6715EE9E" w14:textId="77777777" w:rsidR="00AF2850" w:rsidRPr="00F27DFB" w:rsidRDefault="00AF2850">
            <w:pPr>
              <w:jc w:val="both"/>
              <w:rPr>
                <w:rFonts w:ascii="Arial" w:hAnsi="Arial" w:cs="Arial"/>
                <w:lang w:val="en-US"/>
              </w:rPr>
            </w:pPr>
            <w:r w:rsidRPr="00F27DFB">
              <w:rPr>
                <w:rFonts w:ascii="Arial" w:hAnsi="Arial" w:cs="Arial"/>
                <w:lang w:val="en-US"/>
              </w:rPr>
              <w:t>- relative quantification</w:t>
            </w:r>
          </w:p>
          <w:p w14:paraId="4F701D15" w14:textId="77777777" w:rsidR="00AF2850" w:rsidRPr="00F27DFB" w:rsidRDefault="00AF2850">
            <w:pPr>
              <w:jc w:val="both"/>
              <w:rPr>
                <w:rFonts w:ascii="Arial" w:hAnsi="Arial" w:cs="Arial"/>
                <w:lang w:val="en-US"/>
              </w:rPr>
            </w:pPr>
            <w:r w:rsidRPr="00F27DFB">
              <w:rPr>
                <w:rFonts w:ascii="Arial" w:hAnsi="Arial" w:cs="Arial"/>
                <w:lang w:val="en-US"/>
              </w:rPr>
              <w:t>- allelic discrimination</w:t>
            </w:r>
          </w:p>
          <w:p w14:paraId="1B1887DF" w14:textId="77777777" w:rsidR="00AF2850" w:rsidRPr="00F27DFB" w:rsidRDefault="00AF2850">
            <w:pPr>
              <w:jc w:val="both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 xml:space="preserve">- </w:t>
            </w:r>
            <w:proofErr w:type="spellStart"/>
            <w:r w:rsidRPr="00F27DFB">
              <w:rPr>
                <w:rFonts w:ascii="Arial" w:hAnsi="Arial" w:cs="Arial"/>
              </w:rPr>
              <w:t>melt</w:t>
            </w:r>
            <w:proofErr w:type="spellEnd"/>
          </w:p>
          <w:p w14:paraId="1721364E" w14:textId="77777777" w:rsidR="00AF2850" w:rsidRPr="00F27DFB" w:rsidRDefault="00AF2850">
            <w:pPr>
              <w:jc w:val="both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 xml:space="preserve">- </w:t>
            </w:r>
            <w:proofErr w:type="spellStart"/>
            <w:r w:rsidRPr="00F27DFB">
              <w:rPr>
                <w:rFonts w:ascii="Arial" w:hAnsi="Arial" w:cs="Arial"/>
              </w:rPr>
              <w:t>cycling</w:t>
            </w:r>
            <w:proofErr w:type="spellEnd"/>
          </w:p>
          <w:p w14:paraId="702CFBF7" w14:textId="77777777" w:rsidR="00AF2850" w:rsidRPr="00F27DFB" w:rsidRDefault="00AF2850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 xml:space="preserve">- </w:t>
            </w:r>
            <w:proofErr w:type="spellStart"/>
            <w:r w:rsidRPr="00F27DFB">
              <w:rPr>
                <w:rFonts w:ascii="Arial" w:hAnsi="Arial" w:cs="Arial"/>
              </w:rPr>
              <w:t>identifier</w:t>
            </w:r>
            <w:proofErr w:type="spellEnd"/>
          </w:p>
        </w:tc>
      </w:tr>
      <w:tr w:rsidR="00AF2850" w:rsidRPr="00F27DFB" w14:paraId="6DCBDAE0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45B6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854D8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 xml:space="preserve">Możliwość generowania raportów i zapisywania ich w minimum następujących formatach: pdf, </w:t>
            </w:r>
            <w:proofErr w:type="spellStart"/>
            <w:r w:rsidRPr="00F27DFB">
              <w:rPr>
                <w:rFonts w:ascii="Arial" w:hAnsi="Arial" w:cs="Arial"/>
              </w:rPr>
              <w:t>html</w:t>
            </w:r>
            <w:proofErr w:type="spellEnd"/>
            <w:r w:rsidRPr="00F27DFB">
              <w:rPr>
                <w:rFonts w:ascii="Arial" w:hAnsi="Arial" w:cs="Arial"/>
              </w:rPr>
              <w:t xml:space="preserve">, </w:t>
            </w:r>
            <w:proofErr w:type="spellStart"/>
            <w:r w:rsidRPr="00F27DFB">
              <w:rPr>
                <w:rFonts w:ascii="Arial" w:hAnsi="Arial" w:cs="Arial"/>
              </w:rPr>
              <w:t>mht</w:t>
            </w:r>
            <w:proofErr w:type="spellEnd"/>
            <w:r w:rsidRPr="00F27DFB">
              <w:rPr>
                <w:rFonts w:ascii="Arial" w:hAnsi="Arial" w:cs="Arial"/>
              </w:rPr>
              <w:t xml:space="preserve">, rtf, xls, </w:t>
            </w:r>
            <w:proofErr w:type="spellStart"/>
            <w:r w:rsidRPr="00F27DFB">
              <w:rPr>
                <w:rFonts w:ascii="Arial" w:hAnsi="Arial" w:cs="Arial"/>
              </w:rPr>
              <w:t>xlsx</w:t>
            </w:r>
            <w:proofErr w:type="spellEnd"/>
            <w:r w:rsidRPr="00F27DFB">
              <w:rPr>
                <w:rFonts w:ascii="Arial" w:hAnsi="Arial" w:cs="Arial"/>
              </w:rPr>
              <w:t xml:space="preserve">, </w:t>
            </w:r>
            <w:proofErr w:type="spellStart"/>
            <w:r w:rsidRPr="00F27DFB">
              <w:rPr>
                <w:rFonts w:ascii="Arial" w:hAnsi="Arial" w:cs="Arial"/>
              </w:rPr>
              <w:t>csv</w:t>
            </w:r>
            <w:proofErr w:type="spellEnd"/>
            <w:r w:rsidRPr="00F27DFB">
              <w:rPr>
                <w:rFonts w:ascii="Arial" w:hAnsi="Arial" w:cs="Arial"/>
              </w:rPr>
              <w:t xml:space="preserve">, txt, </w:t>
            </w:r>
            <w:proofErr w:type="spellStart"/>
            <w:r w:rsidRPr="00F27DFB">
              <w:rPr>
                <w:rFonts w:ascii="Arial" w:hAnsi="Arial" w:cs="Arial"/>
              </w:rPr>
              <w:t>img</w:t>
            </w:r>
            <w:proofErr w:type="spellEnd"/>
          </w:p>
        </w:tc>
      </w:tr>
      <w:tr w:rsidR="00AF2850" w:rsidRPr="00F27DFB" w14:paraId="3F4BBDA2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BFAE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E5D3D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 xml:space="preserve">Możliwość bezpośredniego wysłania raportu za pomocą poczty email z poziomu oprogramowania </w:t>
            </w:r>
            <w:proofErr w:type="spellStart"/>
            <w:r w:rsidRPr="00F27DFB">
              <w:rPr>
                <w:rFonts w:ascii="Arial" w:hAnsi="Arial" w:cs="Arial"/>
              </w:rPr>
              <w:t>termocyklera</w:t>
            </w:r>
            <w:proofErr w:type="spellEnd"/>
          </w:p>
        </w:tc>
      </w:tr>
      <w:tr w:rsidR="00AF2850" w:rsidRPr="00F27DFB" w14:paraId="2EDCF541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CCD6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D178B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>W komplecie zestaw probówek na minimum 960 reakcji</w:t>
            </w:r>
          </w:p>
        </w:tc>
      </w:tr>
      <w:tr w:rsidR="00AF2850" w:rsidRPr="00F27DFB" w14:paraId="35C7A404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9C92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884B4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 xml:space="preserve">Możliwość podłączenia instrumentu do zewnętrznej baterii przenośnej co umożliwia </w:t>
            </w:r>
            <w:r w:rsidRPr="00F27DFB">
              <w:rPr>
                <w:rFonts w:ascii="Arial" w:hAnsi="Arial" w:cs="Arial"/>
              </w:rPr>
              <w:lastRenderedPageBreak/>
              <w:t>użycie go w terenie bez dostępu do prądu stałego. Możliwość podłączenia instrumentu do zasilania baterią typu Solar</w:t>
            </w:r>
          </w:p>
        </w:tc>
      </w:tr>
      <w:tr w:rsidR="00AF2850" w:rsidRPr="00F27DFB" w14:paraId="623FF873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F0E3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52096" w14:textId="6AD142B3" w:rsidR="00AF2850" w:rsidRPr="00F27DFB" w:rsidRDefault="00AF2850">
            <w:pPr>
              <w:spacing w:after="200" w:line="276" w:lineRule="auto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>W zestawie laptop sterujący o parametra</w:t>
            </w:r>
            <w:r w:rsidR="00951376" w:rsidRPr="00F27DFB">
              <w:rPr>
                <w:rFonts w:ascii="Arial" w:hAnsi="Arial" w:cs="Arial"/>
              </w:rPr>
              <w:t xml:space="preserve">ch minimalnych: procesor </w:t>
            </w:r>
            <w:r w:rsidRPr="00F27DFB">
              <w:rPr>
                <w:rFonts w:ascii="Arial" w:hAnsi="Arial" w:cs="Arial"/>
              </w:rPr>
              <w:t>2GHz, pamięć 2.0 GB, twardy dysk 40GB, 4 porty USB, myszka, klawiatura, monitor</w:t>
            </w:r>
          </w:p>
        </w:tc>
      </w:tr>
      <w:tr w:rsidR="00AF2850" w:rsidRPr="00F27DFB" w14:paraId="4BC3A469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4B70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E499" w14:textId="77777777" w:rsidR="00AF2850" w:rsidRPr="00F27DFB" w:rsidRDefault="00AF2850">
            <w:pPr>
              <w:spacing w:after="200" w:line="276" w:lineRule="auto"/>
              <w:rPr>
                <w:rFonts w:ascii="Arial" w:hAnsi="Arial" w:cs="Arial"/>
              </w:rPr>
            </w:pPr>
            <w:r w:rsidRPr="00F27DFB">
              <w:rPr>
                <w:rFonts w:ascii="Arial" w:hAnsi="Arial" w:cs="Arial"/>
              </w:rPr>
              <w:t>Waga nie większa niż 5kg, rozmiary nie większe niż 20x20x20cm</w:t>
            </w:r>
          </w:p>
        </w:tc>
      </w:tr>
      <w:tr w:rsidR="00AF2850" w:rsidRPr="00F27DFB" w14:paraId="0D739A27" w14:textId="77777777" w:rsidTr="00F27DFB">
        <w:trPr>
          <w:trHeight w:val="3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4064" w14:textId="77777777" w:rsidR="00AF2850" w:rsidRPr="00F27DFB" w:rsidRDefault="00AF2850" w:rsidP="00AF2850">
            <w:pPr>
              <w:numPr>
                <w:ilvl w:val="0"/>
                <w:numId w:val="2"/>
              </w:numPr>
              <w:snapToGrid w:val="0"/>
              <w:spacing w:after="0" w:line="276" w:lineRule="auto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3D0A" w14:textId="5BA9979F" w:rsidR="00AF2850" w:rsidRPr="00F27DFB" w:rsidRDefault="00381539" w:rsidP="00381539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F27DFB">
              <w:rPr>
                <w:rFonts w:ascii="Arial" w:hAnsi="Arial" w:cs="Arial"/>
              </w:rPr>
              <w:t>Gwarancja -  minimum 24 miesiące</w:t>
            </w:r>
          </w:p>
        </w:tc>
      </w:tr>
      <w:tr w:rsidR="00AF2850" w:rsidRPr="00F27DFB" w14:paraId="29C619D9" w14:textId="77777777" w:rsidTr="00F27DFB">
        <w:trPr>
          <w:gridAfter w:val="1"/>
          <w:wAfter w:w="60" w:type="dxa"/>
          <w:trHeight w:val="5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08304" w14:textId="77777777" w:rsidR="00AF2850" w:rsidRPr="00F27DFB" w:rsidRDefault="00AF2850">
            <w:pPr>
              <w:snapToGrid w:val="0"/>
              <w:spacing w:after="0" w:line="240" w:lineRule="auto"/>
              <w:ind w:left="113"/>
              <w:rPr>
                <w:rFonts w:ascii="Arial" w:eastAsia="Times New Roman" w:hAnsi="Arial" w:cs="Arial"/>
                <w:b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8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2A48" w14:textId="77777777" w:rsidR="00AF2850" w:rsidRPr="00F27DFB" w:rsidRDefault="00AF285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aps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lang w:eastAsia="pl-PL"/>
              </w:rPr>
              <w:t>WYMAGANIA OGÓLNE</w:t>
            </w:r>
          </w:p>
        </w:tc>
      </w:tr>
      <w:tr w:rsidR="00AF2850" w:rsidRPr="00F27DFB" w14:paraId="207627CA" w14:textId="77777777" w:rsidTr="00F27DFB">
        <w:trPr>
          <w:gridAfter w:val="1"/>
          <w:wAfter w:w="60" w:type="dxa"/>
          <w:trHeight w:val="4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5FE4" w14:textId="77777777" w:rsidR="00AF2850" w:rsidRPr="00F27DFB" w:rsidRDefault="00AF2850" w:rsidP="00AF2850">
            <w:pPr>
              <w:numPr>
                <w:ilvl w:val="0"/>
                <w:numId w:val="3"/>
              </w:numPr>
              <w:snapToGrid w:val="0"/>
              <w:spacing w:after="0" w:line="240" w:lineRule="auto"/>
              <w:ind w:firstLine="227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D814C" w14:textId="3FAD4345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Przedmiot </w:t>
            </w:r>
            <w:r w:rsidR="00381539" w:rsidRPr="00F27DFB">
              <w:rPr>
                <w:rFonts w:ascii="Arial" w:eastAsia="Times New Roman" w:hAnsi="Arial" w:cs="Arial"/>
                <w:lang w:eastAsia="pl-PL"/>
              </w:rPr>
              <w:t xml:space="preserve">zamówienia fabrycznie nowy, </w:t>
            </w:r>
            <w:proofErr w:type="spellStart"/>
            <w:r w:rsidR="00381539" w:rsidRPr="00F27DFB">
              <w:rPr>
                <w:rFonts w:ascii="Arial" w:eastAsia="Times New Roman" w:hAnsi="Arial" w:cs="Arial"/>
                <w:lang w:eastAsia="pl-PL"/>
              </w:rPr>
              <w:t>nie</w:t>
            </w:r>
            <w:r w:rsidRPr="00F27DFB">
              <w:rPr>
                <w:rFonts w:ascii="Arial" w:eastAsia="Times New Roman" w:hAnsi="Arial" w:cs="Arial"/>
                <w:lang w:eastAsia="pl-PL"/>
              </w:rPr>
              <w:t>powystawowy</w:t>
            </w:r>
            <w:proofErr w:type="spellEnd"/>
            <w:r w:rsidRPr="00F27DFB">
              <w:rPr>
                <w:rFonts w:ascii="Arial" w:eastAsia="Times New Roman" w:hAnsi="Arial" w:cs="Arial"/>
                <w:lang w:eastAsia="pl-PL"/>
              </w:rPr>
              <w:t>, produkowany seryjnie.</w:t>
            </w:r>
          </w:p>
        </w:tc>
      </w:tr>
      <w:tr w:rsidR="00AF2850" w:rsidRPr="00F27DFB" w14:paraId="38FE5C04" w14:textId="77777777" w:rsidTr="00F27DFB">
        <w:trPr>
          <w:gridAfter w:val="1"/>
          <w:wAfter w:w="60" w:type="dxa"/>
          <w:trHeight w:val="4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286D" w14:textId="77777777" w:rsidR="00AF2850" w:rsidRPr="00F27DFB" w:rsidRDefault="00AF2850" w:rsidP="00AF2850">
            <w:pPr>
              <w:numPr>
                <w:ilvl w:val="0"/>
                <w:numId w:val="3"/>
              </w:numPr>
              <w:snapToGrid w:val="0"/>
              <w:spacing w:after="0" w:line="240" w:lineRule="auto"/>
              <w:ind w:firstLine="227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D8B5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      </w:r>
          </w:p>
        </w:tc>
      </w:tr>
      <w:tr w:rsidR="00AF2850" w:rsidRPr="00F27DFB" w14:paraId="4651F92C" w14:textId="77777777" w:rsidTr="00F27DFB">
        <w:trPr>
          <w:gridAfter w:val="1"/>
          <w:wAfter w:w="60" w:type="dxa"/>
          <w:trHeight w:val="4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CB24" w14:textId="77777777" w:rsidR="00AF2850" w:rsidRPr="00F27DFB" w:rsidRDefault="00AF2850" w:rsidP="00AF2850">
            <w:pPr>
              <w:numPr>
                <w:ilvl w:val="0"/>
                <w:numId w:val="3"/>
              </w:numPr>
              <w:snapToGrid w:val="0"/>
              <w:spacing w:after="0" w:line="240" w:lineRule="auto"/>
              <w:ind w:firstLine="227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9D4B6" w14:textId="77777777" w:rsidR="00AF2850" w:rsidRPr="00F27DFB" w:rsidRDefault="00AF285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caps/>
                <w:sz w:val="24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Sprzęt dopuszczony do obrotu na terytorium RP, posiadający wszelkie wymagane przez przepisy prawa świadectwa, atesty, deklaracje, itp. oraz spełniający wszelkie wymogi w zakresie norm bezpieczeństwa obsługi. Wykonawca zobowiązuje się do przedstawienia Zamawiającemu, na każde żądanie, dokumentów potwierdzających spełnienie w/w wymogów.</w:t>
            </w:r>
          </w:p>
        </w:tc>
      </w:tr>
      <w:tr w:rsidR="00AF2850" w:rsidRPr="00F27DFB" w14:paraId="2A1002FA" w14:textId="77777777" w:rsidTr="00F27DFB">
        <w:trPr>
          <w:gridAfter w:val="1"/>
          <w:wAfter w:w="60" w:type="dxa"/>
          <w:trHeight w:val="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E985" w14:textId="77777777" w:rsidR="00AF2850" w:rsidRPr="00F27DFB" w:rsidRDefault="00AF2850" w:rsidP="00AF2850">
            <w:pPr>
              <w:numPr>
                <w:ilvl w:val="0"/>
                <w:numId w:val="3"/>
              </w:numPr>
              <w:snapToGrid w:val="0"/>
              <w:spacing w:after="0" w:line="240" w:lineRule="auto"/>
              <w:ind w:firstLine="227"/>
              <w:jc w:val="center"/>
              <w:rPr>
                <w:rFonts w:ascii="Arial" w:eastAsia="Arial Unicode MS" w:hAnsi="Arial" w:cs="Arial"/>
                <w:bCs/>
                <w:lang w:eastAsia="pl-PL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79AB" w14:textId="77777777" w:rsidR="00AF2850" w:rsidRPr="00F27DFB" w:rsidRDefault="00AF2850">
            <w:pPr>
              <w:snapToGrid w:val="0"/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Wszelkie oprogramowanie komputerowe wchodzące w skład przedmiotu zamówienia musi być w języku polskim i/lub języku angielskim: </w:t>
            </w:r>
          </w:p>
          <w:p w14:paraId="2597739C" w14:textId="77777777" w:rsidR="00AF2850" w:rsidRPr="00F27DFB" w:rsidRDefault="00AF2850" w:rsidP="00AF285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40" w:right="57" w:hanging="340"/>
              <w:jc w:val="both"/>
              <w:rPr>
                <w:rFonts w:ascii="Arial" w:eastAsia="Times New Roman" w:hAnsi="Arial" w:cs="Arial"/>
                <w:bCs/>
                <w:kern w:val="18"/>
                <w:lang w:eastAsia="hi-IN"/>
              </w:rPr>
            </w:pPr>
            <w:r w:rsidRPr="00F27DFB">
              <w:rPr>
                <w:rFonts w:ascii="Arial" w:eastAsia="Times New Roman" w:hAnsi="Arial" w:cs="Arial"/>
                <w:bCs/>
                <w:kern w:val="18"/>
                <w:lang w:eastAsia="hi-IN"/>
              </w:rPr>
      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      </w:r>
          </w:p>
          <w:p w14:paraId="3E3ADD05" w14:textId="77777777" w:rsidR="00AF2850" w:rsidRPr="00F27DFB" w:rsidRDefault="00AF2850" w:rsidP="00AF285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40" w:right="57" w:hanging="340"/>
              <w:jc w:val="both"/>
              <w:rPr>
                <w:rFonts w:ascii="Arial" w:eastAsia="Times New Roman" w:hAnsi="Arial" w:cs="Arial"/>
                <w:bCs/>
                <w:kern w:val="18"/>
                <w:lang w:eastAsia="hi-IN"/>
              </w:rPr>
            </w:pPr>
            <w:r w:rsidRPr="00F27DFB">
              <w:rPr>
                <w:rFonts w:ascii="Arial" w:eastAsia="Times New Roman" w:hAnsi="Arial" w:cs="Arial"/>
                <w:bCs/>
                <w:kern w:val="18"/>
                <w:lang w:eastAsia="hi-IN"/>
              </w:rPr>
              <w:t>Aktualizacja oprogramowania będzie dostarczana i instalowana na koszt Wykonawcy w okresie gwarancji niezwłocznie po jej wprowadzeniu do obrotu, bez konieczności zwracania się o aktualizację przez Użytkownika.</w:t>
            </w:r>
          </w:p>
          <w:p w14:paraId="733DEF3E" w14:textId="77777777" w:rsidR="00AF2850" w:rsidRPr="00F27DFB" w:rsidRDefault="00AF2850" w:rsidP="00AF285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40" w:right="57" w:hanging="340"/>
              <w:jc w:val="both"/>
              <w:rPr>
                <w:rFonts w:ascii="Arial" w:eastAsia="Times New Roman" w:hAnsi="Arial" w:cs="Arial"/>
                <w:bCs/>
                <w:kern w:val="18"/>
                <w:lang w:eastAsia="hi-IN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      </w:r>
          </w:p>
        </w:tc>
      </w:tr>
    </w:tbl>
    <w:p w14:paraId="434F0890" w14:textId="77777777" w:rsidR="00AF2850" w:rsidRPr="00F27DFB" w:rsidRDefault="00AF2850" w:rsidP="00AF2850">
      <w:pPr>
        <w:spacing w:after="0" w:line="240" w:lineRule="auto"/>
        <w:jc w:val="center"/>
        <w:rPr>
          <w:rFonts w:ascii="Arial" w:eastAsia="Times New Roman" w:hAnsi="Arial" w:cs="Arial"/>
          <w:sz w:val="2"/>
          <w:szCs w:val="24"/>
          <w:lang w:eastAsia="pl-PL"/>
        </w:rPr>
      </w:pPr>
    </w:p>
    <w:p w14:paraId="4A084AB0" w14:textId="77777777" w:rsidR="00AF2850" w:rsidRPr="00F27DFB" w:rsidRDefault="00AF2850" w:rsidP="00AF2850">
      <w:pPr>
        <w:spacing w:after="0" w:line="240" w:lineRule="auto"/>
        <w:jc w:val="center"/>
        <w:rPr>
          <w:rFonts w:ascii="Arial" w:eastAsia="Times New Roman" w:hAnsi="Arial" w:cs="Arial"/>
          <w:sz w:val="2"/>
          <w:szCs w:val="24"/>
          <w:lang w:eastAsia="pl-PL"/>
        </w:rPr>
      </w:pPr>
    </w:p>
    <w:p w14:paraId="3B261BA1" w14:textId="77777777" w:rsidR="00AF2850" w:rsidRPr="00F27DFB" w:rsidRDefault="00AF2850" w:rsidP="00AF2850">
      <w:pPr>
        <w:spacing w:after="0" w:line="240" w:lineRule="auto"/>
        <w:jc w:val="center"/>
        <w:rPr>
          <w:rFonts w:ascii="Arial" w:eastAsia="Times New Roman" w:hAnsi="Arial" w:cs="Arial"/>
          <w:sz w:val="2"/>
          <w:szCs w:val="24"/>
          <w:lang w:eastAsia="pl-PL"/>
        </w:rPr>
      </w:pPr>
    </w:p>
    <w:p w14:paraId="292E7357" w14:textId="1FA4E6FC" w:rsidR="00AF2850" w:rsidRPr="00F27DFB" w:rsidRDefault="00AF2850" w:rsidP="00AF2850">
      <w:pPr>
        <w:spacing w:after="0" w:line="240" w:lineRule="auto"/>
        <w:jc w:val="both"/>
        <w:rPr>
          <w:rFonts w:ascii="Arial" w:eastAsia="SimSun" w:hAnsi="Arial" w:cs="Arial"/>
          <w:bCs/>
          <w:kern w:val="20"/>
          <w:lang w:eastAsia="hi-IN" w:bidi="hi-IN"/>
        </w:rPr>
      </w:pPr>
      <w:r w:rsidRPr="00F27DFB">
        <w:rPr>
          <w:rFonts w:ascii="Arial" w:eastAsia="SimSun" w:hAnsi="Arial" w:cs="Arial"/>
          <w:bCs/>
          <w:kern w:val="20"/>
          <w:lang w:eastAsia="hi-IN" w:bidi="hi-IN"/>
        </w:rPr>
        <w:t xml:space="preserve">Oświadczam, że zaoferowany przez reprezentowanego przeze mnie Wykonawcę </w:t>
      </w:r>
      <w:r w:rsidRPr="00F27DFB">
        <w:rPr>
          <w:rFonts w:ascii="Arial" w:eastAsia="Times New Roman" w:hAnsi="Arial" w:cs="Arial"/>
          <w:bCs/>
          <w:lang w:eastAsia="pl-PL"/>
        </w:rPr>
        <w:t xml:space="preserve">wskazany wyżej </w:t>
      </w:r>
      <w:r w:rsidRPr="00F27DFB">
        <w:rPr>
          <w:rFonts w:ascii="Arial" w:eastAsia="SimSun" w:hAnsi="Arial" w:cs="Arial"/>
          <w:bCs/>
          <w:kern w:val="20"/>
          <w:lang w:eastAsia="hi-IN" w:bidi="hi-IN"/>
        </w:rPr>
        <w:t xml:space="preserve">przedmiot zamówienia spełnia wymagania </w:t>
      </w:r>
      <w:r w:rsidRPr="00F27DFB">
        <w:rPr>
          <w:rFonts w:ascii="Arial" w:eastAsia="Times New Roman" w:hAnsi="Arial" w:cs="Arial"/>
          <w:lang w:eastAsia="pl-PL"/>
        </w:rPr>
        <w:t>techniczne, eksploatacyjne, jakościowe i funkcjonalne</w:t>
      </w:r>
      <w:r w:rsidR="00381539" w:rsidRPr="00F27DFB">
        <w:rPr>
          <w:rFonts w:ascii="Arial" w:eastAsia="SimSun" w:hAnsi="Arial" w:cs="Arial"/>
          <w:bCs/>
          <w:kern w:val="20"/>
          <w:lang w:eastAsia="hi-IN" w:bidi="hi-IN"/>
        </w:rPr>
        <w:t xml:space="preserve"> przedstawione w powyższej tabeli </w:t>
      </w:r>
      <w:r w:rsidRPr="00F27DFB">
        <w:rPr>
          <w:rFonts w:ascii="Arial" w:eastAsia="SimSun" w:hAnsi="Arial" w:cs="Arial"/>
          <w:bCs/>
          <w:kern w:val="20"/>
          <w:lang w:eastAsia="hi-IN" w:bidi="hi-IN"/>
        </w:rPr>
        <w:t xml:space="preserve">oraz wszystkie </w:t>
      </w:r>
      <w:r w:rsidRPr="00F27DFB">
        <w:rPr>
          <w:rFonts w:ascii="Arial" w:eastAsia="Times New Roman" w:hAnsi="Arial" w:cs="Arial"/>
          <w:bCs/>
          <w:lang w:eastAsia="pl-PL"/>
        </w:rPr>
        <w:t xml:space="preserve">dotyczące go </w:t>
      </w:r>
      <w:r w:rsidRPr="00F27DFB">
        <w:rPr>
          <w:rFonts w:ascii="Arial" w:eastAsia="SimSun" w:hAnsi="Arial" w:cs="Arial"/>
          <w:bCs/>
          <w:kern w:val="20"/>
          <w:lang w:eastAsia="hi-IN" w:bidi="hi-IN"/>
        </w:rPr>
        <w:t>pozostałe wymagania wymi</w:t>
      </w:r>
      <w:r w:rsidR="00381539" w:rsidRPr="00F27DFB">
        <w:rPr>
          <w:rFonts w:ascii="Arial" w:eastAsia="SimSun" w:hAnsi="Arial" w:cs="Arial"/>
          <w:bCs/>
          <w:kern w:val="20"/>
          <w:lang w:eastAsia="hi-IN" w:bidi="hi-IN"/>
        </w:rPr>
        <w:t xml:space="preserve">enione w specyfikacji </w:t>
      </w:r>
      <w:r w:rsidRPr="00F27DFB">
        <w:rPr>
          <w:rFonts w:ascii="Arial" w:eastAsia="SimSun" w:hAnsi="Arial" w:cs="Arial"/>
          <w:bCs/>
          <w:kern w:val="20"/>
          <w:lang w:eastAsia="hi-IN" w:bidi="hi-IN"/>
        </w:rPr>
        <w:t xml:space="preserve">warunków zamówienia i w załącznikach do niej. </w:t>
      </w:r>
    </w:p>
    <w:p w14:paraId="760B9E14" w14:textId="77777777" w:rsidR="00AF2850" w:rsidRPr="00F27DFB" w:rsidRDefault="00AF2850" w:rsidP="00AF2850">
      <w:pPr>
        <w:spacing w:after="0" w:line="240" w:lineRule="auto"/>
        <w:jc w:val="both"/>
        <w:rPr>
          <w:rFonts w:ascii="Arial" w:eastAsia="SimSun" w:hAnsi="Arial" w:cs="Arial"/>
          <w:b/>
          <w:bCs/>
          <w:kern w:val="20"/>
          <w:lang w:eastAsia="hi-IN" w:bidi="hi-IN"/>
        </w:rPr>
      </w:pPr>
    </w:p>
    <w:p w14:paraId="44F12B22" w14:textId="77777777" w:rsidR="00AF2850" w:rsidRPr="00F27DFB" w:rsidRDefault="00AF2850" w:rsidP="00AF2850">
      <w:pPr>
        <w:spacing w:after="0" w:line="240" w:lineRule="auto"/>
        <w:ind w:right="141"/>
        <w:jc w:val="both"/>
        <w:rPr>
          <w:rFonts w:ascii="Arial" w:eastAsia="Times New Roman" w:hAnsi="Arial" w:cs="Arial"/>
          <w:lang w:eastAsia="pl-PL"/>
        </w:rPr>
      </w:pPr>
    </w:p>
    <w:p w14:paraId="73108F3D" w14:textId="77777777" w:rsidR="00AF2850" w:rsidRPr="00F27DFB" w:rsidRDefault="00AF2850" w:rsidP="001A4393">
      <w:pPr>
        <w:spacing w:after="0" w:line="240" w:lineRule="auto"/>
        <w:rPr>
          <w:rFonts w:ascii="Arial" w:eastAsia="Calibri" w:hAnsi="Arial" w:cs="Arial"/>
          <w:b/>
          <w:szCs w:val="24"/>
        </w:rPr>
      </w:pPr>
      <w:r w:rsidRPr="00F27DFB">
        <w:rPr>
          <w:rFonts w:ascii="Arial" w:eastAsia="Calibri" w:hAnsi="Arial" w:cs="Arial"/>
          <w:b/>
          <w:szCs w:val="24"/>
        </w:rPr>
        <w:t>………………………………………………</w:t>
      </w:r>
    </w:p>
    <w:p w14:paraId="74E50539" w14:textId="1473F90B" w:rsidR="00B464BC" w:rsidRPr="00F27DFB" w:rsidRDefault="00B464BC" w:rsidP="001A4393">
      <w:pPr>
        <w:pStyle w:val="Default"/>
        <w:rPr>
          <w:rFonts w:ascii="Arial" w:hAnsi="Arial" w:cs="Arial"/>
          <w:sz w:val="18"/>
          <w:szCs w:val="18"/>
        </w:rPr>
      </w:pPr>
      <w:r w:rsidRPr="00F27DFB">
        <w:rPr>
          <w:rFonts w:ascii="Arial" w:hAnsi="Arial" w:cs="Arial"/>
          <w:sz w:val="18"/>
          <w:szCs w:val="18"/>
        </w:rPr>
        <w:t>czytelny podpis osób uprawnionych</w:t>
      </w:r>
    </w:p>
    <w:p w14:paraId="110654DF" w14:textId="4025D48B" w:rsidR="00B464BC" w:rsidRPr="00F27DFB" w:rsidRDefault="00B464BC" w:rsidP="001A4393">
      <w:pPr>
        <w:ind w:left="4962" w:hanging="4962"/>
        <w:rPr>
          <w:rFonts w:ascii="Arial" w:hAnsi="Arial" w:cs="Arial"/>
        </w:rPr>
      </w:pPr>
      <w:r w:rsidRPr="00F27DFB">
        <w:rPr>
          <w:rFonts w:ascii="Arial" w:hAnsi="Arial" w:cs="Arial"/>
          <w:sz w:val="18"/>
          <w:szCs w:val="18"/>
        </w:rPr>
        <w:t xml:space="preserve">do reprezentowania </w:t>
      </w:r>
      <w:r w:rsidRPr="00F27DFB">
        <w:rPr>
          <w:rFonts w:ascii="Arial" w:hAnsi="Arial" w:cs="Arial"/>
        </w:rPr>
        <w:t>w</w:t>
      </w:r>
      <w:r w:rsidRPr="00F27DFB">
        <w:rPr>
          <w:rFonts w:ascii="Arial" w:hAnsi="Arial" w:cs="Arial"/>
          <w:sz w:val="18"/>
          <w:szCs w:val="18"/>
        </w:rPr>
        <w:t>ykonawcy</w:t>
      </w:r>
    </w:p>
    <w:p w14:paraId="5D5419D5" w14:textId="63CE1ABF" w:rsidR="00AF2850" w:rsidRPr="00F27DFB" w:rsidRDefault="00AF2850" w:rsidP="00AF2850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7E6FF830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8913449" w14:textId="77777777" w:rsidR="00AF2850" w:rsidRPr="00F27DFB" w:rsidRDefault="00AF2850" w:rsidP="00AF2850">
      <w:pPr>
        <w:spacing w:after="0" w:line="240" w:lineRule="auto"/>
        <w:jc w:val="right"/>
        <w:rPr>
          <w:rFonts w:ascii="Arial" w:eastAsia="Calibri" w:hAnsi="Arial" w:cs="Arial"/>
          <w:b/>
          <w:szCs w:val="24"/>
        </w:rPr>
      </w:pPr>
    </w:p>
    <w:p w14:paraId="3F9B45D5" w14:textId="6672ED1A" w:rsidR="00AF2850" w:rsidRPr="00F27DFB" w:rsidRDefault="004335B2" w:rsidP="004335B2">
      <w:pPr>
        <w:rPr>
          <w:rFonts w:ascii="Arial" w:eastAsia="Calibri" w:hAnsi="Arial" w:cs="Arial"/>
          <w:b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Cs w:val="24"/>
        </w:rPr>
        <w:t>Z</w:t>
      </w:r>
      <w:r w:rsidR="00AF2850" w:rsidRPr="00F27DFB">
        <w:rPr>
          <w:rFonts w:ascii="Arial" w:eastAsia="Calibri" w:hAnsi="Arial" w:cs="Arial"/>
          <w:b/>
          <w:szCs w:val="24"/>
        </w:rPr>
        <w:t>ałącznik nr 4 do SWZ</w:t>
      </w:r>
    </w:p>
    <w:p w14:paraId="42D2C43C" w14:textId="77777777" w:rsidR="00AF2850" w:rsidRPr="00F27DFB" w:rsidRDefault="00AF2850" w:rsidP="00AF2850">
      <w:pPr>
        <w:spacing w:after="0" w:line="240" w:lineRule="auto"/>
        <w:ind w:left="720"/>
        <w:jc w:val="center"/>
        <w:rPr>
          <w:rFonts w:ascii="Arial" w:eastAsia="SimSun" w:hAnsi="Arial" w:cs="Arial"/>
          <w:b/>
          <w:bCs/>
          <w:caps/>
          <w:kern w:val="2"/>
          <w:lang w:eastAsia="hi-IN" w:bidi="hi-IN"/>
        </w:rPr>
      </w:pPr>
    </w:p>
    <w:p w14:paraId="7F4AD114" w14:textId="4EBDB380" w:rsidR="00AF2850" w:rsidRPr="00F27DFB" w:rsidRDefault="00AF2850" w:rsidP="004335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7DFB">
        <w:rPr>
          <w:rFonts w:ascii="Arial" w:eastAsia="SimSun" w:hAnsi="Arial" w:cs="Arial"/>
          <w:b/>
          <w:bCs/>
          <w:caps/>
          <w:kern w:val="2"/>
          <w:sz w:val="24"/>
          <w:lang w:eastAsia="hi-IN" w:bidi="hi-IN"/>
        </w:rPr>
        <w:t xml:space="preserve">TABELA </w:t>
      </w:r>
      <w:r w:rsidRPr="00F27DFB">
        <w:rPr>
          <w:rFonts w:ascii="Arial" w:eastAsia="SimSun" w:hAnsi="Arial" w:cs="Arial"/>
          <w:b/>
          <w:bCs/>
          <w:caps/>
          <w:kern w:val="2"/>
          <w:sz w:val="24"/>
          <w:lang w:val="x-none" w:eastAsia="hi-IN" w:bidi="hi-IN"/>
        </w:rPr>
        <w:t>ocen</w:t>
      </w:r>
      <w:r w:rsidRPr="00F27DFB">
        <w:rPr>
          <w:rFonts w:ascii="Arial" w:eastAsia="SimSun" w:hAnsi="Arial" w:cs="Arial"/>
          <w:b/>
          <w:bCs/>
          <w:caps/>
          <w:kern w:val="2"/>
          <w:sz w:val="24"/>
          <w:lang w:eastAsia="hi-IN" w:bidi="hi-IN"/>
        </w:rPr>
        <w:t xml:space="preserve">Y WARUNKÓW GWARANCJI </w:t>
      </w:r>
    </w:p>
    <w:p w14:paraId="5E9C199A" w14:textId="77777777" w:rsidR="00951376" w:rsidRPr="00F27DFB" w:rsidRDefault="00951376" w:rsidP="00AF285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l-PL"/>
        </w:rPr>
      </w:pPr>
    </w:p>
    <w:p w14:paraId="7443FA07" w14:textId="77777777" w:rsidR="00AF2850" w:rsidRPr="00F27DFB" w:rsidRDefault="00AF2850" w:rsidP="00AF2850">
      <w:pPr>
        <w:spacing w:after="0" w:line="240" w:lineRule="auto"/>
        <w:rPr>
          <w:rFonts w:ascii="Arial" w:hAnsi="Arial" w:cs="Arial"/>
          <w:bCs/>
        </w:rPr>
      </w:pPr>
      <w:r w:rsidRPr="00F27DFB">
        <w:rPr>
          <w:rFonts w:ascii="Arial" w:eastAsia="Times New Roman" w:hAnsi="Arial" w:cs="Arial"/>
          <w:lang w:eastAsia="pl-PL"/>
        </w:rPr>
        <w:t xml:space="preserve">Dostawa wraz z rozładunkiem, wniesieniem, zainstalowaniem, uruchomieniem oraz dostarczeniem instrukcji stanowiskowej wraz z jej wdrożeniem </w:t>
      </w:r>
      <w:r w:rsidRPr="00F27DFB">
        <w:rPr>
          <w:rFonts w:ascii="Arial" w:eastAsia="Times New Roman" w:hAnsi="Arial" w:cs="Arial"/>
          <w:bCs/>
          <w:lang w:eastAsia="pl-PL"/>
        </w:rPr>
        <w:t xml:space="preserve">do </w:t>
      </w:r>
      <w:r w:rsidRPr="00F27DFB">
        <w:rPr>
          <w:rFonts w:ascii="Arial" w:hAnsi="Arial" w:cs="Arial"/>
          <w:bCs/>
        </w:rPr>
        <w:t xml:space="preserve">Akademickiego Ośrodka Diagnostyki Patomorfologicznej i </w:t>
      </w:r>
      <w:proofErr w:type="spellStart"/>
      <w:r w:rsidRPr="00F27DFB">
        <w:rPr>
          <w:rFonts w:ascii="Arial" w:hAnsi="Arial" w:cs="Arial"/>
          <w:bCs/>
        </w:rPr>
        <w:t>Genetyczno</w:t>
      </w:r>
      <w:proofErr w:type="spellEnd"/>
      <w:r w:rsidRPr="00F27DFB">
        <w:rPr>
          <w:rFonts w:ascii="Arial" w:hAnsi="Arial" w:cs="Arial"/>
          <w:bCs/>
        </w:rPr>
        <w:t xml:space="preserve"> – Molekularnej Spółka z ograniczoną odpowiedzialnością, ul. Jerzego Waszyngtona 13, 15-269 Białystok</w:t>
      </w:r>
    </w:p>
    <w:p w14:paraId="6EDBD1DB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20EAD62" w14:textId="77777777" w:rsidR="00AF2850" w:rsidRPr="00F27DFB" w:rsidRDefault="00AF2850" w:rsidP="00AF2850">
      <w:pPr>
        <w:tabs>
          <w:tab w:val="center" w:pos="4818"/>
          <w:tab w:val="left" w:pos="7545"/>
        </w:tabs>
        <w:spacing w:after="120" w:line="240" w:lineRule="auto"/>
        <w:rPr>
          <w:rFonts w:ascii="Arial" w:eastAsia="Times New Roman" w:hAnsi="Arial" w:cs="Arial"/>
          <w:b/>
          <w:lang w:eastAsia="x-none"/>
        </w:rPr>
      </w:pPr>
      <w:proofErr w:type="spellStart"/>
      <w:r w:rsidRPr="00F27DFB">
        <w:rPr>
          <w:rFonts w:ascii="Arial" w:eastAsia="Times New Roman" w:hAnsi="Arial" w:cs="Arial"/>
          <w:b/>
          <w:lang w:eastAsia="x-none"/>
        </w:rPr>
        <w:t>Termocykler</w:t>
      </w:r>
      <w:proofErr w:type="spellEnd"/>
      <w:r w:rsidRPr="00F27DFB">
        <w:rPr>
          <w:rFonts w:ascii="Arial" w:eastAsia="Times New Roman" w:hAnsi="Arial" w:cs="Arial"/>
          <w:b/>
          <w:lang w:eastAsia="x-none"/>
        </w:rPr>
        <w:t xml:space="preserve"> Real </w:t>
      </w:r>
      <w:proofErr w:type="spellStart"/>
      <w:r w:rsidRPr="00F27DFB">
        <w:rPr>
          <w:rFonts w:ascii="Arial" w:eastAsia="Times New Roman" w:hAnsi="Arial" w:cs="Arial"/>
          <w:b/>
          <w:lang w:eastAsia="x-none"/>
        </w:rPr>
        <w:t>time</w:t>
      </w:r>
      <w:proofErr w:type="spellEnd"/>
      <w:r w:rsidRPr="00F27DFB">
        <w:rPr>
          <w:rFonts w:ascii="Arial" w:eastAsia="Times New Roman" w:hAnsi="Arial" w:cs="Arial"/>
          <w:b/>
          <w:lang w:eastAsia="x-none"/>
        </w:rPr>
        <w:t xml:space="preserve"> PCR do amplifikacji DNA w czasie rzeczywistym, 4 kanałowy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1"/>
        <w:gridCol w:w="2210"/>
      </w:tblGrid>
      <w:tr w:rsidR="00AF2850" w:rsidRPr="00F27DFB" w14:paraId="35561F41" w14:textId="77777777" w:rsidTr="00AF2850">
        <w:trPr>
          <w:trHeight w:val="826"/>
          <w:jc w:val="center"/>
        </w:trPr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2E98" w14:textId="77777777" w:rsidR="00AF2850" w:rsidRPr="00F27DFB" w:rsidRDefault="00AF2850">
            <w:pPr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Gwarancja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3439" w14:textId="77777777" w:rsidR="00AF2850" w:rsidRPr="00F27DFB" w:rsidRDefault="00AF285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bCs/>
                <w:lang w:eastAsia="pl-PL"/>
              </w:rPr>
              <w:t>Oferowany okres gwarancji</w:t>
            </w:r>
          </w:p>
        </w:tc>
      </w:tr>
      <w:tr w:rsidR="00AF2850" w:rsidRPr="00F27DFB" w14:paraId="69A48F79" w14:textId="77777777" w:rsidTr="00AF2850">
        <w:trPr>
          <w:trHeight w:val="457"/>
          <w:jc w:val="center"/>
        </w:trPr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BFCE" w14:textId="77777777" w:rsidR="00AF2850" w:rsidRPr="00F27DFB" w:rsidRDefault="00AF2850">
            <w:pPr>
              <w:spacing w:after="0" w:line="240" w:lineRule="auto"/>
              <w:ind w:right="-51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Okres gwarancji </w:t>
            </w:r>
            <w:r w:rsidRPr="00F27DFB">
              <w:rPr>
                <w:rFonts w:ascii="Arial" w:eastAsia="Times New Roman" w:hAnsi="Arial" w:cs="Arial"/>
                <w:b/>
                <w:bCs/>
                <w:lang w:eastAsia="pl-PL"/>
              </w:rPr>
              <w:t>nie krótszy niż 24 miesięcy.</w:t>
            </w:r>
          </w:p>
          <w:p w14:paraId="5F4027D0" w14:textId="77777777" w:rsidR="00AF2850" w:rsidRPr="00F27DFB" w:rsidRDefault="00AF2850">
            <w:pPr>
              <w:spacing w:after="0" w:line="240" w:lineRule="auto"/>
              <w:ind w:right="-51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bCs/>
                <w:lang w:eastAsia="pl-PL"/>
              </w:rPr>
              <w:t>Okres punktowany od 24 miesięcy do 48 miesięcy.</w:t>
            </w:r>
          </w:p>
          <w:p w14:paraId="3B443892" w14:textId="77777777" w:rsidR="00AF2850" w:rsidRPr="00F27DFB" w:rsidRDefault="00AF2850">
            <w:pPr>
              <w:spacing w:after="0" w:line="240" w:lineRule="auto"/>
              <w:ind w:right="-51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bCs/>
                <w:lang w:eastAsia="pl-PL"/>
              </w:rPr>
              <w:t>UWAGA:</w:t>
            </w:r>
          </w:p>
          <w:p w14:paraId="433B02FE" w14:textId="77777777" w:rsidR="00AF2850" w:rsidRPr="00F27DFB" w:rsidRDefault="00AF2850" w:rsidP="00AF2850">
            <w:pPr>
              <w:numPr>
                <w:ilvl w:val="0"/>
                <w:numId w:val="5"/>
              </w:numPr>
              <w:spacing w:after="0" w:line="240" w:lineRule="auto"/>
              <w:ind w:right="-5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długość okresu gwarancji musi zostać określona w pełnych miesiącach,</w:t>
            </w:r>
          </w:p>
          <w:p w14:paraId="49EEAED4" w14:textId="77777777" w:rsidR="00AF2850" w:rsidRPr="00F27DFB" w:rsidRDefault="00AF2850" w:rsidP="00AF2850">
            <w:pPr>
              <w:numPr>
                <w:ilvl w:val="0"/>
                <w:numId w:val="5"/>
              </w:numPr>
              <w:spacing w:after="0" w:line="240" w:lineRule="auto"/>
              <w:ind w:right="-5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w przypadku, gdy Wykonawca:</w:t>
            </w:r>
          </w:p>
          <w:p w14:paraId="64B5CBB6" w14:textId="44470944" w:rsidR="00AF2850" w:rsidRPr="00F27DFB" w:rsidRDefault="00AF2850">
            <w:pPr>
              <w:spacing w:after="0" w:line="240" w:lineRule="auto"/>
              <w:ind w:left="360" w:right="-5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- nie wpisze żadnego okresu gwarancji, Zamawiający przyjmie, że Wykonawca udziela minimal</w:t>
            </w:r>
            <w:r w:rsidR="00362D35">
              <w:rPr>
                <w:rFonts w:ascii="Arial" w:eastAsia="Times New Roman" w:hAnsi="Arial" w:cs="Arial"/>
                <w:lang w:eastAsia="pl-PL"/>
              </w:rPr>
              <w:t>nego okresu gwarancji (24 miesiące</w:t>
            </w:r>
            <w:r w:rsidRPr="00F27DFB">
              <w:rPr>
                <w:rFonts w:ascii="Arial" w:eastAsia="Times New Roman" w:hAnsi="Arial" w:cs="Arial"/>
                <w:lang w:eastAsia="pl-PL"/>
              </w:rPr>
              <w:t>),</w:t>
            </w:r>
          </w:p>
          <w:p w14:paraId="2D54F702" w14:textId="77777777" w:rsidR="00AF2850" w:rsidRPr="00F27DFB" w:rsidRDefault="00AF2850">
            <w:pPr>
              <w:spacing w:after="0" w:line="240" w:lineRule="auto"/>
              <w:ind w:left="360" w:right="-5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- wpisze okres gwarancji w niepełnych miesiącach, Zamawiający do obliczeń w zakresie kryterium ,,Okres gwarancji” przyjmie okres dokonując zaokrąglenia w dół,</w:t>
            </w:r>
          </w:p>
          <w:p w14:paraId="2F94E52A" w14:textId="341715A8" w:rsidR="00AF2850" w:rsidRPr="00F27DFB" w:rsidRDefault="00AF2850">
            <w:pPr>
              <w:spacing w:after="0" w:line="240" w:lineRule="auto"/>
              <w:ind w:left="360" w:right="-5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- wpisze okres gwarancji </w:t>
            </w:r>
            <w:r w:rsidR="00F451C4">
              <w:rPr>
                <w:rFonts w:ascii="Arial" w:eastAsia="Times New Roman" w:hAnsi="Arial" w:cs="Arial"/>
                <w:lang w:eastAsia="pl-PL"/>
              </w:rPr>
              <w:t>krótszy niż minimalny (24 miesiące</w:t>
            </w:r>
            <w:r w:rsidRPr="00F27DFB">
              <w:rPr>
                <w:rFonts w:ascii="Arial" w:eastAsia="Times New Roman" w:hAnsi="Arial" w:cs="Arial"/>
                <w:lang w:eastAsia="pl-PL"/>
              </w:rPr>
              <w:t xml:space="preserve">) Zamawiający odrzuci ofertą jako niezgodną </w:t>
            </w:r>
            <w:r w:rsidRPr="00F451C4">
              <w:rPr>
                <w:rFonts w:ascii="Arial" w:eastAsia="Times New Roman" w:hAnsi="Arial" w:cs="Arial"/>
                <w:lang w:eastAsia="pl-PL"/>
              </w:rPr>
              <w:t>z SWZ.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4323" w14:textId="77777777" w:rsidR="00AF2850" w:rsidRPr="00F27DFB" w:rsidRDefault="00AF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6920F53D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06D0EA9" w14:textId="56DDAFC1" w:rsidR="00AF2850" w:rsidRPr="00F27DFB" w:rsidRDefault="00AF2850" w:rsidP="00F451C4">
      <w:pPr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 w:rsidRPr="00F27DFB">
        <w:rPr>
          <w:rFonts w:ascii="Arial" w:eastAsia="Times New Roman" w:hAnsi="Arial" w:cs="Arial"/>
          <w:lang w:eastAsia="pl-PL"/>
        </w:rPr>
        <w:t>Nazwa, adres, nr tel</w:t>
      </w:r>
      <w:r w:rsidR="00951376" w:rsidRPr="00F27DFB">
        <w:rPr>
          <w:rFonts w:ascii="Arial" w:eastAsia="Times New Roman" w:hAnsi="Arial" w:cs="Arial"/>
          <w:lang w:eastAsia="pl-PL"/>
        </w:rPr>
        <w:t>., e-mail serwisu gwarancyjnego</w:t>
      </w:r>
      <w:r w:rsidRPr="00F27DFB">
        <w:rPr>
          <w:rFonts w:ascii="Arial" w:eastAsia="Times New Roman" w:hAnsi="Arial" w:cs="Arial"/>
          <w:sz w:val="20"/>
          <w:lang w:eastAsia="pl-PL"/>
        </w:rPr>
        <w:t>………….…………………………..…</w:t>
      </w:r>
    </w:p>
    <w:p w14:paraId="62D839A4" w14:textId="77777777" w:rsidR="00AF2850" w:rsidRPr="00F27DFB" w:rsidRDefault="00AF2850" w:rsidP="00AF2850">
      <w:pPr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F27DFB">
        <w:rPr>
          <w:rFonts w:ascii="Arial" w:eastAsia="Times New Roman" w:hAnsi="Arial" w:cs="Arial"/>
          <w:bCs/>
          <w:lang w:eastAsia="pl-PL"/>
        </w:rPr>
        <w:t xml:space="preserve">        </w:t>
      </w:r>
    </w:p>
    <w:p w14:paraId="1C283706" w14:textId="77777777" w:rsidR="00AF2850" w:rsidRPr="00F27DFB" w:rsidRDefault="00AF2850" w:rsidP="00AF2850">
      <w:pPr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</w:p>
    <w:p w14:paraId="4DD3B0FA" w14:textId="77777777" w:rsidR="00AF2850" w:rsidRPr="00F27DFB" w:rsidRDefault="00AF2850" w:rsidP="00AF2850">
      <w:pPr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</w:p>
    <w:p w14:paraId="4D3951D1" w14:textId="77777777" w:rsidR="00AF2850" w:rsidRPr="00F27DFB" w:rsidRDefault="00AF2850" w:rsidP="00AF2850">
      <w:pPr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</w:p>
    <w:p w14:paraId="2B04A774" w14:textId="77777777" w:rsidR="00AF2850" w:rsidRPr="00F27DFB" w:rsidRDefault="00AF2850" w:rsidP="00AF2850">
      <w:pPr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</w:p>
    <w:p w14:paraId="6C98CF86" w14:textId="77777777" w:rsidR="00AF2850" w:rsidRPr="00F27DFB" w:rsidRDefault="00AF2850" w:rsidP="00AF2850">
      <w:pPr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</w:p>
    <w:p w14:paraId="3D5E4556" w14:textId="43BC1FC2" w:rsidR="00AF2850" w:rsidRPr="00F27DFB" w:rsidRDefault="002C0DD2" w:rsidP="002C0DD2">
      <w:pPr>
        <w:tabs>
          <w:tab w:val="left" w:pos="2912"/>
        </w:tabs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27DFB">
        <w:rPr>
          <w:rFonts w:ascii="Arial" w:eastAsia="Times New Roman" w:hAnsi="Arial" w:cs="Arial"/>
          <w:bCs/>
          <w:lang w:eastAsia="pl-PL"/>
        </w:rPr>
        <w:tab/>
      </w:r>
    </w:p>
    <w:p w14:paraId="0633A6E9" w14:textId="21A7F704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27DFB">
        <w:rPr>
          <w:rFonts w:ascii="Arial" w:eastAsia="Times New Roman" w:hAnsi="Arial" w:cs="Arial"/>
          <w:b/>
          <w:lang w:eastAsia="pl-PL"/>
        </w:rPr>
        <w:t>…………………………………………….</w:t>
      </w:r>
    </w:p>
    <w:p w14:paraId="3AF2978C" w14:textId="77777777" w:rsidR="00B464BC" w:rsidRPr="00F27DFB" w:rsidRDefault="00B464BC" w:rsidP="002C0DD2">
      <w:pPr>
        <w:pStyle w:val="Default"/>
        <w:rPr>
          <w:rFonts w:ascii="Arial" w:hAnsi="Arial" w:cs="Arial"/>
          <w:sz w:val="18"/>
          <w:szCs w:val="18"/>
        </w:rPr>
      </w:pPr>
      <w:r w:rsidRPr="00F27DFB">
        <w:rPr>
          <w:rFonts w:ascii="Arial" w:hAnsi="Arial" w:cs="Arial"/>
          <w:sz w:val="18"/>
          <w:szCs w:val="18"/>
        </w:rPr>
        <w:t>czytelny podpis osób uprawnionych</w:t>
      </w:r>
    </w:p>
    <w:p w14:paraId="07ACB9F8" w14:textId="4942C5B8" w:rsidR="00B464BC" w:rsidRPr="00F27DFB" w:rsidRDefault="002C0DD2" w:rsidP="002C0DD2">
      <w:pPr>
        <w:rPr>
          <w:rFonts w:ascii="Arial" w:hAnsi="Arial" w:cs="Arial"/>
        </w:rPr>
      </w:pPr>
      <w:r w:rsidRPr="00F27DFB">
        <w:rPr>
          <w:rFonts w:ascii="Arial" w:hAnsi="Arial" w:cs="Arial"/>
          <w:sz w:val="18"/>
          <w:szCs w:val="18"/>
        </w:rPr>
        <w:t>do repreze</w:t>
      </w:r>
      <w:r w:rsidR="00B464BC" w:rsidRPr="00F27DFB">
        <w:rPr>
          <w:rFonts w:ascii="Arial" w:hAnsi="Arial" w:cs="Arial"/>
          <w:sz w:val="18"/>
          <w:szCs w:val="18"/>
        </w:rPr>
        <w:t xml:space="preserve">ntowania </w:t>
      </w:r>
      <w:r w:rsidR="00B464BC" w:rsidRPr="00F27DFB">
        <w:rPr>
          <w:rFonts w:ascii="Arial" w:hAnsi="Arial" w:cs="Arial"/>
        </w:rPr>
        <w:t>w</w:t>
      </w:r>
      <w:r w:rsidR="00B464BC" w:rsidRPr="00F27DFB">
        <w:rPr>
          <w:rFonts w:ascii="Arial" w:hAnsi="Arial" w:cs="Arial"/>
          <w:sz w:val="18"/>
          <w:szCs w:val="18"/>
        </w:rPr>
        <w:t>ykonawcy</w:t>
      </w:r>
    </w:p>
    <w:p w14:paraId="6868A1DC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1166DC9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47E6AF9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b/>
          <w:color w:val="1F3864" w:themeColor="accent1" w:themeShade="80"/>
          <w:lang w:eastAsia="pl-PL"/>
        </w:rPr>
      </w:pPr>
    </w:p>
    <w:p w14:paraId="47375BA9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b/>
          <w:color w:val="1F3864" w:themeColor="accent1" w:themeShade="80"/>
          <w:lang w:eastAsia="pl-PL"/>
        </w:rPr>
      </w:pPr>
    </w:p>
    <w:p w14:paraId="31C446E0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1DFC91B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05AABD74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b/>
          <w:strike/>
          <w:lang w:eastAsia="pl-PL"/>
        </w:rPr>
      </w:pPr>
    </w:p>
    <w:p w14:paraId="0232C97C" w14:textId="77777777" w:rsidR="00AF2850" w:rsidRPr="00F27DFB" w:rsidRDefault="00AF2850" w:rsidP="00A24CC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27DFB">
        <w:rPr>
          <w:rFonts w:ascii="Arial" w:eastAsia="Times New Roman" w:hAnsi="Arial" w:cs="Arial"/>
          <w:b/>
          <w:lang w:eastAsia="pl-PL"/>
        </w:rPr>
        <w:t>Załącznik nr 5 do SWZ</w:t>
      </w:r>
    </w:p>
    <w:p w14:paraId="71685251" w14:textId="77777777" w:rsidR="00AF2850" w:rsidRPr="00F27DFB" w:rsidRDefault="00AF2850" w:rsidP="00AF2850">
      <w:pPr>
        <w:spacing w:after="0" w:line="240" w:lineRule="auto"/>
        <w:jc w:val="right"/>
        <w:rPr>
          <w:rFonts w:ascii="Arial" w:eastAsia="Times New Roman" w:hAnsi="Arial" w:cs="Arial"/>
          <w:b/>
          <w:highlight w:val="green"/>
          <w:lang w:eastAsia="pl-PL"/>
        </w:rPr>
      </w:pPr>
    </w:p>
    <w:p w14:paraId="4A2AD714" w14:textId="0C3CF707" w:rsidR="00AF2850" w:rsidRPr="00F27DFB" w:rsidRDefault="00AF2850" w:rsidP="00A24C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7DFB">
        <w:rPr>
          <w:rFonts w:ascii="Arial" w:eastAsia="Times New Roman" w:hAnsi="Arial" w:cs="Arial"/>
          <w:b/>
          <w:sz w:val="24"/>
          <w:lang w:eastAsia="pl-PL"/>
        </w:rPr>
        <w:t xml:space="preserve">WARUNKI </w:t>
      </w:r>
      <w:r w:rsidRPr="00F27DFB">
        <w:rPr>
          <w:rFonts w:ascii="Arial" w:eastAsia="Times New Roman" w:hAnsi="Arial" w:cs="Arial"/>
          <w:b/>
          <w:caps/>
          <w:sz w:val="24"/>
          <w:lang w:eastAsia="pl-PL"/>
        </w:rPr>
        <w:t>GwarancjI, rękojmi I serwisu gwarancyjnego</w:t>
      </w:r>
    </w:p>
    <w:p w14:paraId="6889E92A" w14:textId="77777777" w:rsidR="00AF2850" w:rsidRPr="00F27DFB" w:rsidRDefault="00AF2850" w:rsidP="00AF285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lang w:eastAsia="pl-PL"/>
        </w:rPr>
      </w:pPr>
    </w:p>
    <w:p w14:paraId="0DC2D45E" w14:textId="77777777" w:rsidR="00AF2850" w:rsidRPr="00F27DFB" w:rsidRDefault="00AF2850" w:rsidP="00AF2850">
      <w:pPr>
        <w:spacing w:after="0" w:line="240" w:lineRule="auto"/>
        <w:rPr>
          <w:rFonts w:ascii="Arial" w:hAnsi="Arial" w:cs="Arial"/>
          <w:bCs/>
        </w:rPr>
      </w:pPr>
      <w:r w:rsidRPr="00F27DFB">
        <w:rPr>
          <w:rFonts w:ascii="Arial" w:eastAsia="Times New Roman" w:hAnsi="Arial" w:cs="Arial"/>
          <w:lang w:eastAsia="pl-PL"/>
        </w:rPr>
        <w:t xml:space="preserve">Dostawa wraz z rozładunkiem, wniesieniem, zainstalowaniem, uruchomieniem oraz dostarczeniem instrukcji stanowiskowej wraz z jej wdrożeniem </w:t>
      </w:r>
      <w:r w:rsidRPr="00F27DFB">
        <w:rPr>
          <w:rFonts w:ascii="Arial" w:eastAsia="Times New Roman" w:hAnsi="Arial" w:cs="Arial"/>
          <w:bCs/>
          <w:lang w:eastAsia="pl-PL"/>
        </w:rPr>
        <w:t xml:space="preserve">do </w:t>
      </w:r>
      <w:r w:rsidRPr="00F27DFB">
        <w:rPr>
          <w:rFonts w:ascii="Arial" w:hAnsi="Arial" w:cs="Arial"/>
          <w:bCs/>
        </w:rPr>
        <w:t xml:space="preserve">Akademickiego Ośrodka Diagnostyki Patomorfologicznej i </w:t>
      </w:r>
      <w:proofErr w:type="spellStart"/>
      <w:r w:rsidRPr="00F27DFB">
        <w:rPr>
          <w:rFonts w:ascii="Arial" w:hAnsi="Arial" w:cs="Arial"/>
          <w:bCs/>
        </w:rPr>
        <w:t>Genetyczno</w:t>
      </w:r>
      <w:proofErr w:type="spellEnd"/>
      <w:r w:rsidRPr="00F27DFB">
        <w:rPr>
          <w:rFonts w:ascii="Arial" w:hAnsi="Arial" w:cs="Arial"/>
          <w:bCs/>
        </w:rPr>
        <w:t xml:space="preserve"> – Molekularnej Spółka z ograniczoną odpowiedzialnością, ul. Jerzego Waszyngtona 13, 15-269 Białystok</w:t>
      </w:r>
    </w:p>
    <w:p w14:paraId="0659C10A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C4F5A86" w14:textId="77777777" w:rsidR="00AF2850" w:rsidRPr="00F27DFB" w:rsidRDefault="00AF2850" w:rsidP="00AF2850">
      <w:pPr>
        <w:tabs>
          <w:tab w:val="center" w:pos="4818"/>
          <w:tab w:val="left" w:pos="7545"/>
        </w:tabs>
        <w:spacing w:after="120" w:line="240" w:lineRule="auto"/>
        <w:rPr>
          <w:rFonts w:ascii="Arial" w:eastAsia="Times New Roman" w:hAnsi="Arial" w:cs="Arial"/>
          <w:b/>
          <w:lang w:eastAsia="x-none"/>
        </w:rPr>
      </w:pPr>
      <w:proofErr w:type="spellStart"/>
      <w:r w:rsidRPr="00F27DFB">
        <w:rPr>
          <w:rFonts w:ascii="Arial" w:eastAsia="Times New Roman" w:hAnsi="Arial" w:cs="Arial"/>
          <w:b/>
          <w:lang w:eastAsia="x-none"/>
        </w:rPr>
        <w:t>Termocykler</w:t>
      </w:r>
      <w:proofErr w:type="spellEnd"/>
      <w:r w:rsidRPr="00F27DFB">
        <w:rPr>
          <w:rFonts w:ascii="Arial" w:eastAsia="Times New Roman" w:hAnsi="Arial" w:cs="Arial"/>
          <w:b/>
          <w:lang w:eastAsia="x-none"/>
        </w:rPr>
        <w:t xml:space="preserve"> Real </w:t>
      </w:r>
      <w:proofErr w:type="spellStart"/>
      <w:r w:rsidRPr="00F27DFB">
        <w:rPr>
          <w:rFonts w:ascii="Arial" w:eastAsia="Times New Roman" w:hAnsi="Arial" w:cs="Arial"/>
          <w:b/>
          <w:lang w:eastAsia="x-none"/>
        </w:rPr>
        <w:t>time</w:t>
      </w:r>
      <w:proofErr w:type="spellEnd"/>
      <w:r w:rsidRPr="00F27DFB">
        <w:rPr>
          <w:rFonts w:ascii="Arial" w:eastAsia="Times New Roman" w:hAnsi="Arial" w:cs="Arial"/>
          <w:b/>
          <w:lang w:eastAsia="x-none"/>
        </w:rPr>
        <w:t xml:space="preserve"> PCR do amplifikacji DNA w czasie rzeczywistym, 4 kanałowy</w:t>
      </w:r>
    </w:p>
    <w:tbl>
      <w:tblPr>
        <w:tblW w:w="9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855"/>
      </w:tblGrid>
      <w:tr w:rsidR="00AF2850" w:rsidRPr="00F27DFB" w14:paraId="1BD33856" w14:textId="77777777" w:rsidTr="00AF2850">
        <w:trPr>
          <w:trHeight w:val="72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0A1DE" w14:textId="77777777" w:rsidR="00AF2850" w:rsidRPr="00F27DFB" w:rsidRDefault="00AF2850">
            <w:pPr>
              <w:snapToGrid w:val="0"/>
              <w:spacing w:after="0" w:line="240" w:lineRule="auto"/>
              <w:ind w:left="680" w:hanging="623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5E9DA8" w14:textId="77777777" w:rsidR="00AF2850" w:rsidRPr="00F27DFB" w:rsidRDefault="00AF2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WARUNKI </w:t>
            </w:r>
            <w:r w:rsidRPr="00F27DFB">
              <w:rPr>
                <w:rFonts w:ascii="Arial" w:eastAsia="Times New Roman" w:hAnsi="Arial" w:cs="Arial"/>
                <w:b/>
                <w:caps/>
                <w:sz w:val="24"/>
                <w:lang w:eastAsia="pl-PL"/>
              </w:rPr>
              <w:t>GwarancjI, rękojmi I serwisu gwarancyjnego</w:t>
            </w:r>
          </w:p>
        </w:tc>
      </w:tr>
      <w:tr w:rsidR="00AF2850" w:rsidRPr="00F27DFB" w14:paraId="31BF5A57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4E9ED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2EE2CB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Pod określeniem "urządzenie" rozumie się wszystkie wyroby, a także oprogramowanie, dostarczone i uruchomione w ramach wykonania przedmiotowego zamówienia.</w:t>
            </w:r>
          </w:p>
        </w:tc>
      </w:tr>
      <w:tr w:rsidR="00AF2850" w:rsidRPr="00F27DFB" w14:paraId="3B5B5B56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F99838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1634D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Okres gwarancji na urządzenie rozpoczyna się od daty podpisania bezusterkowego protokołu odbioru urządzenia.</w:t>
            </w:r>
          </w:p>
        </w:tc>
      </w:tr>
      <w:tr w:rsidR="00AF2850" w:rsidRPr="00F27DFB" w14:paraId="0E6EB316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CBCE54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74F6C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Okres rękojmi na urządzenia rozpoczyna się od daty podpisania bezusterkowego protokołu odbioru i wynosi 24 miesiące.</w:t>
            </w:r>
          </w:p>
        </w:tc>
      </w:tr>
      <w:tr w:rsidR="00AF2850" w:rsidRPr="00F27DFB" w14:paraId="7D2927A3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90618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CB9BE9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Niezależnie od zapisów w karcie gwarancyjnej, obowiązują zapisy zawarte w niniejszym załączniku i w SWZ, chyba że poszczególne zapisy w karcie lub paszporcie są korzystniejsze dla Zamawiającego.</w:t>
            </w:r>
          </w:p>
        </w:tc>
      </w:tr>
      <w:tr w:rsidR="00AF2850" w:rsidRPr="00F27DFB" w14:paraId="359AA370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28AEE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F8A9E6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Celem wykonania usług serwisowych, serwis Wykonawcy uzyska dostęp </w:t>
            </w:r>
            <w:r w:rsidRPr="00F27DFB">
              <w:rPr>
                <w:rFonts w:ascii="Arial" w:eastAsia="Times New Roman" w:hAnsi="Arial" w:cs="Arial"/>
                <w:lang w:eastAsia="pl-PL"/>
              </w:rPr>
              <w:br/>
              <w:t>do urządzenia w terminie ustalonym z Bezpośrednim Użytkownikiem urządzenia.</w:t>
            </w:r>
          </w:p>
        </w:tc>
      </w:tr>
      <w:tr w:rsidR="00AF2850" w:rsidRPr="00F27DFB" w14:paraId="0F857047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CD316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AACD6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Czas reakcji serwisu od chwili powiadomienia do rozpoczęcia naprawy – maksimum w ciągu 3 dni roboczych (soboty, niedziele i dni świąteczne ustawowo wolne od pracy </w:t>
            </w:r>
            <w:r w:rsidRPr="00F27DFB">
              <w:rPr>
                <w:rFonts w:ascii="Arial" w:eastAsia="Times New Roman" w:hAnsi="Arial" w:cs="Arial"/>
                <w:b/>
                <w:lang w:eastAsia="pl-PL"/>
              </w:rPr>
              <w:t>nie są</w:t>
            </w:r>
            <w:r w:rsidRPr="00F27DFB">
              <w:rPr>
                <w:rFonts w:ascii="Arial" w:eastAsia="Times New Roman" w:hAnsi="Arial" w:cs="Arial"/>
                <w:lang w:eastAsia="pl-PL"/>
              </w:rPr>
              <w:t xml:space="preserve"> dniami roboczymi). Za reakcję serwisu uważa się także kontakt telefoniczny lub zdalną diagnozę i naprawę przez przedstawiciela serwisu.</w:t>
            </w:r>
          </w:p>
        </w:tc>
      </w:tr>
      <w:tr w:rsidR="00AF2850" w:rsidRPr="00F27DFB" w14:paraId="37180108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3101CD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EDD2E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Naprawa, tj. usunięcie wad lub usterek przedmiotu zamówienia zakończy się w terminie maksimum do 3 dni roboczych liczonych od dnia przystąpienia do naprawy.</w:t>
            </w:r>
          </w:p>
        </w:tc>
      </w:tr>
      <w:tr w:rsidR="00AF2850" w:rsidRPr="00F27DFB" w14:paraId="65D347B6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C6926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8A9718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Jeżeli zajdzie konieczność naprawy poza miejscem zainstalowania urządzenia, Wykonawca odbierze uszkodzoną część składową urządzenia i dostarczy ją do Bezpośredniego Użytkownika po zakończonej naprawie na własny koszt i ryzyko.</w:t>
            </w:r>
          </w:p>
        </w:tc>
      </w:tr>
      <w:tr w:rsidR="00AF2850" w:rsidRPr="00F27DFB" w14:paraId="078207A8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302B5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BC1AE" w14:textId="273CECDD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Wykonawca zobowiązuje się do wymiany podzespołu urządzenia na nowy (fabrycznie identyczny egzemplarz) po 3 naprawach gwarancyjnych </w:t>
            </w:r>
            <w:r w:rsidR="00A24CC0">
              <w:rPr>
                <w:rFonts w:ascii="Arial" w:eastAsia="Times New Roman" w:hAnsi="Arial" w:cs="Arial"/>
                <w:lang w:eastAsia="pl-PL"/>
              </w:rPr>
              <w:t xml:space="preserve"> - </w:t>
            </w:r>
            <w:r w:rsidRPr="00F27DFB">
              <w:rPr>
                <w:rFonts w:ascii="Arial" w:eastAsia="Times New Roman" w:hAnsi="Arial" w:cs="Arial"/>
                <w:lang w:eastAsia="pl-PL"/>
              </w:rPr>
              <w:t>w terminie 7 dni roboczych, liczonym od dnia zgłoszenia przez Zamawiającego do Wykonawcy czwartego wystąpienia wady/usterki danego podzespołu.</w:t>
            </w:r>
          </w:p>
        </w:tc>
      </w:tr>
      <w:tr w:rsidR="00AF2850" w:rsidRPr="00F27DFB" w14:paraId="0EBE8F5E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C6A89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3FCD95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Wykonawca nie może odmówić usunięcia wad bez względu na wysokość związanych z tym kosztów.</w:t>
            </w:r>
          </w:p>
        </w:tc>
      </w:tr>
      <w:tr w:rsidR="00AF2850" w:rsidRPr="00F27DFB" w14:paraId="41D98E93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ED281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E7208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Roszczenia z tytułu gwarancji mogą być dochodzone także po upływie terminu gwarancji, jeżeli Zamawiający zgłosił Wykonawcy istnienie wady w okresie gwarancji.</w:t>
            </w:r>
          </w:p>
        </w:tc>
      </w:tr>
      <w:tr w:rsidR="00AF2850" w:rsidRPr="00F27DFB" w14:paraId="706A65CF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3F65EF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365511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Okres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</w:t>
            </w:r>
            <w:r w:rsidRPr="00F27DFB">
              <w:rPr>
                <w:rFonts w:ascii="Arial" w:eastAsia="Times New Roman" w:hAnsi="Arial" w:cs="Arial"/>
                <w:lang w:eastAsia="pl-PL"/>
              </w:rPr>
              <w:lastRenderedPageBreak/>
              <w:t>wykonywana jest naprawa. Czas planowych przeglądów i testów zgodnych z wymaganiami wytwórcy urządzenia nie wydłuża okresu gwarancji.</w:t>
            </w:r>
          </w:p>
        </w:tc>
      </w:tr>
      <w:tr w:rsidR="00AF2850" w:rsidRPr="00F27DFB" w14:paraId="138F61E4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0A0F9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BC4427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Wykonawca umowy zapewni dostęp do części zamiennych i serwisu przez </w:t>
            </w:r>
            <w:r w:rsidRPr="00F27DFB">
              <w:rPr>
                <w:rFonts w:ascii="Arial" w:eastAsia="Times New Roman" w:hAnsi="Arial" w:cs="Arial"/>
                <w:lang w:eastAsia="pl-PL"/>
              </w:rPr>
              <w:br/>
              <w:t>co najmniej 5 lat od daty protokołu odbioru.</w:t>
            </w:r>
          </w:p>
        </w:tc>
      </w:tr>
      <w:tr w:rsidR="00AF2850" w:rsidRPr="00F27DFB" w14:paraId="35EC8EA3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B1382" w14:textId="77777777" w:rsidR="00AF2850" w:rsidRPr="00F27DFB" w:rsidRDefault="00AF2850" w:rsidP="00AF2850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185E76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Korzystanie z uprawnień z tytułu rękojmi nastąpi na zasadach określonych </w:t>
            </w:r>
            <w:r w:rsidRPr="00F27DFB">
              <w:rPr>
                <w:rFonts w:ascii="Arial" w:eastAsia="Times New Roman" w:hAnsi="Arial" w:cs="Arial"/>
                <w:lang w:eastAsia="pl-PL"/>
              </w:rPr>
              <w:br/>
              <w:t>w Kodeksie cywilnym.</w:t>
            </w:r>
          </w:p>
        </w:tc>
      </w:tr>
    </w:tbl>
    <w:p w14:paraId="4F28DEC7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DF750C8" w14:textId="77777777" w:rsidR="00AF2850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4250206C" w14:textId="77777777" w:rsidR="00EC3796" w:rsidRDefault="00EC3796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16F89CF0" w14:textId="77777777" w:rsidR="00EC3796" w:rsidRPr="00F27DFB" w:rsidRDefault="00EC3796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43E2F65A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675792DB" w14:textId="77777777" w:rsidR="00A24CC0" w:rsidRPr="00F27DFB" w:rsidRDefault="00A24CC0" w:rsidP="00A24CC0">
      <w:pPr>
        <w:spacing w:after="0" w:line="240" w:lineRule="auto"/>
        <w:rPr>
          <w:rFonts w:ascii="Arial" w:eastAsia="Calibri" w:hAnsi="Arial" w:cs="Arial"/>
          <w:b/>
          <w:szCs w:val="24"/>
        </w:rPr>
      </w:pPr>
      <w:r w:rsidRPr="00F27DFB">
        <w:rPr>
          <w:rFonts w:ascii="Arial" w:eastAsia="Calibri" w:hAnsi="Arial" w:cs="Arial"/>
          <w:b/>
          <w:szCs w:val="24"/>
        </w:rPr>
        <w:t>………………………………………………</w:t>
      </w:r>
    </w:p>
    <w:p w14:paraId="25A9BAB8" w14:textId="77777777" w:rsidR="00A24CC0" w:rsidRPr="00F27DFB" w:rsidRDefault="00A24CC0" w:rsidP="00A24CC0">
      <w:pPr>
        <w:pStyle w:val="Default"/>
        <w:rPr>
          <w:rFonts w:ascii="Arial" w:hAnsi="Arial" w:cs="Arial"/>
          <w:sz w:val="18"/>
          <w:szCs w:val="18"/>
        </w:rPr>
      </w:pPr>
      <w:r w:rsidRPr="00F27DFB">
        <w:rPr>
          <w:rFonts w:ascii="Arial" w:hAnsi="Arial" w:cs="Arial"/>
          <w:sz w:val="18"/>
          <w:szCs w:val="18"/>
        </w:rPr>
        <w:t>czytelny podpis osób uprawnionych</w:t>
      </w:r>
    </w:p>
    <w:p w14:paraId="7B6CF28B" w14:textId="77777777" w:rsidR="00A24CC0" w:rsidRPr="00F27DFB" w:rsidRDefault="00A24CC0" w:rsidP="00A24CC0">
      <w:pPr>
        <w:ind w:left="4962" w:hanging="4962"/>
        <w:rPr>
          <w:rFonts w:ascii="Arial" w:hAnsi="Arial" w:cs="Arial"/>
        </w:rPr>
      </w:pPr>
      <w:r w:rsidRPr="00F27DFB">
        <w:rPr>
          <w:rFonts w:ascii="Arial" w:hAnsi="Arial" w:cs="Arial"/>
          <w:sz w:val="18"/>
          <w:szCs w:val="18"/>
        </w:rPr>
        <w:t xml:space="preserve">do reprezentowania </w:t>
      </w:r>
      <w:r w:rsidRPr="00F27DFB">
        <w:rPr>
          <w:rFonts w:ascii="Arial" w:hAnsi="Arial" w:cs="Arial"/>
        </w:rPr>
        <w:t>w</w:t>
      </w:r>
      <w:r w:rsidRPr="00F27DFB">
        <w:rPr>
          <w:rFonts w:ascii="Arial" w:hAnsi="Arial" w:cs="Arial"/>
          <w:sz w:val="18"/>
          <w:szCs w:val="18"/>
        </w:rPr>
        <w:t>ykonawcy</w:t>
      </w:r>
    </w:p>
    <w:p w14:paraId="7511B189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42D4C29D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773AE5F6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22FA75F8" w14:textId="086705FC" w:rsidR="00AF2850" w:rsidRPr="00F27DFB" w:rsidRDefault="00AF2850" w:rsidP="00AF2850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  <w:lang w:eastAsia="pl-PL"/>
        </w:rPr>
      </w:pPr>
    </w:p>
    <w:p w14:paraId="7D8C6503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0E0C0D98" w14:textId="77777777" w:rsidR="00AF2850" w:rsidRPr="00F27DFB" w:rsidRDefault="00AF2850" w:rsidP="00AF2850">
      <w:pPr>
        <w:spacing w:after="0" w:line="240" w:lineRule="auto"/>
        <w:jc w:val="right"/>
        <w:rPr>
          <w:rFonts w:ascii="Arial" w:eastAsia="Times New Roman" w:hAnsi="Arial" w:cs="Arial"/>
          <w:sz w:val="24"/>
          <w:szCs w:val="18"/>
          <w:lang w:eastAsia="pl-PL"/>
        </w:rPr>
      </w:pPr>
      <w:r w:rsidRPr="00F27DFB">
        <w:rPr>
          <w:rFonts w:ascii="Arial" w:eastAsia="Times New Roman" w:hAnsi="Arial" w:cs="Arial"/>
          <w:sz w:val="24"/>
          <w:szCs w:val="18"/>
          <w:lang w:eastAsia="pl-PL"/>
        </w:rPr>
        <w:br w:type="page"/>
      </w:r>
    </w:p>
    <w:p w14:paraId="7F722A1A" w14:textId="77777777" w:rsidR="00AF2850" w:rsidRPr="00F27DFB" w:rsidRDefault="00AF2850" w:rsidP="00EC3796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27DFB">
        <w:rPr>
          <w:rFonts w:ascii="Arial" w:eastAsia="Times New Roman" w:hAnsi="Arial" w:cs="Arial"/>
          <w:b/>
          <w:lang w:eastAsia="pl-PL"/>
        </w:rPr>
        <w:lastRenderedPageBreak/>
        <w:t>Załącznik nr 6 do SWZ</w:t>
      </w:r>
    </w:p>
    <w:p w14:paraId="59C615E3" w14:textId="77777777" w:rsidR="00AF2850" w:rsidRPr="00F27DFB" w:rsidRDefault="00AF2850" w:rsidP="00AF2850">
      <w:pPr>
        <w:spacing w:after="0" w:line="240" w:lineRule="auto"/>
        <w:jc w:val="right"/>
        <w:rPr>
          <w:rFonts w:ascii="Arial" w:eastAsia="Times New Roman" w:hAnsi="Arial" w:cs="Arial"/>
          <w:b/>
          <w:color w:val="1F3864" w:themeColor="accent1" w:themeShade="80"/>
          <w:highlight w:val="green"/>
          <w:lang w:eastAsia="pl-PL"/>
        </w:rPr>
      </w:pPr>
    </w:p>
    <w:p w14:paraId="1F429BC7" w14:textId="109F2FE0" w:rsidR="00AF2850" w:rsidRPr="00F27DFB" w:rsidRDefault="00AF2850" w:rsidP="00EC37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7DFB">
        <w:rPr>
          <w:rFonts w:ascii="Arial" w:eastAsia="Times New Roman" w:hAnsi="Arial" w:cs="Arial"/>
          <w:b/>
          <w:sz w:val="24"/>
          <w:szCs w:val="30"/>
          <w:lang w:eastAsia="pl-PL"/>
        </w:rPr>
        <w:t xml:space="preserve">PROCEDURA DOSTAW I ODBIORÓW URZĄDZEŃ </w:t>
      </w:r>
    </w:p>
    <w:p w14:paraId="595EF3DD" w14:textId="77777777" w:rsidR="00AF2850" w:rsidRPr="00F27DFB" w:rsidRDefault="00AF2850" w:rsidP="00AF285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30"/>
          <w:lang w:eastAsia="pl-PL"/>
        </w:rPr>
      </w:pPr>
    </w:p>
    <w:p w14:paraId="2ABE4592" w14:textId="77777777" w:rsidR="00AF2850" w:rsidRPr="00F27DFB" w:rsidRDefault="00AF2850" w:rsidP="00AF2850">
      <w:pPr>
        <w:spacing w:after="0" w:line="240" w:lineRule="auto"/>
        <w:rPr>
          <w:rFonts w:ascii="Arial" w:hAnsi="Arial" w:cs="Arial"/>
          <w:bCs/>
        </w:rPr>
      </w:pPr>
      <w:r w:rsidRPr="00F27DFB">
        <w:rPr>
          <w:rFonts w:ascii="Arial" w:eastAsia="Times New Roman" w:hAnsi="Arial" w:cs="Arial"/>
          <w:lang w:eastAsia="pl-PL"/>
        </w:rPr>
        <w:t xml:space="preserve">Dostawa wraz z rozładunkiem, wniesieniem, zainstalowaniem, uruchomieniem oraz dostarczeniem instrukcji stanowiskowej wraz z jej wdrożeniem </w:t>
      </w:r>
      <w:r w:rsidRPr="00F27DFB">
        <w:rPr>
          <w:rFonts w:ascii="Arial" w:eastAsia="Times New Roman" w:hAnsi="Arial" w:cs="Arial"/>
          <w:bCs/>
          <w:lang w:eastAsia="pl-PL"/>
        </w:rPr>
        <w:t xml:space="preserve">do </w:t>
      </w:r>
      <w:r w:rsidRPr="00F27DFB">
        <w:rPr>
          <w:rFonts w:ascii="Arial" w:hAnsi="Arial" w:cs="Arial"/>
          <w:bCs/>
        </w:rPr>
        <w:t xml:space="preserve">Akademickiego Ośrodka Diagnostyki Patomorfologicznej i </w:t>
      </w:r>
      <w:proofErr w:type="spellStart"/>
      <w:r w:rsidRPr="00F27DFB">
        <w:rPr>
          <w:rFonts w:ascii="Arial" w:hAnsi="Arial" w:cs="Arial"/>
          <w:bCs/>
        </w:rPr>
        <w:t>Genetyczno</w:t>
      </w:r>
      <w:proofErr w:type="spellEnd"/>
      <w:r w:rsidRPr="00F27DFB">
        <w:rPr>
          <w:rFonts w:ascii="Arial" w:hAnsi="Arial" w:cs="Arial"/>
          <w:bCs/>
        </w:rPr>
        <w:t xml:space="preserve"> – Molekularnej Spółka z ograniczoną odpowiedzialnością, ul. Jerzego Waszyngtona 13, 15-269 Białystok</w:t>
      </w:r>
    </w:p>
    <w:p w14:paraId="607FB52C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E564F99" w14:textId="77777777" w:rsidR="00AF2850" w:rsidRPr="00F27DFB" w:rsidRDefault="00AF2850" w:rsidP="00AF2850">
      <w:pPr>
        <w:tabs>
          <w:tab w:val="center" w:pos="4818"/>
          <w:tab w:val="left" w:pos="7545"/>
        </w:tabs>
        <w:spacing w:after="120" w:line="240" w:lineRule="auto"/>
        <w:rPr>
          <w:rFonts w:ascii="Arial" w:eastAsia="Times New Roman" w:hAnsi="Arial" w:cs="Arial"/>
          <w:b/>
          <w:lang w:eastAsia="x-none"/>
        </w:rPr>
      </w:pPr>
      <w:proofErr w:type="spellStart"/>
      <w:r w:rsidRPr="00F27DFB">
        <w:rPr>
          <w:rFonts w:ascii="Arial" w:eastAsia="Times New Roman" w:hAnsi="Arial" w:cs="Arial"/>
          <w:b/>
          <w:lang w:eastAsia="x-none"/>
        </w:rPr>
        <w:t>Termocykler</w:t>
      </w:r>
      <w:proofErr w:type="spellEnd"/>
      <w:r w:rsidRPr="00F27DFB">
        <w:rPr>
          <w:rFonts w:ascii="Arial" w:eastAsia="Times New Roman" w:hAnsi="Arial" w:cs="Arial"/>
          <w:b/>
          <w:lang w:eastAsia="x-none"/>
        </w:rPr>
        <w:t xml:space="preserve"> Real </w:t>
      </w:r>
      <w:proofErr w:type="spellStart"/>
      <w:r w:rsidRPr="00F27DFB">
        <w:rPr>
          <w:rFonts w:ascii="Arial" w:eastAsia="Times New Roman" w:hAnsi="Arial" w:cs="Arial"/>
          <w:b/>
          <w:lang w:eastAsia="x-none"/>
        </w:rPr>
        <w:t>time</w:t>
      </w:r>
      <w:proofErr w:type="spellEnd"/>
      <w:r w:rsidRPr="00F27DFB">
        <w:rPr>
          <w:rFonts w:ascii="Arial" w:eastAsia="Times New Roman" w:hAnsi="Arial" w:cs="Arial"/>
          <w:b/>
          <w:lang w:eastAsia="x-none"/>
        </w:rPr>
        <w:t xml:space="preserve"> PCR do amplifikacji DNA w czasie rzeczywistym, 4 kanałowy</w:t>
      </w:r>
    </w:p>
    <w:tbl>
      <w:tblPr>
        <w:tblW w:w="9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855"/>
      </w:tblGrid>
      <w:tr w:rsidR="00AF2850" w:rsidRPr="00F27DFB" w14:paraId="7FF25FA8" w14:textId="77777777" w:rsidTr="00AF2850">
        <w:trPr>
          <w:trHeight w:val="67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3868A9" w14:textId="77777777" w:rsidR="00AF2850" w:rsidRPr="00F27DFB" w:rsidRDefault="00AF2850">
            <w:pPr>
              <w:snapToGrid w:val="0"/>
              <w:spacing w:after="0" w:line="240" w:lineRule="auto"/>
              <w:ind w:left="680" w:hanging="623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14118F" w14:textId="77777777" w:rsidR="00AF2850" w:rsidRPr="00F27DFB" w:rsidRDefault="00AF2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caps/>
                <w:sz w:val="24"/>
                <w:lang w:eastAsia="pl-PL"/>
              </w:rPr>
              <w:t>PROCEDURA DOSTAW URZĄDZEŃ</w:t>
            </w:r>
          </w:p>
        </w:tc>
      </w:tr>
      <w:tr w:rsidR="00AF2850" w:rsidRPr="00F27DFB" w14:paraId="5994FA5D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C9F87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90BC4E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bCs/>
                <w:lang w:eastAsia="pl-PL"/>
              </w:rPr>
      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      </w:r>
          </w:p>
        </w:tc>
      </w:tr>
      <w:tr w:rsidR="00AF2850" w:rsidRPr="00F27DFB" w14:paraId="397AE46A" w14:textId="77777777" w:rsidTr="00AF2850">
        <w:trPr>
          <w:trHeight w:val="4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5AF8E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3CB865" w14:textId="71F403C0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Dostawa, rozładunek, wniesienie, zainstalowanie, uruchomienie urządzeń i dostarczenie instrukcji stanowiskowej oraz jej wdrożenie będzie zrealizowane staraniem i na koszt Wykonawcy. Wyklucza się angażowanie pracowników </w:t>
            </w:r>
            <w:r w:rsidR="00EF05EC" w:rsidRPr="00F27DFB">
              <w:rPr>
                <w:rFonts w:ascii="Arial" w:eastAsia="Times New Roman" w:hAnsi="Arial" w:cs="Arial"/>
                <w:lang w:eastAsia="pl-PL"/>
              </w:rPr>
              <w:t>Zamawiającego</w:t>
            </w:r>
            <w:r w:rsidRPr="00F27DFB">
              <w:rPr>
                <w:rFonts w:ascii="Arial" w:eastAsia="Times New Roman" w:hAnsi="Arial" w:cs="Arial"/>
                <w:lang w:eastAsia="pl-PL"/>
              </w:rPr>
              <w:t xml:space="preserve"> do czynności rozładunku lub wnoszenia urządzeń.</w:t>
            </w:r>
          </w:p>
        </w:tc>
      </w:tr>
      <w:tr w:rsidR="00AF2850" w:rsidRPr="00F27DFB" w14:paraId="32E80D3E" w14:textId="77777777" w:rsidTr="00AF2850">
        <w:trPr>
          <w:trHeight w:val="27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999BA9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F5847A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Urządzenia zostaną dostarczone w odpowiednich oryginalnych opakowaniach, zapewniających zabezpieczenie przedmiotu dostawy przed wpływem jakichkolwiek szkodliwych czynników.</w:t>
            </w:r>
          </w:p>
        </w:tc>
      </w:tr>
      <w:tr w:rsidR="00AF2850" w:rsidRPr="00F27DFB" w14:paraId="4D576A45" w14:textId="77777777" w:rsidTr="00AF2850">
        <w:trPr>
          <w:trHeight w:val="54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50E3F6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5FF14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Urządzenia zostaną dostarczone do pomieszczeń wskazanych przez  Bezpośredniego Użytkownika lub osobę upoważnioną.</w:t>
            </w:r>
          </w:p>
        </w:tc>
      </w:tr>
      <w:tr w:rsidR="00AF2850" w:rsidRPr="00F27DFB" w14:paraId="2F262FDF" w14:textId="77777777" w:rsidTr="00AF2850">
        <w:trPr>
          <w:trHeight w:val="54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4C843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D37B18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Wykonawca odpowiada za to, aby instalowanie oraz uruchamianie urządzeń było przeprowadzone przez osoby posiadające odpowiednią wiedzę i doświadczenie oraz uprawnienia, jeżeli są wymagane z mocy prawa.</w:t>
            </w:r>
          </w:p>
        </w:tc>
      </w:tr>
      <w:tr w:rsidR="00AF2850" w:rsidRPr="00F27DFB" w14:paraId="5EF0721F" w14:textId="77777777" w:rsidTr="00AF2850">
        <w:trPr>
          <w:trHeight w:val="54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0743EB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C57A45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Arial Unicode MS" w:hAnsi="Arial" w:cs="Arial"/>
                <w:lang w:eastAsia="pl-PL"/>
              </w:rPr>
      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      </w:r>
          </w:p>
        </w:tc>
      </w:tr>
      <w:tr w:rsidR="00AF2850" w:rsidRPr="00F27DFB" w14:paraId="7996DCB5" w14:textId="77777777" w:rsidTr="00AF2850">
        <w:trPr>
          <w:trHeight w:val="59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6ECEC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CBF586" w14:textId="3E42F64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Wykonawca jest zobowiązany do uprzątnięcia i zabrania ze sobą opakowań i innych materiałów (palet, kartonów, folii</w:t>
            </w:r>
            <w:r w:rsidR="00971769">
              <w:rPr>
                <w:rFonts w:ascii="Arial" w:eastAsia="Times New Roman" w:hAnsi="Arial" w:cs="Arial"/>
                <w:lang w:eastAsia="pl-PL"/>
              </w:rPr>
              <w:t>,</w:t>
            </w:r>
            <w:r w:rsidRPr="00F27DFB">
              <w:rPr>
                <w:rFonts w:ascii="Arial" w:eastAsia="Times New Roman" w:hAnsi="Arial" w:cs="Arial"/>
                <w:lang w:eastAsia="pl-PL"/>
              </w:rPr>
              <w:t xml:space="preserve"> itp.) po dostarczonych urządzeniach z pomieszczeń, do których dostarczono urządzenia oraz z wszystkich innych pomieszczeń, w których znajdowałyby się powyższe opakowania i materiały.</w:t>
            </w:r>
          </w:p>
        </w:tc>
      </w:tr>
      <w:tr w:rsidR="00AF2850" w:rsidRPr="00F27DFB" w14:paraId="0C0F0E2D" w14:textId="77777777" w:rsidTr="00AF2850">
        <w:trPr>
          <w:trHeight w:val="27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E1373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5CFAD1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Wszelkie uszkodzenia mienia Zamawiającego powstałe z winy Wykonawcy podczas wykonania czynności związanych z dostawą i montażem przedmiotu zamówienia Wykonawca usunie we własnym zakresie i na własny koszt.</w:t>
            </w:r>
          </w:p>
        </w:tc>
      </w:tr>
      <w:tr w:rsidR="00AF2850" w:rsidRPr="00F27DFB" w14:paraId="738DECD5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F9D8E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C15D1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Zamawiający nie ponosi odpowiedzialności za ryzyko utraty lub uszkodzenia p</w:t>
            </w:r>
            <w:r w:rsidRPr="00F27DFB">
              <w:rPr>
                <w:rFonts w:ascii="Arial" w:eastAsia="Times New Roman" w:hAnsi="Arial" w:cs="Arial"/>
                <w:szCs w:val="24"/>
                <w:lang w:eastAsia="pl-PL"/>
              </w:rPr>
              <w:t xml:space="preserve">rzedmiotu zamówienia dostarczonego i pozostawionego w pomieszczeniach lub na terenie Użytkownika/Zamawiającego </w:t>
            </w:r>
            <w:r w:rsidRPr="00F27DFB">
              <w:rPr>
                <w:rFonts w:ascii="Arial" w:eastAsia="Times New Roman" w:hAnsi="Arial" w:cs="Arial"/>
                <w:u w:val="single"/>
                <w:lang w:eastAsia="pl-PL"/>
              </w:rPr>
              <w:t>przed podpisaniem protokołu odbioru</w:t>
            </w:r>
            <w:r w:rsidRPr="00F27DF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AF2850" w:rsidRPr="00F27DFB" w14:paraId="591331F4" w14:textId="77777777" w:rsidTr="00AF2850">
        <w:trPr>
          <w:trHeight w:val="63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39586" w14:textId="77777777" w:rsidR="00AF2850" w:rsidRPr="00F27DFB" w:rsidRDefault="00AF2850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C101E" w14:textId="77777777" w:rsidR="00AF2850" w:rsidRPr="00F27DFB" w:rsidRDefault="00AF285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aps/>
                <w:lang w:eastAsia="pl-PL"/>
              </w:rPr>
            </w:pPr>
            <w:r w:rsidRPr="00F27DFB">
              <w:rPr>
                <w:rFonts w:ascii="Arial" w:eastAsia="Times New Roman" w:hAnsi="Arial" w:cs="Arial"/>
                <w:b/>
                <w:caps/>
                <w:sz w:val="24"/>
                <w:lang w:eastAsia="pl-PL"/>
              </w:rPr>
              <w:t>Procedura odbioru urządzeń</w:t>
            </w:r>
          </w:p>
        </w:tc>
      </w:tr>
      <w:tr w:rsidR="00AF2850" w:rsidRPr="00F27DFB" w14:paraId="10D2383C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03C6D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CAF2D1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Procedura odbioru rozpocznie się do 3 dni roboczych od daty zgłoszenia przez Wykonawcę gotowości do odbioru. Gotowość do odbioru może być zgłoszona i przyjęta przez Zamawiającego </w:t>
            </w:r>
            <w:r w:rsidRPr="00F27DFB">
              <w:rPr>
                <w:rFonts w:ascii="Arial" w:eastAsia="Times New Roman" w:hAnsi="Arial" w:cs="Arial"/>
                <w:u w:val="single"/>
                <w:lang w:eastAsia="pl-PL"/>
              </w:rPr>
              <w:t>wyłącznie:</w:t>
            </w:r>
            <w:r w:rsidRPr="00F27DFB">
              <w:rPr>
                <w:rFonts w:ascii="Arial" w:eastAsia="Times New Roman" w:hAnsi="Arial" w:cs="Arial"/>
                <w:lang w:eastAsia="pl-PL"/>
              </w:rPr>
              <w:t xml:space="preserve"> po dostarczeniu i uruchomieniu wszystkich urządzeń wchodzących w skład zamówienia, wdrożeniu instrukcji stanowiskowej oraz po ustaleniu dogodnego terminu z Bezpośrednim Użytkownikiem. Wyklucza się odbiór częściowy.</w:t>
            </w:r>
          </w:p>
        </w:tc>
      </w:tr>
      <w:tr w:rsidR="00AF2850" w:rsidRPr="00F27DFB" w14:paraId="473B4FBE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C41675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9E7D57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Wykonawca zgłasza gotowość do odbioru osobie uprawnionej przez Zamawiającego do kontaktu z Wykonawcami tj. osobie wskazanej w umowie jako odpowiedzialnej za realizację przedmiotu zamówienia. Wymaga się zgłoszenia gotowości nie później niż na 1 dzień przed terminem odbioru.</w:t>
            </w:r>
          </w:p>
        </w:tc>
      </w:tr>
      <w:tr w:rsidR="00AF2850" w:rsidRPr="00F27DFB" w14:paraId="0588060D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EFD65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FBEF92" w14:textId="48168379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 xml:space="preserve">Odbiór zakończy się podpisaniem </w:t>
            </w:r>
            <w:r w:rsidRPr="00F27DFB">
              <w:rPr>
                <w:rFonts w:ascii="Arial" w:eastAsia="Times New Roman" w:hAnsi="Arial" w:cs="Arial"/>
                <w:u w:val="single"/>
                <w:lang w:eastAsia="pl-PL"/>
              </w:rPr>
              <w:t>bezusterkowego protokołu odbioru, po kompleksowej realizacji przedmiotu zamówienia</w:t>
            </w:r>
            <w:r w:rsidRPr="00F27DFB">
              <w:rPr>
                <w:rFonts w:ascii="Arial" w:eastAsia="Times New Roman" w:hAnsi="Arial" w:cs="Arial"/>
                <w:lang w:eastAsia="pl-PL"/>
              </w:rPr>
              <w:t>. Ważność protokołu odbioru po</w:t>
            </w:r>
            <w:r w:rsidR="00971769">
              <w:rPr>
                <w:rFonts w:ascii="Arial" w:eastAsia="Times New Roman" w:hAnsi="Arial" w:cs="Arial"/>
                <w:lang w:eastAsia="pl-PL"/>
              </w:rPr>
              <w:t xml:space="preserve">twierdzą łącznie podpisy </w:t>
            </w:r>
            <w:r w:rsidRPr="00F27DFB">
              <w:rPr>
                <w:rFonts w:ascii="Arial" w:eastAsia="Times New Roman" w:hAnsi="Arial" w:cs="Arial"/>
                <w:lang w:eastAsia="pl-PL"/>
              </w:rPr>
              <w:t>osób:</w:t>
            </w:r>
          </w:p>
          <w:p w14:paraId="792292BF" w14:textId="77777777" w:rsidR="00AF2850" w:rsidRPr="00F27DFB" w:rsidRDefault="00AF2850" w:rsidP="00AF2850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Wykonawcy (lub przedstawiciela Wykonawcy) przedmiotu zamówienia;</w:t>
            </w:r>
          </w:p>
          <w:p w14:paraId="3E649A01" w14:textId="77777777" w:rsidR="00AF2850" w:rsidRPr="00F27DFB" w:rsidRDefault="00AF2850" w:rsidP="00AF2850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Bezpośredniego Użytkownika (lub osoby upoważnionej) przedmiotu zamówienia;</w:t>
            </w:r>
          </w:p>
          <w:p w14:paraId="3474F281" w14:textId="692A3075" w:rsidR="00AF2850" w:rsidRPr="00F27DFB" w:rsidRDefault="00AF2850" w:rsidP="00FE2692">
            <w:pPr>
              <w:spacing w:after="0" w:line="240" w:lineRule="auto"/>
              <w:ind w:left="284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</w:tr>
      <w:tr w:rsidR="00AF2850" w:rsidRPr="00F27DFB" w14:paraId="5C4454A0" w14:textId="77777777" w:rsidTr="00AF2850">
        <w:trPr>
          <w:trHeight w:val="14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CC344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BD76D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Protokół odbioru będzie sporządzony w 2 egzemplarzach.</w:t>
            </w:r>
          </w:p>
        </w:tc>
      </w:tr>
      <w:tr w:rsidR="00AF2850" w:rsidRPr="00F27DFB" w14:paraId="6DB2B56E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F6AC5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5FEFF2" w14:textId="77777777" w:rsidR="00AF2850" w:rsidRPr="00F27DFB" w:rsidRDefault="00AF2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Z chwilą podpisania protokołu odbioru Wykonawca przekaże Użytkownikowi następujące dokumenty w języku polskim (b</w:t>
            </w:r>
            <w:r w:rsidRPr="00F27DFB">
              <w:rPr>
                <w:rFonts w:ascii="Arial" w:eastAsia="Arial Unicode MS" w:hAnsi="Arial" w:cs="Arial"/>
                <w:lang w:eastAsia="pl-PL"/>
              </w:rPr>
              <w:t>ezwzględnym warunkiem podpisania protokołu odbioru jest dostarczenie wszystkich kompletnych niżej wymienionych dokumentów)</w:t>
            </w:r>
            <w:r w:rsidRPr="00F27DFB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884CB5D" w14:textId="77777777" w:rsidR="00AF2850" w:rsidRPr="00F27DFB" w:rsidRDefault="00AF2850" w:rsidP="00AF2850">
            <w:pPr>
              <w:numPr>
                <w:ilvl w:val="0"/>
                <w:numId w:val="9"/>
              </w:numPr>
              <w:spacing w:after="0" w:line="240" w:lineRule="auto"/>
              <w:ind w:left="340" w:hanging="34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Instrukcję stanowiskową / instrukcje obsługi urządzenia;</w:t>
            </w:r>
          </w:p>
          <w:p w14:paraId="797A8E51" w14:textId="77777777" w:rsidR="00AF2850" w:rsidRPr="00F27DFB" w:rsidRDefault="00AF2850" w:rsidP="00AF2850">
            <w:pPr>
              <w:numPr>
                <w:ilvl w:val="0"/>
                <w:numId w:val="9"/>
              </w:numPr>
              <w:spacing w:after="0" w:line="240" w:lineRule="auto"/>
              <w:ind w:left="340" w:hanging="34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Kartę gwarancyjną.</w:t>
            </w:r>
          </w:p>
        </w:tc>
      </w:tr>
      <w:tr w:rsidR="00AF2850" w:rsidRPr="00F27DFB" w14:paraId="5CFB6239" w14:textId="77777777" w:rsidTr="00AF2850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72E79" w14:textId="77777777" w:rsidR="00AF2850" w:rsidRPr="00F27DFB" w:rsidRDefault="00AF2850" w:rsidP="00AF2850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EDF5A" w14:textId="258120DF" w:rsidR="00AF2850" w:rsidRPr="00F27DFB" w:rsidRDefault="00AF2850" w:rsidP="0097176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27DFB">
              <w:rPr>
                <w:rFonts w:ascii="Arial" w:eastAsia="Times New Roman" w:hAnsi="Arial" w:cs="Arial"/>
                <w:lang w:eastAsia="pl-PL"/>
              </w:rPr>
              <w:t>Z chwilą podpisania protokołu odbioru ryzyko ut</w:t>
            </w:r>
            <w:r w:rsidR="00971769">
              <w:rPr>
                <w:rFonts w:ascii="Arial" w:eastAsia="Times New Roman" w:hAnsi="Arial" w:cs="Arial"/>
                <w:lang w:eastAsia="pl-PL"/>
              </w:rPr>
              <w:t>raty lub uszkodzenia urządzenia</w:t>
            </w:r>
            <w:r w:rsidR="00971769" w:rsidRPr="00F27DF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971769" w:rsidRPr="00F27DFB">
              <w:rPr>
                <w:rFonts w:ascii="Arial" w:eastAsia="Times New Roman" w:hAnsi="Arial" w:cs="Arial"/>
                <w:lang w:eastAsia="pl-PL"/>
              </w:rPr>
              <w:t>przechodzi</w:t>
            </w:r>
            <w:r w:rsidR="00971769" w:rsidRPr="00F27DF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971769" w:rsidRPr="00F27DFB">
              <w:rPr>
                <w:rFonts w:ascii="Arial" w:eastAsia="Times New Roman" w:hAnsi="Arial" w:cs="Arial"/>
                <w:lang w:eastAsia="pl-PL"/>
              </w:rPr>
              <w:t>na Zamawiającego</w:t>
            </w:r>
            <w:r w:rsidR="00971769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</w:tbl>
    <w:p w14:paraId="32F41F84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5A69D9A0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29CEC4B0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22BE945F" w14:textId="77777777" w:rsidR="00971769" w:rsidRPr="00F27DFB" w:rsidRDefault="00971769" w:rsidP="00971769">
      <w:pPr>
        <w:spacing w:after="0" w:line="240" w:lineRule="auto"/>
        <w:rPr>
          <w:rFonts w:ascii="Arial" w:eastAsia="Calibri" w:hAnsi="Arial" w:cs="Arial"/>
          <w:b/>
          <w:szCs w:val="24"/>
        </w:rPr>
      </w:pPr>
      <w:r w:rsidRPr="00F27DFB">
        <w:rPr>
          <w:rFonts w:ascii="Arial" w:eastAsia="Calibri" w:hAnsi="Arial" w:cs="Arial"/>
          <w:b/>
          <w:szCs w:val="24"/>
        </w:rPr>
        <w:t>………………………………………………</w:t>
      </w:r>
    </w:p>
    <w:p w14:paraId="044ECB12" w14:textId="77777777" w:rsidR="00971769" w:rsidRPr="00F27DFB" w:rsidRDefault="00971769" w:rsidP="00971769">
      <w:pPr>
        <w:pStyle w:val="Default"/>
        <w:rPr>
          <w:rFonts w:ascii="Arial" w:hAnsi="Arial" w:cs="Arial"/>
          <w:sz w:val="18"/>
          <w:szCs w:val="18"/>
        </w:rPr>
      </w:pPr>
      <w:r w:rsidRPr="00F27DFB">
        <w:rPr>
          <w:rFonts w:ascii="Arial" w:hAnsi="Arial" w:cs="Arial"/>
          <w:sz w:val="18"/>
          <w:szCs w:val="18"/>
        </w:rPr>
        <w:t>czytelny podpis osób uprawnionych</w:t>
      </w:r>
    </w:p>
    <w:p w14:paraId="5DD11AC0" w14:textId="77777777" w:rsidR="00971769" w:rsidRPr="00F27DFB" w:rsidRDefault="00971769" w:rsidP="00971769">
      <w:pPr>
        <w:ind w:left="4962" w:hanging="4962"/>
        <w:rPr>
          <w:rFonts w:ascii="Arial" w:hAnsi="Arial" w:cs="Arial"/>
        </w:rPr>
      </w:pPr>
      <w:r w:rsidRPr="00F27DFB">
        <w:rPr>
          <w:rFonts w:ascii="Arial" w:hAnsi="Arial" w:cs="Arial"/>
          <w:sz w:val="18"/>
          <w:szCs w:val="18"/>
        </w:rPr>
        <w:t xml:space="preserve">do reprezentowania </w:t>
      </w:r>
      <w:r w:rsidRPr="00F27DFB">
        <w:rPr>
          <w:rFonts w:ascii="Arial" w:hAnsi="Arial" w:cs="Arial"/>
        </w:rPr>
        <w:t>w</w:t>
      </w:r>
      <w:r w:rsidRPr="00F27DFB">
        <w:rPr>
          <w:rFonts w:ascii="Arial" w:hAnsi="Arial" w:cs="Arial"/>
          <w:sz w:val="18"/>
          <w:szCs w:val="18"/>
        </w:rPr>
        <w:t>ykonawcy</w:t>
      </w:r>
    </w:p>
    <w:p w14:paraId="7C5C6D8C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00E39D5B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37186B86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7A5FE6AE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4C21AB3A" w14:textId="77777777" w:rsidR="00AF2850" w:rsidRPr="00F27DFB" w:rsidRDefault="00AF2850" w:rsidP="00AF2850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</w:p>
    <w:p w14:paraId="42B2C063" w14:textId="77777777" w:rsidR="00AF2850" w:rsidRPr="00F27DFB" w:rsidRDefault="00AF2850" w:rsidP="00AF2850">
      <w:pPr>
        <w:tabs>
          <w:tab w:val="center" w:pos="1440"/>
          <w:tab w:val="center" w:pos="7560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27DFB">
        <w:rPr>
          <w:rFonts w:ascii="Arial" w:eastAsia="Times New Roman" w:hAnsi="Arial" w:cs="Arial"/>
          <w:bCs/>
          <w:sz w:val="20"/>
          <w:lang w:eastAsia="pl-PL"/>
        </w:rPr>
        <w:t xml:space="preserve"> </w:t>
      </w:r>
    </w:p>
    <w:p w14:paraId="5E8B7A84" w14:textId="77777777" w:rsidR="00AF2850" w:rsidRPr="00F27DFB" w:rsidRDefault="00AF2850" w:rsidP="00AF2850">
      <w:pPr>
        <w:spacing w:after="0" w:line="240" w:lineRule="auto"/>
        <w:ind w:right="141"/>
        <w:jc w:val="both"/>
        <w:rPr>
          <w:rFonts w:ascii="Arial" w:eastAsia="Times New Roman" w:hAnsi="Arial" w:cs="Arial"/>
          <w:lang w:eastAsia="pl-PL"/>
        </w:rPr>
      </w:pPr>
    </w:p>
    <w:p w14:paraId="08F92807" w14:textId="77777777" w:rsidR="00AF2850" w:rsidRPr="00F27DFB" w:rsidRDefault="00AF2850" w:rsidP="00AF2850">
      <w:pPr>
        <w:tabs>
          <w:tab w:val="left" w:pos="5130"/>
        </w:tabs>
        <w:rPr>
          <w:rFonts w:ascii="Arial" w:hAnsi="Arial" w:cs="Arial"/>
          <w:b/>
        </w:rPr>
      </w:pPr>
    </w:p>
    <w:p w14:paraId="6FE7F1B0" w14:textId="77777777" w:rsidR="00925D0A" w:rsidRPr="00F27DFB" w:rsidRDefault="00925D0A" w:rsidP="00925D0A">
      <w:pPr>
        <w:rPr>
          <w:rFonts w:ascii="Arial" w:hAnsi="Arial" w:cs="Arial"/>
        </w:rPr>
      </w:pPr>
    </w:p>
    <w:sectPr w:rsidR="00925D0A" w:rsidRPr="00F27D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0A06A" w14:textId="77777777" w:rsidR="006E404A" w:rsidRDefault="006E404A" w:rsidP="00E36529">
      <w:pPr>
        <w:spacing w:after="0" w:line="240" w:lineRule="auto"/>
      </w:pPr>
      <w:r>
        <w:separator/>
      </w:r>
    </w:p>
  </w:endnote>
  <w:endnote w:type="continuationSeparator" w:id="0">
    <w:p w14:paraId="3A0CF3D2" w14:textId="77777777" w:rsidR="006E404A" w:rsidRDefault="006E404A" w:rsidP="00E3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D640C" w14:textId="5858451F" w:rsidR="00016372" w:rsidRPr="005F34D2" w:rsidRDefault="00016372" w:rsidP="00476C56">
    <w:pPr>
      <w:autoSpaceDE w:val="0"/>
      <w:autoSpaceDN w:val="0"/>
      <w:adjustRightInd w:val="0"/>
      <w:spacing w:after="0" w:line="240" w:lineRule="auto"/>
      <w:rPr>
        <w:rFonts w:cstheme="minorHAnsi"/>
        <w:bCs/>
        <w:sz w:val="20"/>
        <w:szCs w:val="20"/>
      </w:rPr>
    </w:pPr>
    <w:r w:rsidRPr="005F34D2">
      <w:rPr>
        <w:rFonts w:cstheme="minorHAnsi"/>
        <w:bCs/>
        <w:sz w:val="20"/>
        <w:szCs w:val="20"/>
      </w:rPr>
      <w:t xml:space="preserve">Akademicki Ośrodek Diagnostyki Patomorfologicznej i </w:t>
    </w:r>
    <w:proofErr w:type="spellStart"/>
    <w:r w:rsidRPr="005F34D2">
      <w:rPr>
        <w:rFonts w:cstheme="minorHAnsi"/>
        <w:bCs/>
        <w:sz w:val="20"/>
        <w:szCs w:val="20"/>
      </w:rPr>
      <w:t>Genetyczno</w:t>
    </w:r>
    <w:proofErr w:type="spellEnd"/>
    <w:r w:rsidRPr="005F34D2">
      <w:rPr>
        <w:rFonts w:cstheme="minorHAnsi"/>
        <w:bCs/>
        <w:sz w:val="20"/>
        <w:szCs w:val="20"/>
      </w:rPr>
      <w:t xml:space="preserve"> – Molekularnej Spółka z ograniczoną odpowiedzialnością ul. Jerzego Waszyngtona 13 15-269 Białystok</w:t>
    </w:r>
  </w:p>
  <w:p w14:paraId="6CCB8BFC" w14:textId="0333FB1A" w:rsidR="00476C56" w:rsidRPr="005F34D2" w:rsidRDefault="00476C56" w:rsidP="00476C56">
    <w:pPr>
      <w:autoSpaceDE w:val="0"/>
      <w:autoSpaceDN w:val="0"/>
      <w:adjustRightInd w:val="0"/>
      <w:spacing w:after="0" w:line="240" w:lineRule="auto"/>
      <w:rPr>
        <w:rFonts w:cstheme="minorHAnsi"/>
        <w:bCs/>
        <w:sz w:val="20"/>
        <w:szCs w:val="20"/>
      </w:rPr>
    </w:pPr>
    <w:r w:rsidRPr="005F34D2">
      <w:rPr>
        <w:rFonts w:cstheme="minorHAnsi"/>
        <w:bCs/>
        <w:sz w:val="20"/>
        <w:szCs w:val="20"/>
      </w:rPr>
      <w:t>Nr Umowy: POIR.01.01.01-00-1232/20-00</w:t>
    </w:r>
  </w:p>
  <w:p w14:paraId="3EFE85F3" w14:textId="16C12A2B" w:rsidR="00476C56" w:rsidRPr="005F34D2" w:rsidRDefault="00016372" w:rsidP="00476C56">
    <w:pPr>
      <w:autoSpaceDE w:val="0"/>
      <w:autoSpaceDN w:val="0"/>
      <w:adjustRightInd w:val="0"/>
      <w:spacing w:after="0" w:line="240" w:lineRule="auto"/>
      <w:rPr>
        <w:rFonts w:cstheme="minorHAnsi"/>
        <w:bCs/>
        <w:i/>
        <w:iCs/>
        <w:sz w:val="20"/>
        <w:szCs w:val="20"/>
      </w:rPr>
    </w:pPr>
    <w:r w:rsidRPr="005F34D2">
      <w:rPr>
        <w:rFonts w:cstheme="minorHAnsi"/>
        <w:sz w:val="20"/>
        <w:szCs w:val="20"/>
      </w:rPr>
      <w:t>Projekt</w:t>
    </w:r>
    <w:r w:rsidR="00476C56" w:rsidRPr="005F34D2">
      <w:rPr>
        <w:rFonts w:cstheme="minorHAnsi"/>
        <w:sz w:val="20"/>
        <w:szCs w:val="20"/>
      </w:rPr>
      <w:t xml:space="preserve">: </w:t>
    </w:r>
    <w:r w:rsidR="00476C56" w:rsidRPr="005F34D2">
      <w:rPr>
        <w:rFonts w:cstheme="minorHAnsi"/>
        <w:bCs/>
        <w:i/>
        <w:iCs/>
        <w:sz w:val="20"/>
        <w:szCs w:val="20"/>
      </w:rPr>
      <w:t>Opracowanie i walidacja kli</w:t>
    </w:r>
    <w:r w:rsidRPr="005F34D2">
      <w:rPr>
        <w:rFonts w:cstheme="minorHAnsi"/>
        <w:bCs/>
        <w:i/>
        <w:iCs/>
        <w:sz w:val="20"/>
        <w:szCs w:val="20"/>
      </w:rPr>
      <w:t xml:space="preserve">niczna nowego hybrydowego testu </w:t>
    </w:r>
    <w:r w:rsidR="00476C56" w:rsidRPr="005F34D2">
      <w:rPr>
        <w:rFonts w:cstheme="minorHAnsi"/>
        <w:bCs/>
        <w:i/>
        <w:iCs/>
        <w:sz w:val="20"/>
        <w:szCs w:val="20"/>
      </w:rPr>
      <w:t>molekularnego (SARS-HYB45) do bezpośredniej i szybkiej di</w:t>
    </w:r>
    <w:r w:rsidRPr="005F34D2">
      <w:rPr>
        <w:rFonts w:cstheme="minorHAnsi"/>
        <w:bCs/>
        <w:i/>
        <w:iCs/>
        <w:sz w:val="20"/>
        <w:szCs w:val="20"/>
      </w:rPr>
      <w:t xml:space="preserve">agnostyki SARS-CoV-2: aplikacja </w:t>
    </w:r>
    <w:r w:rsidR="00476C56" w:rsidRPr="005F34D2">
      <w:rPr>
        <w:rFonts w:cstheme="minorHAnsi"/>
        <w:bCs/>
        <w:i/>
        <w:iCs/>
        <w:sz w:val="20"/>
        <w:szCs w:val="20"/>
      </w:rPr>
      <w:t>laboratoryjna i „point-of-</w:t>
    </w:r>
    <w:proofErr w:type="spellStart"/>
    <w:r w:rsidR="00476C56" w:rsidRPr="005F34D2">
      <w:rPr>
        <w:rFonts w:cstheme="minorHAnsi"/>
        <w:bCs/>
        <w:i/>
        <w:iCs/>
        <w:sz w:val="20"/>
        <w:szCs w:val="20"/>
      </w:rPr>
      <w:t>care</w:t>
    </w:r>
    <w:proofErr w:type="spellEnd"/>
    <w:r w:rsidR="00476C56" w:rsidRPr="005F34D2">
      <w:rPr>
        <w:rFonts w:cstheme="minorHAnsi"/>
        <w:bCs/>
        <w:i/>
        <w:iCs/>
        <w:sz w:val="20"/>
        <w:szCs w:val="20"/>
      </w:rPr>
      <w:t xml:space="preserve">” (POC) </w:t>
    </w:r>
    <w:r w:rsidR="00476C56" w:rsidRPr="005F34D2">
      <w:rPr>
        <w:rFonts w:cstheme="minorHAnsi"/>
        <w:sz w:val="20"/>
        <w:szCs w:val="20"/>
      </w:rPr>
      <w:t>w ramach Poddziałania 1.1.1 Programu Operacyjnego Inteligentny</w:t>
    </w:r>
  </w:p>
  <w:p w14:paraId="10F7DF1B" w14:textId="125708C7" w:rsidR="00476C56" w:rsidRPr="005F34D2" w:rsidRDefault="00476C56" w:rsidP="005F34D2">
    <w:pPr>
      <w:autoSpaceDE w:val="0"/>
      <w:autoSpaceDN w:val="0"/>
      <w:adjustRightInd w:val="0"/>
      <w:spacing w:after="0" w:line="240" w:lineRule="auto"/>
      <w:rPr>
        <w:rFonts w:cstheme="minorHAnsi"/>
        <w:sz w:val="20"/>
        <w:szCs w:val="20"/>
      </w:rPr>
    </w:pPr>
    <w:r w:rsidRPr="005F34D2">
      <w:rPr>
        <w:rFonts w:cstheme="minorHAnsi"/>
        <w:sz w:val="20"/>
        <w:szCs w:val="20"/>
      </w:rPr>
      <w:t>Rozwój 2014-2020 współfinansowanego ze środków Europejskieg</w:t>
    </w:r>
    <w:r w:rsidR="005F34D2" w:rsidRPr="005F34D2">
      <w:rPr>
        <w:rFonts w:cstheme="minorHAnsi"/>
        <w:sz w:val="20"/>
        <w:szCs w:val="20"/>
      </w:rPr>
      <w:t>o Funduszu Rozwoju Regionalnego</w:t>
    </w:r>
  </w:p>
  <w:p w14:paraId="6EA633B2" w14:textId="77777777" w:rsidR="00E36529" w:rsidRDefault="00E365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C2433" w14:textId="77777777" w:rsidR="006E404A" w:rsidRDefault="006E404A" w:rsidP="00E36529">
      <w:pPr>
        <w:spacing w:after="0" w:line="240" w:lineRule="auto"/>
      </w:pPr>
      <w:r>
        <w:separator/>
      </w:r>
    </w:p>
  </w:footnote>
  <w:footnote w:type="continuationSeparator" w:id="0">
    <w:p w14:paraId="10D59DBD" w14:textId="77777777" w:rsidR="006E404A" w:rsidRDefault="006E404A" w:rsidP="00E3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247E9" w14:textId="3B9BB31B" w:rsidR="00E36529" w:rsidRDefault="00E36529">
    <w:pPr>
      <w:pStyle w:val="Nagwek"/>
    </w:pPr>
    <w:r>
      <w:rPr>
        <w:noProof/>
        <w:lang w:eastAsia="pl-PL"/>
      </w:rPr>
      <w:drawing>
        <wp:inline distT="0" distB="0" distL="0" distR="0" wp14:anchorId="7273AD72" wp14:editId="591A5AA5">
          <wp:extent cx="5760720" cy="620982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A5609D" w14:textId="77777777" w:rsidR="00E36529" w:rsidRDefault="00E365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20C"/>
    <w:multiLevelType w:val="hybridMultilevel"/>
    <w:tmpl w:val="F6EECD26"/>
    <w:lvl w:ilvl="0" w:tplc="AF9A42E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241C26"/>
    <w:multiLevelType w:val="hybridMultilevel"/>
    <w:tmpl w:val="98185E2C"/>
    <w:lvl w:ilvl="0" w:tplc="31922758">
      <w:start w:val="1"/>
      <w:numFmt w:val="decimal"/>
      <w:suff w:val="nothing"/>
      <w:lvlText w:val="%1"/>
      <w:lvlJc w:val="center"/>
      <w:pPr>
        <w:ind w:left="680" w:hanging="623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386" w:hanging="180"/>
      </w:pPr>
    </w:lvl>
    <w:lvl w:ilvl="3" w:tplc="0415000F">
      <w:start w:val="1"/>
      <w:numFmt w:val="decimal"/>
      <w:lvlText w:val="%4."/>
      <w:lvlJc w:val="left"/>
      <w:pPr>
        <w:ind w:left="3106" w:hanging="360"/>
      </w:pPr>
    </w:lvl>
    <w:lvl w:ilvl="4" w:tplc="04150019">
      <w:start w:val="1"/>
      <w:numFmt w:val="lowerLetter"/>
      <w:lvlText w:val="%5."/>
      <w:lvlJc w:val="left"/>
      <w:pPr>
        <w:ind w:left="3826" w:hanging="360"/>
      </w:pPr>
    </w:lvl>
    <w:lvl w:ilvl="5" w:tplc="0415001B">
      <w:start w:val="1"/>
      <w:numFmt w:val="lowerRoman"/>
      <w:lvlText w:val="%6."/>
      <w:lvlJc w:val="right"/>
      <w:pPr>
        <w:ind w:left="4546" w:hanging="180"/>
      </w:pPr>
    </w:lvl>
    <w:lvl w:ilvl="6" w:tplc="0415000F">
      <w:start w:val="1"/>
      <w:numFmt w:val="decimal"/>
      <w:lvlText w:val="%7."/>
      <w:lvlJc w:val="left"/>
      <w:pPr>
        <w:ind w:left="5266" w:hanging="360"/>
      </w:pPr>
    </w:lvl>
    <w:lvl w:ilvl="7" w:tplc="04150019">
      <w:start w:val="1"/>
      <w:numFmt w:val="lowerLetter"/>
      <w:lvlText w:val="%8."/>
      <w:lvlJc w:val="left"/>
      <w:pPr>
        <w:ind w:left="5986" w:hanging="360"/>
      </w:pPr>
    </w:lvl>
    <w:lvl w:ilvl="8" w:tplc="0415001B">
      <w:start w:val="1"/>
      <w:numFmt w:val="lowerRoman"/>
      <w:lvlText w:val="%9."/>
      <w:lvlJc w:val="right"/>
      <w:pPr>
        <w:ind w:left="6706" w:hanging="180"/>
      </w:pPr>
    </w:lvl>
  </w:abstractNum>
  <w:abstractNum w:abstractNumId="2">
    <w:nsid w:val="2194553F"/>
    <w:multiLevelType w:val="hybridMultilevel"/>
    <w:tmpl w:val="D67CDFCE"/>
    <w:lvl w:ilvl="0" w:tplc="9B56D50E">
      <w:start w:val="1"/>
      <w:numFmt w:val="decimal"/>
      <w:suff w:val="nothing"/>
      <w:lvlText w:val="%1"/>
      <w:lvlJc w:val="center"/>
      <w:pPr>
        <w:ind w:left="680" w:hanging="623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386" w:hanging="180"/>
      </w:pPr>
    </w:lvl>
    <w:lvl w:ilvl="3" w:tplc="0415000F">
      <w:start w:val="1"/>
      <w:numFmt w:val="decimal"/>
      <w:lvlText w:val="%4."/>
      <w:lvlJc w:val="left"/>
      <w:pPr>
        <w:ind w:left="3106" w:hanging="360"/>
      </w:pPr>
    </w:lvl>
    <w:lvl w:ilvl="4" w:tplc="04150019">
      <w:start w:val="1"/>
      <w:numFmt w:val="lowerLetter"/>
      <w:lvlText w:val="%5."/>
      <w:lvlJc w:val="left"/>
      <w:pPr>
        <w:ind w:left="3826" w:hanging="360"/>
      </w:pPr>
    </w:lvl>
    <w:lvl w:ilvl="5" w:tplc="0415001B">
      <w:start w:val="1"/>
      <w:numFmt w:val="lowerRoman"/>
      <w:lvlText w:val="%6."/>
      <w:lvlJc w:val="right"/>
      <w:pPr>
        <w:ind w:left="4546" w:hanging="180"/>
      </w:pPr>
    </w:lvl>
    <w:lvl w:ilvl="6" w:tplc="0415000F">
      <w:start w:val="1"/>
      <w:numFmt w:val="decimal"/>
      <w:lvlText w:val="%7."/>
      <w:lvlJc w:val="left"/>
      <w:pPr>
        <w:ind w:left="5266" w:hanging="360"/>
      </w:pPr>
    </w:lvl>
    <w:lvl w:ilvl="7" w:tplc="04150019">
      <w:start w:val="1"/>
      <w:numFmt w:val="lowerLetter"/>
      <w:lvlText w:val="%8."/>
      <w:lvlJc w:val="left"/>
      <w:pPr>
        <w:ind w:left="5986" w:hanging="360"/>
      </w:pPr>
    </w:lvl>
    <w:lvl w:ilvl="8" w:tplc="0415001B">
      <w:start w:val="1"/>
      <w:numFmt w:val="lowerRoman"/>
      <w:lvlText w:val="%9."/>
      <w:lvlJc w:val="right"/>
      <w:pPr>
        <w:ind w:left="6706" w:hanging="180"/>
      </w:pPr>
    </w:lvl>
  </w:abstractNum>
  <w:abstractNum w:abstractNumId="3">
    <w:nsid w:val="2B645969"/>
    <w:multiLevelType w:val="hybridMultilevel"/>
    <w:tmpl w:val="E8BE60E8"/>
    <w:lvl w:ilvl="0" w:tplc="FFE0CDAC">
      <w:start w:val="1"/>
      <w:numFmt w:val="lowerLetter"/>
      <w:lvlText w:val="%1)"/>
      <w:lvlJc w:val="left"/>
      <w:pPr>
        <w:ind w:left="72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EC6769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C1E27"/>
    <w:multiLevelType w:val="hybridMultilevel"/>
    <w:tmpl w:val="C6D20300"/>
    <w:lvl w:ilvl="0" w:tplc="AFB060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E3887"/>
    <w:multiLevelType w:val="hybridMultilevel"/>
    <w:tmpl w:val="A0A691C0"/>
    <w:lvl w:ilvl="0" w:tplc="19A2D432">
      <w:start w:val="1"/>
      <w:numFmt w:val="lowerLetter"/>
      <w:lvlText w:val="%1)"/>
      <w:lvlJc w:val="left"/>
      <w:pPr>
        <w:ind w:left="777" w:hanging="360"/>
      </w:pPr>
      <w:rPr>
        <w:b w:val="0"/>
        <w:i w:val="0"/>
        <w:color w:val="000000"/>
        <w:sz w:val="20"/>
        <w:szCs w:val="18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6FDB70C5"/>
    <w:multiLevelType w:val="hybridMultilevel"/>
    <w:tmpl w:val="1172844C"/>
    <w:lvl w:ilvl="0" w:tplc="D6785370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b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7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37C31"/>
    <w:multiLevelType w:val="hybridMultilevel"/>
    <w:tmpl w:val="478A057E"/>
    <w:lvl w:ilvl="0" w:tplc="3716A6D8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color w:val="000000"/>
        <w:sz w:val="22"/>
      </w:rPr>
    </w:lvl>
    <w:lvl w:ilvl="1" w:tplc="057E29BA">
      <w:start w:val="1"/>
      <w:numFmt w:val="decimal"/>
      <w:lvlText w:val="%2."/>
      <w:lvlJc w:val="left"/>
      <w:pPr>
        <w:ind w:left="1845" w:hanging="765"/>
      </w:pPr>
    </w:lvl>
    <w:lvl w:ilvl="2" w:tplc="B3FE87C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07AB938">
      <w:start w:val="1"/>
      <w:numFmt w:val="lowerLetter"/>
      <w:lvlText w:val="%4."/>
      <w:lvlJc w:val="left"/>
      <w:pPr>
        <w:ind w:left="3225" w:hanging="705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29"/>
    <w:rsid w:val="00016372"/>
    <w:rsid w:val="000C04A1"/>
    <w:rsid w:val="000E0B0F"/>
    <w:rsid w:val="0010127A"/>
    <w:rsid w:val="00157D4E"/>
    <w:rsid w:val="001812F3"/>
    <w:rsid w:val="001A4393"/>
    <w:rsid w:val="00294297"/>
    <w:rsid w:val="002C0DD2"/>
    <w:rsid w:val="00334494"/>
    <w:rsid w:val="00362D35"/>
    <w:rsid w:val="00381539"/>
    <w:rsid w:val="00392C27"/>
    <w:rsid w:val="003B0EF6"/>
    <w:rsid w:val="003C6FC2"/>
    <w:rsid w:val="004335B2"/>
    <w:rsid w:val="00462BB9"/>
    <w:rsid w:val="00476C56"/>
    <w:rsid w:val="004C43A4"/>
    <w:rsid w:val="00506102"/>
    <w:rsid w:val="0057430A"/>
    <w:rsid w:val="00580D97"/>
    <w:rsid w:val="00594738"/>
    <w:rsid w:val="005F34D2"/>
    <w:rsid w:val="00613075"/>
    <w:rsid w:val="006E404A"/>
    <w:rsid w:val="007252AA"/>
    <w:rsid w:val="00913556"/>
    <w:rsid w:val="00925D0A"/>
    <w:rsid w:val="00951376"/>
    <w:rsid w:val="00971769"/>
    <w:rsid w:val="00A24CC0"/>
    <w:rsid w:val="00AB45FD"/>
    <w:rsid w:val="00AF2850"/>
    <w:rsid w:val="00B464BC"/>
    <w:rsid w:val="00BC10C7"/>
    <w:rsid w:val="00C93A84"/>
    <w:rsid w:val="00DD6035"/>
    <w:rsid w:val="00E302F0"/>
    <w:rsid w:val="00E36529"/>
    <w:rsid w:val="00EC3796"/>
    <w:rsid w:val="00EF05EC"/>
    <w:rsid w:val="00F01428"/>
    <w:rsid w:val="00F25B4D"/>
    <w:rsid w:val="00F27DFB"/>
    <w:rsid w:val="00F451C4"/>
    <w:rsid w:val="00F8784A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60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529"/>
  </w:style>
  <w:style w:type="paragraph" w:styleId="Stopka">
    <w:name w:val="footer"/>
    <w:basedOn w:val="Normalny"/>
    <w:link w:val="Stopka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529"/>
  </w:style>
  <w:style w:type="paragraph" w:styleId="Tekstdymka">
    <w:name w:val="Balloon Text"/>
    <w:basedOn w:val="Normalny"/>
    <w:link w:val="TekstdymkaZnak"/>
    <w:uiPriority w:val="99"/>
    <w:semiHidden/>
    <w:unhideWhenUsed/>
    <w:rsid w:val="004C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3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5D0A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925D0A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AF2850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529"/>
  </w:style>
  <w:style w:type="paragraph" w:styleId="Stopka">
    <w:name w:val="footer"/>
    <w:basedOn w:val="Normalny"/>
    <w:link w:val="Stopka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529"/>
  </w:style>
  <w:style w:type="paragraph" w:styleId="Tekstdymka">
    <w:name w:val="Balloon Text"/>
    <w:basedOn w:val="Normalny"/>
    <w:link w:val="TekstdymkaZnak"/>
    <w:uiPriority w:val="99"/>
    <w:semiHidden/>
    <w:unhideWhenUsed/>
    <w:rsid w:val="004C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3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5D0A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925D0A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AF285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2083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AODPiGM Białystok</dc:creator>
  <cp:lastModifiedBy>Jacek Domalewski</cp:lastModifiedBy>
  <cp:revision>21</cp:revision>
  <dcterms:created xsi:type="dcterms:W3CDTF">2022-01-02T22:48:00Z</dcterms:created>
  <dcterms:modified xsi:type="dcterms:W3CDTF">2022-01-09T17:44:00Z</dcterms:modified>
</cp:coreProperties>
</file>