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7D62" w14:textId="77777777" w:rsidR="00FD1586" w:rsidRDefault="00FD1586">
      <w:pPr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0E47A688" w14:textId="77777777" w:rsidR="00FD1586" w:rsidRDefault="00FD1586">
      <w:pPr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38FD7A7C" w14:textId="6DCC661A" w:rsidR="00CC1764" w:rsidRPr="00FD1586" w:rsidRDefault="00A744B8">
      <w:pPr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Załącznik</w:t>
      </w:r>
      <w:r w:rsidR="00167E12" w:rsidRPr="00FD1586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 nr 1</w:t>
      </w:r>
      <w:r w:rsidRPr="00FD1586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 do Zapytania ofertowego nr 10/2021 </w:t>
      </w:r>
    </w:p>
    <w:p w14:paraId="0604ED29" w14:textId="6159EA05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Wymagania dotyczące przeprowadzenia badań laboratoryjnych</w:t>
      </w:r>
      <w:r w:rsidRPr="00FD1586">
        <w:rPr>
          <w:rStyle w:val="Odwoanieprzypisudolnego"/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footnoteReference w:id="1"/>
      </w:r>
    </w:p>
    <w:p w14:paraId="060AF592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6D7B93F0" w14:textId="77777777" w:rsidR="00CC1764" w:rsidRPr="00FD1586" w:rsidRDefault="00A744B8" w:rsidP="00B87B42">
      <w:pPr>
        <w:spacing w:after="0" w:line="360" w:lineRule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/>
          <w:sz w:val="20"/>
          <w:szCs w:val="20"/>
        </w:rPr>
        <w:t xml:space="preserve">Badania trwałościowe - sprawdzenie jak produkt zachowuje się podczas przechowywania szczególnie w temperaturze +2 do +25 </w:t>
      </w:r>
      <w:proofErr w:type="spellStart"/>
      <w:r w:rsidRPr="00B87B42">
        <w:rPr>
          <w:rFonts w:ascii="Century Gothic" w:hAnsi="Century Gothic"/>
          <w:sz w:val="20"/>
          <w:szCs w:val="20"/>
        </w:rPr>
        <w:t>st</w:t>
      </w:r>
      <w:proofErr w:type="spellEnd"/>
      <w:r w:rsidRPr="00B87B42">
        <w:rPr>
          <w:rFonts w:ascii="Century Gothic" w:hAnsi="Century Gothic"/>
          <w:sz w:val="20"/>
          <w:szCs w:val="20"/>
        </w:rPr>
        <w:t xml:space="preserve"> C.</w:t>
      </w:r>
    </w:p>
    <w:p w14:paraId="38E75D57" w14:textId="5A04139E" w:rsidR="00CC1764" w:rsidRPr="00FD1586" w:rsidRDefault="00A744B8" w:rsidP="00B87B42">
      <w:pPr>
        <w:spacing w:afterLines="40" w:after="96" w:line="360" w:lineRule="auto"/>
        <w:ind w:left="57" w:right="113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Badanie polega na przeprowadzeniu badań mikrobiologicznych i sensorycznych produktów mięsno-roślinnych i roślinnych z oznaczeniem ogólnej ilości drobnoustrojów, liczb</w:t>
      </w:r>
      <w:r w:rsidR="008926B4">
        <w:rPr>
          <w:rFonts w:ascii="Century Gothic" w:hAnsi="Century Gothic"/>
          <w:sz w:val="20"/>
          <w:szCs w:val="20"/>
        </w:rPr>
        <w:t>y</w:t>
      </w:r>
      <w:r w:rsidRPr="00FD1586">
        <w:rPr>
          <w:rFonts w:ascii="Century Gothic" w:hAnsi="Century Gothic"/>
          <w:sz w:val="20"/>
          <w:szCs w:val="20"/>
        </w:rPr>
        <w:t xml:space="preserve"> Beta-</w:t>
      </w:r>
      <w:proofErr w:type="spellStart"/>
      <w:r w:rsidRPr="00FD1586">
        <w:rPr>
          <w:rFonts w:ascii="Century Gothic" w:hAnsi="Century Gothic"/>
          <w:sz w:val="20"/>
          <w:szCs w:val="20"/>
        </w:rPr>
        <w:t>glukoronidazo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-dodatnich </w:t>
      </w:r>
      <w:r w:rsidRPr="00FD1586">
        <w:rPr>
          <w:rFonts w:ascii="Century Gothic" w:hAnsi="Century Gothic"/>
          <w:i/>
          <w:sz w:val="20"/>
          <w:szCs w:val="20"/>
        </w:rPr>
        <w:t>Escherichia coli,</w:t>
      </w:r>
      <w:r w:rsidRPr="00FD1586">
        <w:rPr>
          <w:rFonts w:ascii="Century Gothic" w:hAnsi="Century Gothic"/>
          <w:sz w:val="20"/>
          <w:szCs w:val="20"/>
        </w:rPr>
        <w:t xml:space="preserve"> liczb</w:t>
      </w:r>
      <w:r w:rsidR="008926B4">
        <w:rPr>
          <w:rFonts w:ascii="Century Gothic" w:hAnsi="Century Gothic"/>
          <w:sz w:val="20"/>
          <w:szCs w:val="20"/>
        </w:rPr>
        <w:t>y</w:t>
      </w:r>
      <w:r w:rsidRPr="00FD1586">
        <w:rPr>
          <w:rFonts w:ascii="Century Gothic" w:hAnsi="Century Gothic"/>
          <w:sz w:val="20"/>
          <w:szCs w:val="20"/>
        </w:rPr>
        <w:t xml:space="preserve"> pleśni i drożdży oraz obecnoś</w:t>
      </w:r>
      <w:r w:rsidR="008926B4">
        <w:rPr>
          <w:rFonts w:ascii="Century Gothic" w:hAnsi="Century Gothic"/>
          <w:sz w:val="20"/>
          <w:szCs w:val="20"/>
        </w:rPr>
        <w:t>ci</w:t>
      </w:r>
      <w:r w:rsidRPr="00FD1586">
        <w:rPr>
          <w:rFonts w:ascii="Century Gothic" w:hAnsi="Century Gothic"/>
          <w:sz w:val="20"/>
          <w:szCs w:val="20"/>
        </w:rPr>
        <w:t xml:space="preserve"> patogenów </w:t>
      </w:r>
      <w:proofErr w:type="spellStart"/>
      <w:r w:rsidRPr="00FD1586">
        <w:rPr>
          <w:rFonts w:ascii="Century Gothic" w:hAnsi="Century Gothic"/>
          <w:i/>
          <w:sz w:val="20"/>
          <w:szCs w:val="20"/>
        </w:rPr>
        <w:t>Listeria</w:t>
      </w:r>
      <w:proofErr w:type="spellEnd"/>
      <w:r w:rsidRPr="00FD1586">
        <w:rPr>
          <w:rFonts w:ascii="Century Gothic" w:hAnsi="Century Gothic"/>
          <w:i/>
          <w:sz w:val="20"/>
          <w:szCs w:val="20"/>
        </w:rPr>
        <w:t xml:space="preserve"> </w:t>
      </w:r>
      <w:proofErr w:type="spellStart"/>
      <w:r w:rsidRPr="00FD1586">
        <w:rPr>
          <w:rFonts w:ascii="Century Gothic" w:hAnsi="Century Gothic"/>
          <w:i/>
          <w:sz w:val="20"/>
          <w:szCs w:val="20"/>
        </w:rPr>
        <w:t>monocytogenes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 (obecność w 25 g) oraz obecność </w:t>
      </w:r>
      <w:r w:rsidRPr="00FD1586">
        <w:rPr>
          <w:rFonts w:ascii="Century Gothic" w:hAnsi="Century Gothic"/>
          <w:i/>
          <w:sz w:val="20"/>
          <w:szCs w:val="20"/>
        </w:rPr>
        <w:t xml:space="preserve">Salmonella </w:t>
      </w:r>
      <w:proofErr w:type="spellStart"/>
      <w:r w:rsidRPr="00FD1586">
        <w:rPr>
          <w:rFonts w:ascii="Century Gothic" w:hAnsi="Century Gothic"/>
          <w:i/>
          <w:sz w:val="20"/>
          <w:szCs w:val="20"/>
        </w:rPr>
        <w:t>spp</w:t>
      </w:r>
      <w:proofErr w:type="spellEnd"/>
      <w:r w:rsidRPr="00FD1586">
        <w:rPr>
          <w:rFonts w:ascii="Century Gothic" w:hAnsi="Century Gothic"/>
          <w:sz w:val="20"/>
          <w:szCs w:val="20"/>
        </w:rPr>
        <w:t>. (obecność w 25 g)  i analizie sensorycznej.</w:t>
      </w:r>
    </w:p>
    <w:p w14:paraId="1EF4B5E3" w14:textId="465689E2" w:rsidR="00CC1764" w:rsidRPr="00FD1586" w:rsidRDefault="00A744B8" w:rsidP="00B87B42">
      <w:pPr>
        <w:spacing w:afterLines="40" w:after="96" w:line="360" w:lineRule="auto"/>
        <w:ind w:left="57" w:right="113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Powyższe badania należy wykonać zgodnie z </w:t>
      </w:r>
      <w:r w:rsidR="003F518A">
        <w:rPr>
          <w:rFonts w:ascii="Century Gothic" w:hAnsi="Century Gothic"/>
          <w:sz w:val="20"/>
          <w:szCs w:val="20"/>
        </w:rPr>
        <w:t>następującymi metodami:</w:t>
      </w:r>
    </w:p>
    <w:p w14:paraId="114AEC02" w14:textId="77777777" w:rsidR="003F518A" w:rsidRPr="00B87B42" w:rsidRDefault="003F518A" w:rsidP="00B87B42">
      <w:pPr>
        <w:pStyle w:val="Akapitzlist"/>
        <w:spacing w:line="276" w:lineRule="auto"/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</w:pPr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Horyzontalna metoda oznaczania liczby drobnoustrojów (zgodnie z PN-EN ISO 4833-1:2013-12)</w:t>
      </w:r>
    </w:p>
    <w:p w14:paraId="024CD023" w14:textId="77777777" w:rsidR="003F518A" w:rsidRPr="00B87B42" w:rsidRDefault="003F518A" w:rsidP="003F518A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</w:pPr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Horyzontalna metoda oznaczania liczby beta-</w:t>
      </w:r>
      <w:proofErr w:type="spellStart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glukuronidazo</w:t>
      </w:r>
      <w:proofErr w:type="spellEnd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-dodatnich Escherichia coli (zgodnie z PN-ISO 16649-2:2004)</w:t>
      </w:r>
    </w:p>
    <w:p w14:paraId="57D98629" w14:textId="77777777" w:rsidR="003F518A" w:rsidRPr="00B87B42" w:rsidRDefault="003F518A" w:rsidP="003F518A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</w:pPr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Horyzontalna metoda oznaczania liczby drożdży i pleśni (zgodnie z PN-ISO 21527-1:2009)</w:t>
      </w:r>
    </w:p>
    <w:p w14:paraId="4EFCBC9F" w14:textId="77777777" w:rsidR="003F518A" w:rsidRPr="00B87B42" w:rsidRDefault="003F518A" w:rsidP="003F518A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</w:pPr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 xml:space="preserve">Horyzontalna metoda wykrywania i oznaczania liczby </w:t>
      </w:r>
      <w:proofErr w:type="spellStart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Listeria</w:t>
      </w:r>
      <w:proofErr w:type="spellEnd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 xml:space="preserve"> </w:t>
      </w:r>
      <w:proofErr w:type="spellStart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monocytogenes</w:t>
      </w:r>
      <w:proofErr w:type="spellEnd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 xml:space="preserve"> i innych </w:t>
      </w:r>
      <w:proofErr w:type="spellStart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Listeria</w:t>
      </w:r>
      <w:proofErr w:type="spellEnd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 xml:space="preserve"> </w:t>
      </w:r>
      <w:proofErr w:type="spellStart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spp</w:t>
      </w:r>
      <w:proofErr w:type="spellEnd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. (zgodnie z PN-EN ISO 11290-1:2017-07)</w:t>
      </w:r>
    </w:p>
    <w:p w14:paraId="50DCF58E" w14:textId="77777777" w:rsidR="003F518A" w:rsidRPr="00B87B42" w:rsidRDefault="003F518A" w:rsidP="003F518A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</w:pPr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 xml:space="preserve">Horyzontalna metoda wykrywania, oznaczania liczby i </w:t>
      </w:r>
      <w:proofErr w:type="spellStart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>serotypowania</w:t>
      </w:r>
      <w:proofErr w:type="spellEnd"/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 xml:space="preserve"> Salmonella (zgodnie z PN-EN ISO 6579-1:2017-04)</w:t>
      </w:r>
    </w:p>
    <w:p w14:paraId="47C5219A" w14:textId="77777777" w:rsidR="003F518A" w:rsidRPr="00B87B42" w:rsidRDefault="003F518A" w:rsidP="003F518A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</w:pPr>
      <w:r w:rsidRPr="00B87B42">
        <w:rPr>
          <w:rFonts w:ascii="Century Gothic" w:hAnsi="Century Gothic" w:cs="Arial"/>
          <w:color w:val="2F2F2F"/>
          <w:sz w:val="20"/>
          <w:szCs w:val="20"/>
          <w:shd w:val="clear" w:color="auto" w:fill="FFFFFF"/>
        </w:rPr>
        <w:t xml:space="preserve">Analiza sensoryczna wykonana metodą prostego testu opisowego. </w:t>
      </w:r>
    </w:p>
    <w:p w14:paraId="5DD1E69F" w14:textId="6B783D76" w:rsidR="00CC1764" w:rsidRPr="00FD1586" w:rsidRDefault="00CC1764" w:rsidP="00B87B42">
      <w:pPr>
        <w:pStyle w:val="Akapitzlist"/>
        <w:numPr>
          <w:ilvl w:val="0"/>
          <w:numId w:val="1"/>
        </w:numPr>
        <w:suppressAutoHyphens w:val="0"/>
        <w:spacing w:afterLines="40" w:after="96" w:line="360" w:lineRule="auto"/>
        <w:ind w:left="57" w:right="113"/>
        <w:jc w:val="both"/>
        <w:textAlignment w:val="auto"/>
        <w:rPr>
          <w:rFonts w:ascii="Century Gothic" w:hAnsi="Century Gothic"/>
          <w:sz w:val="20"/>
          <w:szCs w:val="20"/>
        </w:rPr>
      </w:pPr>
    </w:p>
    <w:p w14:paraId="58893D8C" w14:textId="77777777" w:rsidR="00CC1764" w:rsidRPr="00FD1586" w:rsidRDefault="00CC1764">
      <w:pPr>
        <w:pStyle w:val="Akapitzlist"/>
        <w:suppressAutoHyphens w:val="0"/>
        <w:spacing w:after="0"/>
        <w:textAlignment w:val="auto"/>
        <w:rPr>
          <w:rFonts w:ascii="Century Gothic" w:hAnsi="Century Gothic"/>
          <w:sz w:val="20"/>
          <w:szCs w:val="20"/>
        </w:rPr>
      </w:pPr>
    </w:p>
    <w:p w14:paraId="240B1142" w14:textId="77777777" w:rsidR="00CC1764" w:rsidRPr="00FD1586" w:rsidRDefault="00A744B8">
      <w:pPr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Przewiduje się wykonanie następującej ilości badań:</w:t>
      </w:r>
    </w:p>
    <w:p w14:paraId="57A1CBF2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Oznaczenie ogólnej ilości drobnoustrojów - 480 badań</w:t>
      </w:r>
    </w:p>
    <w:p w14:paraId="7519DAE1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Liczby Beta-</w:t>
      </w:r>
      <w:proofErr w:type="spellStart"/>
      <w:r w:rsidRPr="00FD1586">
        <w:rPr>
          <w:rFonts w:ascii="Century Gothic" w:hAnsi="Century Gothic"/>
          <w:sz w:val="20"/>
          <w:szCs w:val="20"/>
        </w:rPr>
        <w:t>glukoronidazo</w:t>
      </w:r>
      <w:proofErr w:type="spellEnd"/>
      <w:r w:rsidRPr="00FD1586">
        <w:rPr>
          <w:rFonts w:ascii="Century Gothic" w:hAnsi="Century Gothic"/>
          <w:sz w:val="20"/>
          <w:szCs w:val="20"/>
        </w:rPr>
        <w:t>-dodatnich Escherichia coli – 480 badań</w:t>
      </w:r>
    </w:p>
    <w:p w14:paraId="7BEECD04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Liczby pleśni i drożdży – 480 badań</w:t>
      </w:r>
    </w:p>
    <w:p w14:paraId="133C0638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Obecność patogenów </w:t>
      </w:r>
      <w:proofErr w:type="spellStart"/>
      <w:r w:rsidRPr="00FD1586">
        <w:rPr>
          <w:rFonts w:ascii="Century Gothic" w:hAnsi="Century Gothic"/>
          <w:sz w:val="20"/>
          <w:szCs w:val="20"/>
        </w:rPr>
        <w:t>Listeria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FD1586">
        <w:rPr>
          <w:rFonts w:ascii="Century Gothic" w:hAnsi="Century Gothic"/>
          <w:sz w:val="20"/>
          <w:szCs w:val="20"/>
        </w:rPr>
        <w:t>monocytogenes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(obecność w 25 g)</w:t>
      </w:r>
      <w:r w:rsidRPr="00FD1586">
        <w:rPr>
          <w:rFonts w:ascii="Century Gothic" w:hAnsi="Century Gothic"/>
          <w:i/>
          <w:sz w:val="20"/>
          <w:szCs w:val="20"/>
        </w:rPr>
        <w:t xml:space="preserve"> </w:t>
      </w:r>
      <w:r w:rsidRPr="00FD1586">
        <w:rPr>
          <w:rFonts w:ascii="Century Gothic" w:hAnsi="Century Gothic"/>
          <w:sz w:val="20"/>
          <w:szCs w:val="20"/>
        </w:rPr>
        <w:t>– 120 badań</w:t>
      </w:r>
    </w:p>
    <w:p w14:paraId="00C75E40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Obecność Salmonella </w:t>
      </w:r>
      <w:proofErr w:type="spellStart"/>
      <w:r w:rsidRPr="00FD1586">
        <w:rPr>
          <w:rFonts w:ascii="Century Gothic" w:hAnsi="Century Gothic"/>
          <w:sz w:val="20"/>
          <w:szCs w:val="20"/>
        </w:rPr>
        <w:t>spp</w:t>
      </w:r>
      <w:proofErr w:type="spellEnd"/>
      <w:r w:rsidRPr="00FD1586">
        <w:rPr>
          <w:rFonts w:ascii="Century Gothic" w:hAnsi="Century Gothic"/>
          <w:sz w:val="20"/>
          <w:szCs w:val="20"/>
        </w:rPr>
        <w:t>. (obecność w 25 g)</w:t>
      </w:r>
      <w:r w:rsidRPr="00FD1586">
        <w:rPr>
          <w:rFonts w:ascii="Century Gothic" w:hAnsi="Century Gothic"/>
          <w:i/>
          <w:sz w:val="20"/>
          <w:szCs w:val="20"/>
        </w:rPr>
        <w:t xml:space="preserve"> </w:t>
      </w:r>
      <w:r w:rsidRPr="00FD1586">
        <w:rPr>
          <w:rFonts w:ascii="Century Gothic" w:hAnsi="Century Gothic"/>
          <w:sz w:val="20"/>
          <w:szCs w:val="20"/>
        </w:rPr>
        <w:t>– 120 badań</w:t>
      </w:r>
    </w:p>
    <w:p w14:paraId="7B7770CC" w14:textId="77777777" w:rsidR="00CC1764" w:rsidRPr="00B87B42" w:rsidRDefault="00A744B8">
      <w:pPr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/>
          <w:sz w:val="20"/>
          <w:szCs w:val="20"/>
        </w:rPr>
        <w:t>Analiza sensoryczna – test prosty opisowy – 336 badań</w:t>
      </w:r>
    </w:p>
    <w:p w14:paraId="302F411E" w14:textId="77777777" w:rsidR="00CC1764" w:rsidRPr="00B87B42" w:rsidRDefault="00A744B8">
      <w:pPr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/>
          <w:sz w:val="20"/>
          <w:szCs w:val="20"/>
        </w:rPr>
        <w:t>Czas realizacji badań do 7 dni roboczych od odebrania próbki do badania.</w:t>
      </w:r>
    </w:p>
    <w:p w14:paraId="1FE1D66B" w14:textId="77777777" w:rsidR="00CC1764" w:rsidRPr="00FD1586" w:rsidRDefault="00CC1764">
      <w:pPr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35EB9B64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b/>
          <w:sz w:val="20"/>
          <w:szCs w:val="20"/>
          <w:u w:val="single"/>
          <w:lang w:eastAsia="pl-PL"/>
        </w:rPr>
        <w:t>Badania fizykochemiczne wyrobów gotowych</w:t>
      </w:r>
      <w:r w:rsidRPr="00FD1586">
        <w:rPr>
          <w:rFonts w:ascii="Century Gothic" w:eastAsia="Times New Roman" w:hAnsi="Century Gothic" w:cs="Calibri"/>
          <w:sz w:val="20"/>
          <w:szCs w:val="20"/>
          <w:u w:val="single"/>
          <w:lang w:eastAsia="pl-PL"/>
        </w:rPr>
        <w:t xml:space="preserve"> </w:t>
      </w:r>
    </w:p>
    <w:p w14:paraId="648C554B" w14:textId="7304E10D" w:rsidR="00855DFE" w:rsidRPr="00B87B42" w:rsidRDefault="00855DFE" w:rsidP="00B87B42">
      <w:pPr>
        <w:spacing w:after="0" w:line="360" w:lineRule="auto"/>
        <w:rPr>
          <w:rFonts w:ascii="Century Gothic" w:hAnsi="Century Gothic" w:cs="Calibri"/>
          <w:iCs/>
          <w:color w:val="000000"/>
          <w:spacing w:val="-1"/>
          <w:w w:val="90"/>
          <w:sz w:val="20"/>
          <w:szCs w:val="20"/>
        </w:rPr>
      </w:pPr>
      <w:r w:rsidRPr="00B87B42">
        <w:rPr>
          <w:rFonts w:ascii="Century Gothic" w:hAnsi="Century Gothic" w:cs="Calibri"/>
          <w:iCs/>
          <w:color w:val="000000"/>
          <w:spacing w:val="-1"/>
          <w:w w:val="90"/>
          <w:sz w:val="20"/>
          <w:szCs w:val="20"/>
        </w:rPr>
        <w:t>B</w:t>
      </w:r>
      <w:r w:rsidRPr="00B87B42">
        <w:rPr>
          <w:rFonts w:ascii="Century Gothic" w:hAnsi="Century Gothic" w:cs="Calibri"/>
          <w:iCs/>
          <w:color w:val="000000"/>
          <w:sz w:val="20"/>
          <w:szCs w:val="20"/>
        </w:rPr>
        <w:t>adanie polega na oznaczeniu zawartości białka, soli, sodu, tłuszcz</w:t>
      </w:r>
      <w:r w:rsidR="00FC722C">
        <w:rPr>
          <w:rFonts w:ascii="Century Gothic" w:hAnsi="Century Gothic" w:cs="Calibri"/>
          <w:iCs/>
          <w:color w:val="000000"/>
          <w:sz w:val="20"/>
          <w:szCs w:val="20"/>
        </w:rPr>
        <w:t>u</w:t>
      </w:r>
      <w:r w:rsidRPr="00B87B42">
        <w:rPr>
          <w:rFonts w:ascii="Century Gothic" w:hAnsi="Century Gothic" w:cs="Calibri"/>
          <w:iCs/>
          <w:color w:val="000000"/>
          <w:sz w:val="20"/>
          <w:szCs w:val="20"/>
        </w:rPr>
        <w:t xml:space="preserve"> w tym kwasów tłuszczowych nasyconych, węglowodanów w tym cukrów, błonnika, wody  i wyliczeniu na podstawie tego wartości odżywczej i energetycznej w 100 g gotowego wyrobu.</w:t>
      </w:r>
      <w:r w:rsidRPr="00B87B42">
        <w:rPr>
          <w:rFonts w:ascii="Century Gothic" w:hAnsi="Century Gothic" w:cs="Calibri"/>
          <w:iCs/>
          <w:color w:val="000000"/>
          <w:spacing w:val="-1"/>
          <w:w w:val="90"/>
          <w:sz w:val="20"/>
          <w:szCs w:val="20"/>
        </w:rPr>
        <w:t xml:space="preserve"> </w:t>
      </w:r>
    </w:p>
    <w:p w14:paraId="01BEBB8A" w14:textId="76B11142" w:rsidR="00CC1764" w:rsidRPr="000C6314" w:rsidRDefault="00A744B8" w:rsidP="00B87B42">
      <w:pPr>
        <w:spacing w:after="0" w:line="360" w:lineRule="auto"/>
        <w:rPr>
          <w:rFonts w:ascii="Century Gothic" w:hAnsi="Century Gothic"/>
          <w:iCs/>
          <w:sz w:val="20"/>
          <w:szCs w:val="20"/>
        </w:rPr>
      </w:pPr>
      <w:r w:rsidRPr="008926B4">
        <w:rPr>
          <w:rFonts w:ascii="Century Gothic" w:hAnsi="Century Gothic"/>
          <w:iCs/>
          <w:sz w:val="20"/>
          <w:szCs w:val="20"/>
        </w:rPr>
        <w:t>Wyliczenie wartości odżywczej /energetycznej  w 100 g gotowego wyrobu zgodnie z wymaganiami Rozporządzenia (UE) 1169/2011.</w:t>
      </w:r>
    </w:p>
    <w:p w14:paraId="0D2D50C3" w14:textId="77777777" w:rsidR="00CC1764" w:rsidRPr="00FD1586" w:rsidRDefault="00CC1764">
      <w:pPr>
        <w:rPr>
          <w:rFonts w:ascii="Century Gothic" w:hAnsi="Century Gothic"/>
          <w:sz w:val="20"/>
          <w:szCs w:val="20"/>
        </w:rPr>
      </w:pPr>
    </w:p>
    <w:p w14:paraId="1E800217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Przewiduje się wykonanie następującej ilości badań/oznaczeń:</w:t>
      </w:r>
    </w:p>
    <w:p w14:paraId="2FDCEE22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zawartości białka – 346 oznaczeń zawartości</w:t>
      </w:r>
    </w:p>
    <w:p w14:paraId="49A86B60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soli z wyliczenia – 346 oznaczeń zawartości</w:t>
      </w:r>
    </w:p>
    <w:p w14:paraId="5D2C1BFA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sodu – 346 oznaczeń zawartości</w:t>
      </w:r>
    </w:p>
    <w:p w14:paraId="003A1CBE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tłuszczów – 346 oznaczeń zawartości</w:t>
      </w:r>
    </w:p>
    <w:p w14:paraId="506D4D1C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tłuszczów nasyconych – 346 oznaczeń zawartości</w:t>
      </w:r>
    </w:p>
    <w:p w14:paraId="0C340BD6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węglowodanów – 346 oznaczeń zawartości</w:t>
      </w:r>
    </w:p>
    <w:p w14:paraId="43B6B861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cukrów – 346 oznaczeń zawartości</w:t>
      </w:r>
    </w:p>
    <w:p w14:paraId="53CC3E73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błonnika –346 oznaczeń zawartości</w:t>
      </w:r>
    </w:p>
    <w:p w14:paraId="5D849A1E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wody –346 oznaczeń zawartości</w:t>
      </w:r>
    </w:p>
    <w:p w14:paraId="431950A8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wyliczeniu wartości odżywczych/energetycznej w 100 g gotowego wyrobu -346 oznaczeń zawartości</w:t>
      </w:r>
    </w:p>
    <w:p w14:paraId="3D381C1E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Czas realizacji badań/oznaczeń do 10 dni roboczych od odebrania próbki do badania.</w:t>
      </w:r>
    </w:p>
    <w:p w14:paraId="2C9B71A2" w14:textId="77777777" w:rsidR="00CC1764" w:rsidRPr="00FD1586" w:rsidRDefault="00CC1764">
      <w:pPr>
        <w:rPr>
          <w:rFonts w:ascii="Century Gothic" w:hAnsi="Century Gothic"/>
          <w:i/>
          <w:sz w:val="20"/>
          <w:szCs w:val="20"/>
        </w:rPr>
      </w:pPr>
    </w:p>
    <w:p w14:paraId="6263194F" w14:textId="77777777" w:rsidR="00CC1764" w:rsidRPr="00FD1586" w:rsidRDefault="00CC1764">
      <w:pPr>
        <w:rPr>
          <w:rFonts w:ascii="Century Gothic" w:hAnsi="Century Gothic"/>
          <w:i/>
          <w:sz w:val="20"/>
          <w:szCs w:val="20"/>
        </w:rPr>
      </w:pPr>
    </w:p>
    <w:p w14:paraId="0ECED427" w14:textId="77777777" w:rsidR="00CC1764" w:rsidRPr="008926B4" w:rsidRDefault="00A744B8" w:rsidP="00B87B42">
      <w:pPr>
        <w:spacing w:after="0" w:line="360" w:lineRule="auto"/>
        <w:rPr>
          <w:rFonts w:ascii="Century Gothic" w:eastAsia="Times New Roman" w:hAnsi="Century Gothic" w:cs="Calibri"/>
          <w:b/>
          <w:sz w:val="20"/>
          <w:szCs w:val="20"/>
          <w:u w:val="single"/>
          <w:lang w:eastAsia="pl-PL"/>
        </w:rPr>
      </w:pPr>
      <w:r w:rsidRPr="008926B4">
        <w:rPr>
          <w:rFonts w:ascii="Century Gothic" w:eastAsia="Times New Roman" w:hAnsi="Century Gothic" w:cs="Calibri"/>
          <w:b/>
          <w:sz w:val="20"/>
          <w:szCs w:val="20"/>
          <w:u w:val="single"/>
          <w:lang w:eastAsia="pl-PL"/>
        </w:rPr>
        <w:t>Oznaczenie witamin i mikroelementów</w:t>
      </w:r>
    </w:p>
    <w:p w14:paraId="2FAD9796" w14:textId="77777777" w:rsidR="00CC1764" w:rsidRPr="008926B4" w:rsidRDefault="00A744B8" w:rsidP="00B87B42">
      <w:pPr>
        <w:spacing w:after="0" w:line="360" w:lineRule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/>
          <w:sz w:val="20"/>
          <w:szCs w:val="20"/>
        </w:rPr>
        <w:t xml:space="preserve">Badanie polega na oznaczeniu zawartości w wyrobach gotowych: witaminy A, witaminy C, witaminy B6, witaminy B2, witaminy B5, witaminy B1, wolnej </w:t>
      </w:r>
      <w:proofErr w:type="spellStart"/>
      <w:r w:rsidRPr="00B87B42">
        <w:rPr>
          <w:rFonts w:ascii="Century Gothic" w:hAnsi="Century Gothic"/>
          <w:sz w:val="20"/>
          <w:szCs w:val="20"/>
        </w:rPr>
        <w:t>anseryny</w:t>
      </w:r>
      <w:proofErr w:type="spellEnd"/>
      <w:r w:rsidRPr="00B87B42">
        <w:rPr>
          <w:rFonts w:ascii="Century Gothic" w:hAnsi="Century Gothic"/>
          <w:sz w:val="20"/>
          <w:szCs w:val="20"/>
        </w:rPr>
        <w:t xml:space="preserve">, wolnej </w:t>
      </w:r>
      <w:proofErr w:type="spellStart"/>
      <w:r w:rsidRPr="00B87B42">
        <w:rPr>
          <w:rFonts w:ascii="Century Gothic" w:hAnsi="Century Gothic"/>
          <w:sz w:val="20"/>
          <w:szCs w:val="20"/>
        </w:rPr>
        <w:t>karnozyny</w:t>
      </w:r>
      <w:proofErr w:type="spellEnd"/>
      <w:r w:rsidRPr="00B87B42">
        <w:rPr>
          <w:rFonts w:ascii="Century Gothic" w:hAnsi="Century Gothic"/>
          <w:sz w:val="20"/>
          <w:szCs w:val="20"/>
        </w:rPr>
        <w:t xml:space="preserve">, związków polifenolowych ogółem,  potencjału antyoksydacyjnego i produktów oksydacji, </w:t>
      </w:r>
      <w:proofErr w:type="spellStart"/>
      <w:r w:rsidRPr="00B87B42">
        <w:rPr>
          <w:rFonts w:ascii="Century Gothic" w:hAnsi="Century Gothic"/>
          <w:sz w:val="20"/>
          <w:szCs w:val="20"/>
        </w:rPr>
        <w:t>prebiotyczność</w:t>
      </w:r>
      <w:proofErr w:type="spellEnd"/>
      <w:r w:rsidRPr="00B87B42">
        <w:rPr>
          <w:rFonts w:ascii="Century Gothic" w:hAnsi="Century Gothic"/>
          <w:sz w:val="20"/>
          <w:szCs w:val="20"/>
        </w:rPr>
        <w:t xml:space="preserve"> – oznaczenie inuliny, </w:t>
      </w:r>
      <w:proofErr w:type="spellStart"/>
      <w:r w:rsidRPr="00B87B42">
        <w:rPr>
          <w:rFonts w:ascii="Century Gothic" w:hAnsi="Century Gothic"/>
          <w:sz w:val="20"/>
          <w:szCs w:val="20"/>
        </w:rPr>
        <w:t>akryloamidu</w:t>
      </w:r>
      <w:proofErr w:type="spellEnd"/>
      <w:r w:rsidRPr="00B87B42">
        <w:rPr>
          <w:rFonts w:ascii="Century Gothic" w:hAnsi="Century Gothic"/>
          <w:sz w:val="20"/>
          <w:szCs w:val="20"/>
        </w:rPr>
        <w:t>,  straty wartości odżywczej-</w:t>
      </w:r>
      <w:r w:rsidRPr="008926B4">
        <w:rPr>
          <w:rFonts w:ascii="Century Gothic" w:hAnsi="Century Gothic"/>
          <w:sz w:val="20"/>
          <w:szCs w:val="20"/>
        </w:rPr>
        <w:t xml:space="preserve">  </w:t>
      </w:r>
      <w:proofErr w:type="spellStart"/>
      <w:r w:rsidRPr="008926B4">
        <w:rPr>
          <w:rFonts w:ascii="Century Gothic" w:hAnsi="Century Gothic"/>
          <w:sz w:val="20"/>
          <w:szCs w:val="20"/>
        </w:rPr>
        <w:t>karboksmetylolizyna</w:t>
      </w:r>
      <w:proofErr w:type="spellEnd"/>
      <w:r w:rsidRPr="008926B4">
        <w:rPr>
          <w:rFonts w:ascii="Century Gothic" w:hAnsi="Century Gothic"/>
          <w:sz w:val="20"/>
          <w:szCs w:val="20"/>
        </w:rPr>
        <w:t xml:space="preserve">, </w:t>
      </w:r>
      <w:r w:rsidRPr="00B87B42">
        <w:rPr>
          <w:rFonts w:ascii="Century Gothic" w:hAnsi="Century Gothic"/>
          <w:sz w:val="20"/>
          <w:szCs w:val="20"/>
        </w:rPr>
        <w:t>wapnia, żelaza, tauryny,  innych mikroelementów (magnez, chrom, mangan, cynk, selen).</w:t>
      </w:r>
      <w:r w:rsidRPr="00B87B42">
        <w:rPr>
          <w:rFonts w:ascii="Century Gothic" w:hAnsi="Century Gothic"/>
          <w:sz w:val="20"/>
          <w:szCs w:val="20"/>
          <w:shd w:val="clear" w:color="auto" w:fill="FFFF00"/>
        </w:rPr>
        <w:t xml:space="preserve"> </w:t>
      </w:r>
    </w:p>
    <w:p w14:paraId="319D30E8" w14:textId="7EDAD5AB" w:rsidR="00CC1764" w:rsidRPr="00FD1586" w:rsidRDefault="00A744B8" w:rsidP="00B87B42">
      <w:pPr>
        <w:spacing w:after="0" w:line="360" w:lineRule="auto"/>
        <w:jc w:val="both"/>
        <w:rPr>
          <w:rFonts w:ascii="Century Gothic" w:eastAsia="Times New Roman" w:hAnsi="Century Gothic" w:cs="Calibri"/>
          <w:b/>
          <w:sz w:val="20"/>
          <w:szCs w:val="20"/>
          <w:u w:val="single"/>
          <w:lang w:eastAsia="pl-PL"/>
        </w:rPr>
      </w:pPr>
      <w:r w:rsidRPr="00FD1586">
        <w:rPr>
          <w:rFonts w:ascii="Century Gothic" w:eastAsia="Times New Roman" w:hAnsi="Century Gothic" w:cs="Calibri"/>
          <w:b/>
          <w:sz w:val="20"/>
          <w:szCs w:val="20"/>
          <w:u w:val="single"/>
          <w:lang w:eastAsia="pl-PL"/>
        </w:rPr>
        <w:t xml:space="preserve">Oznaczenie witamin i mikroelementów- metody </w:t>
      </w:r>
      <w:r w:rsidR="003F518A" w:rsidRPr="00FD1586">
        <w:rPr>
          <w:rFonts w:ascii="Century Gothic" w:eastAsia="Times New Roman" w:hAnsi="Century Gothic" w:cs="Calibri"/>
          <w:b/>
          <w:sz w:val="20"/>
          <w:szCs w:val="20"/>
          <w:u w:val="single"/>
          <w:lang w:eastAsia="pl-PL"/>
        </w:rPr>
        <w:t>badawcze</w:t>
      </w:r>
      <w:r w:rsidR="003F518A">
        <w:rPr>
          <w:rFonts w:ascii="Century Gothic" w:eastAsia="Times New Roman" w:hAnsi="Century Gothic" w:cs="Calibri"/>
          <w:b/>
          <w:sz w:val="20"/>
          <w:szCs w:val="20"/>
          <w:u w:val="single"/>
          <w:lang w:eastAsia="pl-PL"/>
        </w:rPr>
        <w:t>:</w:t>
      </w:r>
    </w:p>
    <w:p w14:paraId="7669FED5" w14:textId="2C44006D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witamin</w:t>
      </w:r>
      <w:r w:rsidR="003F518A">
        <w:rPr>
          <w:rFonts w:ascii="Century Gothic" w:hAnsi="Century Gothic" w:cs="Calibri"/>
          <w:sz w:val="20"/>
          <w:szCs w:val="20"/>
        </w:rPr>
        <w:t>a</w:t>
      </w:r>
      <w:r w:rsidRPr="00B87B42">
        <w:rPr>
          <w:rFonts w:ascii="Century Gothic" w:hAnsi="Century Gothic" w:cs="Calibri"/>
          <w:sz w:val="20"/>
          <w:szCs w:val="20"/>
        </w:rPr>
        <w:t xml:space="preserve"> A  (zgodnie z EN 12823-1 2014,  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oznaczanie witaminy A metodą wysokosprawnej chromatografii cieczowej</w:t>
      </w:r>
      <w:r w:rsidRPr="00B87B42">
        <w:rPr>
          <w:rFonts w:ascii="Century Gothic" w:hAnsi="Century Gothic" w:cs="Calibri"/>
          <w:sz w:val="20"/>
          <w:szCs w:val="20"/>
        </w:rPr>
        <w:t xml:space="preserve">) </w:t>
      </w:r>
    </w:p>
    <w:p w14:paraId="5B622751" w14:textId="47D12073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witamin</w:t>
      </w:r>
      <w:r w:rsidR="003F518A">
        <w:rPr>
          <w:rFonts w:ascii="Century Gothic" w:hAnsi="Century Gothic" w:cs="Calibri"/>
          <w:sz w:val="20"/>
          <w:szCs w:val="20"/>
        </w:rPr>
        <w:t>a</w:t>
      </w:r>
      <w:r w:rsidRPr="00B87B42">
        <w:rPr>
          <w:rFonts w:ascii="Century Gothic" w:hAnsi="Century Gothic" w:cs="Calibri"/>
          <w:sz w:val="20"/>
          <w:szCs w:val="20"/>
        </w:rPr>
        <w:t xml:space="preserve"> C </w:t>
      </w:r>
      <w:r w:rsidR="00D6039F" w:rsidRPr="00B87B42">
        <w:rPr>
          <w:rFonts w:ascii="Century Gothic" w:hAnsi="Century Gothic" w:cs="Calibri"/>
          <w:sz w:val="20"/>
          <w:szCs w:val="20"/>
        </w:rPr>
        <w:t>(</w:t>
      </w:r>
      <w:r w:rsidR="00D6039F" w:rsidRPr="00B87B42">
        <w:rPr>
          <w:rFonts w:ascii="Century Gothic" w:hAnsi="Century Gothic"/>
          <w:bCs/>
          <w:sz w:val="20"/>
          <w:szCs w:val="20"/>
        </w:rPr>
        <w:t>LC-DAD; 94 (2006) 626-631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, metoda chromatografii cieczowej)</w:t>
      </w:r>
    </w:p>
    <w:p w14:paraId="5F8B24AB" w14:textId="3CD6C73A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lastRenderedPageBreak/>
        <w:t>witamin</w:t>
      </w:r>
      <w:r w:rsidR="003F518A">
        <w:rPr>
          <w:rFonts w:ascii="Century Gothic" w:hAnsi="Century Gothic" w:cs="Calibri"/>
          <w:sz w:val="20"/>
          <w:szCs w:val="20"/>
        </w:rPr>
        <w:t>a</w:t>
      </w:r>
      <w:r w:rsidRPr="00B87B42">
        <w:rPr>
          <w:rFonts w:ascii="Century Gothic" w:hAnsi="Century Gothic" w:cs="Calibri"/>
          <w:sz w:val="20"/>
          <w:szCs w:val="20"/>
        </w:rPr>
        <w:t xml:space="preserve"> B6 (zgodnie z 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EN 14663:2006     </w:t>
      </w:r>
      <w:r w:rsidRPr="00B87B42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l-PL"/>
        </w:rPr>
        <w:t>lub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     PN-EN 14164:2014-08, Oznaczanie witaminy B6 metodą wysokosprawnej chromatografii cieczowej lub Oznaczanie zawartości witaminy B6 (łącznie z jej formami </w:t>
      </w:r>
      <w:proofErr w:type="spellStart"/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glikozylowanymi</w:t>
      </w:r>
      <w:proofErr w:type="spellEnd"/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) metodą HPLC)</w:t>
      </w:r>
    </w:p>
    <w:p w14:paraId="780A9094" w14:textId="16A5C1AE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witamin</w:t>
      </w:r>
      <w:r w:rsidR="003F518A">
        <w:rPr>
          <w:rFonts w:ascii="Century Gothic" w:hAnsi="Century Gothic" w:cs="Calibri"/>
          <w:sz w:val="20"/>
          <w:szCs w:val="20"/>
        </w:rPr>
        <w:t>a</w:t>
      </w:r>
      <w:r w:rsidRPr="00B87B42">
        <w:rPr>
          <w:rFonts w:ascii="Century Gothic" w:hAnsi="Century Gothic" w:cs="Calibri"/>
          <w:sz w:val="20"/>
          <w:szCs w:val="20"/>
        </w:rPr>
        <w:t xml:space="preserve"> B2 (zgodnie z EN 14152:2014 </w:t>
      </w:r>
      <w:proofErr w:type="spellStart"/>
      <w:r w:rsidRPr="00B87B42">
        <w:rPr>
          <w:rFonts w:ascii="Century Gothic" w:hAnsi="Century Gothic" w:cs="Calibri"/>
          <w:sz w:val="20"/>
          <w:szCs w:val="20"/>
        </w:rPr>
        <w:t>mod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>.,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 Oznaczanie witaminy B2 w wydajnej </w:t>
      </w:r>
      <w:proofErr w:type="spellStart"/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chromatografi</w:t>
      </w:r>
      <w:proofErr w:type="spellEnd"/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 cieczowej</w:t>
      </w:r>
      <w:r w:rsidRPr="00B87B42">
        <w:rPr>
          <w:rFonts w:ascii="Century Gothic" w:hAnsi="Century Gothic" w:cs="Calibri"/>
          <w:sz w:val="20"/>
          <w:szCs w:val="20"/>
        </w:rPr>
        <w:t xml:space="preserve">) </w:t>
      </w:r>
    </w:p>
    <w:p w14:paraId="48598383" w14:textId="7004003B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witamin</w:t>
      </w:r>
      <w:r w:rsidR="003F518A">
        <w:rPr>
          <w:rFonts w:ascii="Century Gothic" w:hAnsi="Century Gothic" w:cs="Calibri"/>
          <w:sz w:val="20"/>
          <w:szCs w:val="20"/>
        </w:rPr>
        <w:t>a</w:t>
      </w:r>
      <w:r w:rsidRPr="00B87B42">
        <w:rPr>
          <w:rFonts w:ascii="Century Gothic" w:hAnsi="Century Gothic" w:cs="Calibri"/>
          <w:sz w:val="20"/>
          <w:szCs w:val="20"/>
        </w:rPr>
        <w:t xml:space="preserve"> B5 (zgodnie z 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LC-MS, Chromatografia cieczowa ze spektrometrem masowym (LC-MS)</w:t>
      </w:r>
    </w:p>
    <w:p w14:paraId="2D171B46" w14:textId="6489D756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witamin</w:t>
      </w:r>
      <w:r w:rsidR="003F518A">
        <w:rPr>
          <w:rFonts w:ascii="Century Gothic" w:hAnsi="Century Gothic" w:cs="Calibri"/>
          <w:sz w:val="20"/>
          <w:szCs w:val="20"/>
        </w:rPr>
        <w:t>a</w:t>
      </w:r>
      <w:r w:rsidRPr="00B87B42">
        <w:rPr>
          <w:rFonts w:ascii="Century Gothic" w:hAnsi="Century Gothic" w:cs="Calibri"/>
          <w:sz w:val="20"/>
          <w:szCs w:val="20"/>
        </w:rPr>
        <w:t xml:space="preserve"> B1 (zgodnie z 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PN-EN 14122:2014-07, Oznaczanie witaminy B1 metodą wysokosprawnej chromatografii cieczowej)</w:t>
      </w:r>
    </w:p>
    <w:p w14:paraId="6A7E085F" w14:textId="1716DA7B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proofErr w:type="spellStart"/>
      <w:r w:rsidRPr="00B87B42">
        <w:rPr>
          <w:rFonts w:ascii="Century Gothic" w:hAnsi="Century Gothic" w:cs="Calibri"/>
          <w:sz w:val="20"/>
          <w:szCs w:val="20"/>
        </w:rPr>
        <w:t>anseryn</w:t>
      </w:r>
      <w:r w:rsidR="003F518A">
        <w:rPr>
          <w:rFonts w:ascii="Century Gothic" w:hAnsi="Century Gothic" w:cs="Calibri"/>
          <w:sz w:val="20"/>
          <w:szCs w:val="20"/>
        </w:rPr>
        <w:t>a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 xml:space="preserve"> (zgodnie z EN ISO 13903:2005 </w:t>
      </w:r>
      <w:proofErr w:type="spellStart"/>
      <w:r w:rsidRPr="00B87B42">
        <w:rPr>
          <w:rFonts w:ascii="Century Gothic" w:hAnsi="Century Gothic" w:cs="Calibri"/>
          <w:sz w:val="20"/>
          <w:szCs w:val="20"/>
        </w:rPr>
        <w:t>mod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>.,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Oznaczanie zawartości aminokwasów</w:t>
      </w:r>
      <w:r w:rsidRPr="00B87B42">
        <w:rPr>
          <w:rFonts w:ascii="Century Gothic" w:hAnsi="Century Gothic" w:cs="Calibri"/>
          <w:sz w:val="20"/>
          <w:szCs w:val="20"/>
        </w:rPr>
        <w:t>)</w:t>
      </w:r>
    </w:p>
    <w:p w14:paraId="00140A58" w14:textId="62C86B29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proofErr w:type="spellStart"/>
      <w:r w:rsidRPr="00B87B42">
        <w:rPr>
          <w:rFonts w:ascii="Century Gothic" w:hAnsi="Century Gothic" w:cs="Calibri"/>
          <w:sz w:val="20"/>
          <w:szCs w:val="20"/>
        </w:rPr>
        <w:t>karnozyn</w:t>
      </w:r>
      <w:r w:rsidR="003F518A">
        <w:rPr>
          <w:rFonts w:ascii="Century Gothic" w:hAnsi="Century Gothic" w:cs="Calibri"/>
          <w:sz w:val="20"/>
          <w:szCs w:val="20"/>
        </w:rPr>
        <w:t>a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 xml:space="preserve"> (zgodnie z EN ISO 13903:2005 </w:t>
      </w:r>
      <w:proofErr w:type="spellStart"/>
      <w:r w:rsidRPr="00B87B42">
        <w:rPr>
          <w:rFonts w:ascii="Century Gothic" w:hAnsi="Century Gothic" w:cs="Calibri"/>
          <w:sz w:val="20"/>
          <w:szCs w:val="20"/>
        </w:rPr>
        <w:t>mod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 xml:space="preserve">., 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>Oznaczanie zawartości aminokwasów</w:t>
      </w:r>
      <w:r w:rsidRPr="00B87B42">
        <w:rPr>
          <w:rFonts w:ascii="Century Gothic" w:hAnsi="Century Gothic" w:cs="Calibri"/>
          <w:sz w:val="20"/>
          <w:szCs w:val="20"/>
        </w:rPr>
        <w:t xml:space="preserve">) </w:t>
      </w:r>
    </w:p>
    <w:p w14:paraId="1BDD7FAD" w14:textId="2148E280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 w:cs="Calibri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związk</w:t>
      </w:r>
      <w:r w:rsidR="003F518A">
        <w:rPr>
          <w:rFonts w:ascii="Century Gothic" w:hAnsi="Century Gothic" w:cs="Calibri"/>
          <w:sz w:val="20"/>
          <w:szCs w:val="20"/>
        </w:rPr>
        <w:t>i</w:t>
      </w:r>
      <w:r w:rsidRPr="00B87B42">
        <w:rPr>
          <w:rFonts w:ascii="Century Gothic" w:hAnsi="Century Gothic" w:cs="Calibri"/>
          <w:sz w:val="20"/>
          <w:szCs w:val="20"/>
        </w:rPr>
        <w:t xml:space="preserve"> polifenolow</w:t>
      </w:r>
      <w:r w:rsidR="003F518A">
        <w:rPr>
          <w:rFonts w:ascii="Century Gothic" w:hAnsi="Century Gothic" w:cs="Calibri"/>
          <w:sz w:val="20"/>
          <w:szCs w:val="20"/>
        </w:rPr>
        <w:t>e</w:t>
      </w:r>
      <w:r w:rsidRPr="00B87B42">
        <w:rPr>
          <w:rFonts w:ascii="Century Gothic" w:hAnsi="Century Gothic" w:cs="Calibri"/>
          <w:sz w:val="20"/>
          <w:szCs w:val="20"/>
        </w:rPr>
        <w:t xml:space="preserve"> (metoda spektrometryczna)</w:t>
      </w:r>
    </w:p>
    <w:p w14:paraId="1B77E20C" w14:textId="443FC974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 w:cs="Calibri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potencjał antyoksydacyjn</w:t>
      </w:r>
      <w:r w:rsidR="003F518A">
        <w:rPr>
          <w:rFonts w:ascii="Century Gothic" w:hAnsi="Century Gothic" w:cs="Calibri"/>
          <w:sz w:val="20"/>
          <w:szCs w:val="20"/>
        </w:rPr>
        <w:t>y</w:t>
      </w:r>
      <w:r w:rsidRPr="00B87B42">
        <w:rPr>
          <w:rFonts w:ascii="Century Gothic" w:hAnsi="Century Gothic" w:cs="Calibri"/>
          <w:sz w:val="20"/>
          <w:szCs w:val="20"/>
        </w:rPr>
        <w:t xml:space="preserve"> i produkt</w:t>
      </w:r>
      <w:r w:rsidR="003F518A">
        <w:rPr>
          <w:rFonts w:ascii="Century Gothic" w:hAnsi="Century Gothic" w:cs="Calibri"/>
          <w:sz w:val="20"/>
          <w:szCs w:val="20"/>
        </w:rPr>
        <w:t>y</w:t>
      </w:r>
      <w:r w:rsidRPr="00B87B42">
        <w:rPr>
          <w:rFonts w:ascii="Century Gothic" w:hAnsi="Century Gothic" w:cs="Calibri"/>
          <w:sz w:val="20"/>
          <w:szCs w:val="20"/>
        </w:rPr>
        <w:t xml:space="preserve"> oksydacji (Test antyoksydacyjny ABTS)</w:t>
      </w:r>
    </w:p>
    <w:p w14:paraId="6127B170" w14:textId="77777777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proofErr w:type="spellStart"/>
      <w:r w:rsidRPr="00B87B42">
        <w:rPr>
          <w:rFonts w:ascii="Century Gothic" w:hAnsi="Century Gothic" w:cs="Calibri"/>
          <w:sz w:val="20"/>
          <w:szCs w:val="20"/>
        </w:rPr>
        <w:t>prebiotyczność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 xml:space="preserve"> (inulina) (zgodnie z 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HPAEC-PAD, Oznaczenie z wykorzystaniem wysokosprawnej chromatografii cieczowej</w:t>
      </w:r>
      <w:r w:rsidRPr="00B87B42">
        <w:rPr>
          <w:rFonts w:ascii="Century Gothic" w:hAnsi="Century Gothic" w:cs="Calibri"/>
          <w:sz w:val="20"/>
          <w:szCs w:val="20"/>
        </w:rPr>
        <w:t xml:space="preserve">) </w:t>
      </w:r>
    </w:p>
    <w:p w14:paraId="4ACEEFAD" w14:textId="77777777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proofErr w:type="spellStart"/>
      <w:r w:rsidRPr="00B87B42">
        <w:rPr>
          <w:rFonts w:ascii="Century Gothic" w:hAnsi="Century Gothic" w:cs="Calibri"/>
          <w:sz w:val="20"/>
          <w:szCs w:val="20"/>
        </w:rPr>
        <w:t>akryloamid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 xml:space="preserve"> (zgodnie z </w:t>
      </w:r>
      <w:proofErr w:type="spellStart"/>
      <w:r w:rsidRPr="00B87B42">
        <w:rPr>
          <w:rFonts w:ascii="Century Gothic" w:hAnsi="Century Gothic" w:cs="Calibri"/>
          <w:sz w:val="20"/>
          <w:szCs w:val="20"/>
        </w:rPr>
        <w:t>Internal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 xml:space="preserve"> LC-MS/MS,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 Chromatografia cieczowa z podwójną  spektrometrią mas</w:t>
      </w:r>
      <w:r w:rsidRPr="00B87B42">
        <w:rPr>
          <w:rFonts w:ascii="Century Gothic" w:hAnsi="Century Gothic" w:cs="Calibri"/>
          <w:sz w:val="20"/>
          <w:szCs w:val="20"/>
        </w:rPr>
        <w:t xml:space="preserve">) </w:t>
      </w:r>
    </w:p>
    <w:p w14:paraId="7FCD9F74" w14:textId="77777777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 xml:space="preserve">straty wartości odżywczej - </w:t>
      </w:r>
      <w:proofErr w:type="spellStart"/>
      <w:r w:rsidRPr="00B87B42">
        <w:rPr>
          <w:rFonts w:ascii="Century Gothic" w:hAnsi="Century Gothic" w:cs="Calibri"/>
          <w:sz w:val="20"/>
          <w:szCs w:val="20"/>
        </w:rPr>
        <w:t>k</w:t>
      </w:r>
      <w:r w:rsidRPr="00B87B42">
        <w:rPr>
          <w:rFonts w:ascii="Century Gothic" w:hAnsi="Century Gothic"/>
          <w:sz w:val="20"/>
          <w:szCs w:val="20"/>
        </w:rPr>
        <w:t>arboksmetylolizyna</w:t>
      </w:r>
      <w:proofErr w:type="spellEnd"/>
      <w:r w:rsidRPr="00B87B42">
        <w:rPr>
          <w:rFonts w:ascii="Century Gothic" w:hAnsi="Century Gothic" w:cs="Calibri"/>
          <w:sz w:val="20"/>
          <w:szCs w:val="20"/>
        </w:rPr>
        <w:t xml:space="preserve">  - test ELISA</w:t>
      </w:r>
    </w:p>
    <w:p w14:paraId="0E6B1CA8" w14:textId="77777777" w:rsidR="00CC1764" w:rsidRPr="00FD1586" w:rsidRDefault="00CC1764" w:rsidP="00B87B42">
      <w:pPr>
        <w:spacing w:after="0" w:line="360" w:lineRule="auto"/>
        <w:jc w:val="both"/>
        <w:textAlignment w:val="auto"/>
        <w:rPr>
          <w:rFonts w:ascii="Century Gothic" w:hAnsi="Century Gothic" w:cs="Calibri"/>
          <w:sz w:val="20"/>
          <w:szCs w:val="20"/>
        </w:rPr>
      </w:pPr>
    </w:p>
    <w:p w14:paraId="3E3701B8" w14:textId="5E20373D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wap</w:t>
      </w:r>
      <w:r w:rsidR="003F518A">
        <w:rPr>
          <w:rFonts w:ascii="Century Gothic" w:hAnsi="Century Gothic" w:cs="Calibri"/>
          <w:sz w:val="20"/>
          <w:szCs w:val="20"/>
        </w:rPr>
        <w:t>ń</w:t>
      </w:r>
      <w:r w:rsidRPr="00B87B42">
        <w:rPr>
          <w:rFonts w:ascii="Century Gothic" w:hAnsi="Century Gothic" w:cs="Calibri"/>
          <w:sz w:val="20"/>
          <w:szCs w:val="20"/>
        </w:rPr>
        <w:t xml:space="preserve"> (zgodnie z metodą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ICP-OES, metoda atomowej spektrometrii emisyjnej ze wzbudzeniem w plazmie indukowanej</w:t>
      </w:r>
      <w:r w:rsidRPr="00B87B42">
        <w:rPr>
          <w:rFonts w:ascii="Century Gothic" w:hAnsi="Century Gothic" w:cs="Calibri"/>
          <w:sz w:val="20"/>
          <w:szCs w:val="20"/>
        </w:rPr>
        <w:t xml:space="preserve"> ) </w:t>
      </w:r>
    </w:p>
    <w:p w14:paraId="5F49BB85" w14:textId="14F3FFAC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żelaz</w:t>
      </w:r>
      <w:r w:rsidR="003F518A">
        <w:rPr>
          <w:rFonts w:ascii="Century Gothic" w:hAnsi="Century Gothic" w:cs="Calibri"/>
          <w:sz w:val="20"/>
          <w:szCs w:val="20"/>
        </w:rPr>
        <w:t>o</w:t>
      </w:r>
      <w:r w:rsidRPr="00B87B42">
        <w:rPr>
          <w:rFonts w:ascii="Century Gothic" w:hAnsi="Century Gothic" w:cs="Calibri"/>
          <w:sz w:val="20"/>
          <w:szCs w:val="20"/>
        </w:rPr>
        <w:t xml:space="preserve"> (zgodnie z metodą 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>ICP-OES, metoda atomowej spektrometrii emisyjnej ze wzbudzeniem w plazmie indukowanej</w:t>
      </w:r>
      <w:r w:rsidRPr="00B87B42">
        <w:rPr>
          <w:rFonts w:ascii="Century Gothic" w:hAnsi="Century Gothic" w:cs="Calibri"/>
          <w:sz w:val="20"/>
          <w:szCs w:val="20"/>
        </w:rPr>
        <w:t xml:space="preserve">) </w:t>
      </w:r>
    </w:p>
    <w:p w14:paraId="2AABC8B1" w14:textId="6FA41B29" w:rsidR="00CC1764" w:rsidRPr="00B87B42" w:rsidRDefault="00A744B8" w:rsidP="00B87B42">
      <w:pPr>
        <w:spacing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tauryn</w:t>
      </w:r>
      <w:r w:rsidR="003F518A">
        <w:rPr>
          <w:rFonts w:ascii="Century Gothic" w:hAnsi="Century Gothic" w:cs="Calibri"/>
          <w:sz w:val="20"/>
          <w:szCs w:val="20"/>
        </w:rPr>
        <w:t>a</w:t>
      </w:r>
      <w:r w:rsidRPr="00B87B42">
        <w:rPr>
          <w:rFonts w:ascii="Century Gothic" w:hAnsi="Century Gothic" w:cs="Calibri"/>
          <w:sz w:val="20"/>
          <w:szCs w:val="20"/>
        </w:rPr>
        <w:t xml:space="preserve"> (zgodnie z </w:t>
      </w:r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EN ISO 13903:2005 </w:t>
      </w:r>
      <w:proofErr w:type="spellStart"/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mod</w:t>
      </w:r>
      <w:proofErr w:type="spellEnd"/>
      <w:r w:rsidRPr="00B87B42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., 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>Oznaczanie zawartości aminokwasów)</w:t>
      </w:r>
    </w:p>
    <w:p w14:paraId="5814ADB2" w14:textId="05B2DE26" w:rsidR="00CC1764" w:rsidRPr="00B87B42" w:rsidRDefault="00A744B8" w:rsidP="00B87B4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B87B42">
        <w:rPr>
          <w:rFonts w:ascii="Century Gothic" w:hAnsi="Century Gothic" w:cs="Calibri"/>
          <w:sz w:val="20"/>
          <w:szCs w:val="20"/>
        </w:rPr>
        <w:t>mikroelementy inne (magnez -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ICP-OES, metoda atomowej spektrometrii emisyjnej ze wzbudzeniem w plazmie indukowanej:</w:t>
      </w:r>
      <w:r w:rsidRPr="00B87B42">
        <w:rPr>
          <w:rFonts w:ascii="Century Gothic" w:hAnsi="Century Gothic" w:cs="Calibri"/>
          <w:sz w:val="20"/>
          <w:szCs w:val="20"/>
        </w:rPr>
        <w:t xml:space="preserve"> chrom -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ICP-MS, spektrometria mas sprzężona z plazmą wzbudzaną indukcyjnie;</w:t>
      </w:r>
      <w:r w:rsidRPr="00B87B42">
        <w:rPr>
          <w:rFonts w:ascii="Century Gothic" w:hAnsi="Century Gothic" w:cs="Calibri"/>
          <w:sz w:val="20"/>
          <w:szCs w:val="20"/>
        </w:rPr>
        <w:t xml:space="preserve"> mangan - 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>ICP-OES, metoda atomowej spektrometrii emisyjnej ze wzbudzeniem w plazmie indukowanej;</w:t>
      </w:r>
      <w:r w:rsidRPr="00B87B42">
        <w:rPr>
          <w:rFonts w:ascii="Century Gothic" w:hAnsi="Century Gothic" w:cs="Calibri"/>
          <w:sz w:val="20"/>
          <w:szCs w:val="20"/>
        </w:rPr>
        <w:t xml:space="preserve"> cynk -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F-AAS</w:t>
      </w:r>
      <w:r w:rsidRPr="00B87B42">
        <w:rPr>
          <w:rFonts w:ascii="Century Gothic" w:hAnsi="Century Gothic" w:cs="Calibri"/>
          <w:sz w:val="20"/>
          <w:szCs w:val="20"/>
        </w:rPr>
        <w:t xml:space="preserve">, 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>atomowa spektrometria absorpcyjna z atomizacją w płomieniu</w:t>
      </w:r>
      <w:r w:rsidRPr="00B87B42">
        <w:rPr>
          <w:rFonts w:ascii="Century Gothic" w:hAnsi="Century Gothic" w:cs="Calibri"/>
          <w:sz w:val="20"/>
          <w:szCs w:val="20"/>
        </w:rPr>
        <w:t>; selen -</w:t>
      </w:r>
      <w:r w:rsidRPr="00B87B42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ICP-MS, spektrometria mas sprzężona z plazmą wzbudzaną indukcyjnie</w:t>
      </w:r>
      <w:r w:rsidRPr="00B87B42">
        <w:rPr>
          <w:rFonts w:ascii="Century Gothic" w:hAnsi="Century Gothic" w:cs="Calibri"/>
          <w:sz w:val="20"/>
          <w:szCs w:val="20"/>
        </w:rPr>
        <w:t>) - 57 badań</w:t>
      </w:r>
    </w:p>
    <w:p w14:paraId="2C585ED5" w14:textId="77777777" w:rsidR="00CC1764" w:rsidRPr="00FD1586" w:rsidRDefault="00CC1764">
      <w:pPr>
        <w:rPr>
          <w:rFonts w:ascii="Century Gothic" w:hAnsi="Century Gothic"/>
          <w:sz w:val="20"/>
          <w:szCs w:val="20"/>
        </w:rPr>
      </w:pPr>
    </w:p>
    <w:p w14:paraId="553ACAB3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Przewiduje się wykonanie następującej ilości badań:</w:t>
      </w:r>
    </w:p>
    <w:p w14:paraId="4B7F0D25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witaminy A - 21 badań</w:t>
      </w:r>
    </w:p>
    <w:p w14:paraId="64280F4B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witaminy C - 21 badań</w:t>
      </w:r>
    </w:p>
    <w:p w14:paraId="6FDF9BB1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witaminy B6 - 21 badań</w:t>
      </w:r>
    </w:p>
    <w:p w14:paraId="7064C145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witaminy B2 - 21 badań</w:t>
      </w:r>
    </w:p>
    <w:p w14:paraId="64576A87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witaminy B5 - 21 badań</w:t>
      </w:r>
    </w:p>
    <w:p w14:paraId="089E9DA1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lastRenderedPageBreak/>
        <w:t>- witaminy B1 - 21 badań</w:t>
      </w:r>
    </w:p>
    <w:p w14:paraId="4811E222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- wolnej </w:t>
      </w:r>
      <w:proofErr w:type="spellStart"/>
      <w:r w:rsidRPr="00FD1586">
        <w:rPr>
          <w:rFonts w:ascii="Century Gothic" w:hAnsi="Century Gothic"/>
          <w:sz w:val="20"/>
          <w:szCs w:val="20"/>
        </w:rPr>
        <w:t>anseryny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- 21 badań</w:t>
      </w:r>
    </w:p>
    <w:p w14:paraId="711D187A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- wolnej </w:t>
      </w:r>
      <w:proofErr w:type="spellStart"/>
      <w:r w:rsidRPr="00FD1586">
        <w:rPr>
          <w:rFonts w:ascii="Century Gothic" w:hAnsi="Century Gothic"/>
          <w:sz w:val="20"/>
          <w:szCs w:val="20"/>
        </w:rPr>
        <w:t>karnozyny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- 21 badań</w:t>
      </w:r>
    </w:p>
    <w:p w14:paraId="0440F044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związków polifenolowych ogółem - 21 badań</w:t>
      </w:r>
    </w:p>
    <w:p w14:paraId="4A4E2291" w14:textId="4164C6F5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potencjał</w:t>
      </w:r>
      <w:r w:rsidR="000C6314">
        <w:rPr>
          <w:rFonts w:ascii="Century Gothic" w:hAnsi="Century Gothic"/>
          <w:sz w:val="20"/>
          <w:szCs w:val="20"/>
        </w:rPr>
        <w:t>u</w:t>
      </w:r>
      <w:r w:rsidRPr="00FD1586">
        <w:rPr>
          <w:rFonts w:ascii="Century Gothic" w:hAnsi="Century Gothic"/>
          <w:sz w:val="20"/>
          <w:szCs w:val="20"/>
        </w:rPr>
        <w:t xml:space="preserve"> antyoksydacyjnego i produktów oksydacji - 21 badań</w:t>
      </w:r>
    </w:p>
    <w:p w14:paraId="3290E18E" w14:textId="3A00FACC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- </w:t>
      </w:r>
      <w:proofErr w:type="spellStart"/>
      <w:r w:rsidRPr="00FD1586">
        <w:rPr>
          <w:rFonts w:ascii="Century Gothic" w:hAnsi="Century Gothic"/>
          <w:sz w:val="20"/>
          <w:szCs w:val="20"/>
        </w:rPr>
        <w:t>prebiotycznoś</w:t>
      </w:r>
      <w:r w:rsidR="000C6314">
        <w:rPr>
          <w:rFonts w:ascii="Century Gothic" w:hAnsi="Century Gothic"/>
          <w:sz w:val="20"/>
          <w:szCs w:val="20"/>
        </w:rPr>
        <w:t>ci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– oznaczenie inuliny - 21 badań</w:t>
      </w:r>
    </w:p>
    <w:p w14:paraId="7B29C5FF" w14:textId="59E6DD99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- </w:t>
      </w:r>
      <w:proofErr w:type="spellStart"/>
      <w:r w:rsidRPr="00FD1586">
        <w:rPr>
          <w:rFonts w:ascii="Century Gothic" w:hAnsi="Century Gothic"/>
          <w:sz w:val="20"/>
          <w:szCs w:val="20"/>
        </w:rPr>
        <w:t>akryloamid</w:t>
      </w:r>
      <w:r w:rsidR="000C6314">
        <w:rPr>
          <w:rFonts w:ascii="Century Gothic" w:hAnsi="Century Gothic"/>
          <w:sz w:val="20"/>
          <w:szCs w:val="20"/>
        </w:rPr>
        <w:t>u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- 21 badań</w:t>
      </w:r>
    </w:p>
    <w:p w14:paraId="0C9DB76F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straty wartości odżywczej-</w:t>
      </w:r>
      <w:r w:rsidRPr="00FD1586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FD1586">
        <w:rPr>
          <w:rFonts w:ascii="Century Gothic" w:hAnsi="Century Gothic" w:cs="Calibri"/>
          <w:sz w:val="20"/>
          <w:szCs w:val="20"/>
        </w:rPr>
        <w:t>k</w:t>
      </w:r>
      <w:r w:rsidRPr="00FD1586">
        <w:rPr>
          <w:rFonts w:ascii="Century Gothic" w:hAnsi="Century Gothic"/>
          <w:sz w:val="20"/>
          <w:szCs w:val="20"/>
        </w:rPr>
        <w:t>arboksmetylolizyna</w:t>
      </w:r>
      <w:proofErr w:type="spellEnd"/>
      <w:r w:rsidRPr="00FD1586">
        <w:rPr>
          <w:rFonts w:ascii="Century Gothic" w:hAnsi="Century Gothic"/>
          <w:sz w:val="20"/>
          <w:szCs w:val="20"/>
        </w:rPr>
        <w:t xml:space="preserve"> - 21 badań</w:t>
      </w:r>
    </w:p>
    <w:p w14:paraId="1992D11A" w14:textId="52A2374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wap</w:t>
      </w:r>
      <w:r w:rsidR="000C6314">
        <w:rPr>
          <w:rFonts w:ascii="Century Gothic" w:hAnsi="Century Gothic"/>
          <w:sz w:val="20"/>
          <w:szCs w:val="20"/>
        </w:rPr>
        <w:t>nia</w:t>
      </w:r>
      <w:r w:rsidRPr="00FD1586">
        <w:rPr>
          <w:rFonts w:ascii="Century Gothic" w:hAnsi="Century Gothic"/>
          <w:sz w:val="20"/>
          <w:szCs w:val="20"/>
        </w:rPr>
        <w:t xml:space="preserve"> - 57 badań</w:t>
      </w:r>
    </w:p>
    <w:p w14:paraId="306C99A1" w14:textId="342F9076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żelaz</w:t>
      </w:r>
      <w:r w:rsidR="000C6314">
        <w:rPr>
          <w:rFonts w:ascii="Century Gothic" w:hAnsi="Century Gothic"/>
          <w:sz w:val="20"/>
          <w:szCs w:val="20"/>
        </w:rPr>
        <w:t>a</w:t>
      </w:r>
      <w:r w:rsidRPr="00FD1586">
        <w:rPr>
          <w:rFonts w:ascii="Century Gothic" w:hAnsi="Century Gothic"/>
          <w:sz w:val="20"/>
          <w:szCs w:val="20"/>
        </w:rPr>
        <w:t xml:space="preserve"> - 57 badań</w:t>
      </w:r>
    </w:p>
    <w:p w14:paraId="514E7E65" w14:textId="1FC5C766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tauryn</w:t>
      </w:r>
      <w:r w:rsidR="000C6314">
        <w:rPr>
          <w:rFonts w:ascii="Century Gothic" w:hAnsi="Century Gothic"/>
          <w:sz w:val="20"/>
          <w:szCs w:val="20"/>
        </w:rPr>
        <w:t>y</w:t>
      </w:r>
      <w:r w:rsidRPr="00FD1586">
        <w:rPr>
          <w:rFonts w:ascii="Century Gothic" w:hAnsi="Century Gothic"/>
          <w:sz w:val="20"/>
          <w:szCs w:val="20"/>
        </w:rPr>
        <w:t xml:space="preserve"> - 21 badań</w:t>
      </w:r>
    </w:p>
    <w:p w14:paraId="4B53B86A" w14:textId="1908C2BC" w:rsidR="00CC1764" w:rsidRPr="00FD1586" w:rsidRDefault="00A744B8" w:rsidP="00B87B42">
      <w:pPr>
        <w:spacing w:after="0" w:line="360" w:lineRule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- mikroelement</w:t>
      </w:r>
      <w:r w:rsidR="003F518A">
        <w:rPr>
          <w:rFonts w:ascii="Century Gothic" w:hAnsi="Century Gothic"/>
          <w:sz w:val="20"/>
          <w:szCs w:val="20"/>
        </w:rPr>
        <w:t>ów</w:t>
      </w:r>
      <w:r w:rsidRPr="00FD1586">
        <w:rPr>
          <w:rFonts w:ascii="Century Gothic" w:hAnsi="Century Gothic"/>
          <w:sz w:val="20"/>
          <w:szCs w:val="20"/>
        </w:rPr>
        <w:t xml:space="preserve"> </w:t>
      </w:r>
      <w:r w:rsidR="003F518A" w:rsidRPr="00FD1586">
        <w:rPr>
          <w:rFonts w:ascii="Century Gothic" w:hAnsi="Century Gothic"/>
          <w:sz w:val="20"/>
          <w:szCs w:val="20"/>
        </w:rPr>
        <w:t>inn</w:t>
      </w:r>
      <w:r w:rsidR="003F518A">
        <w:rPr>
          <w:rFonts w:ascii="Century Gothic" w:hAnsi="Century Gothic"/>
          <w:sz w:val="20"/>
          <w:szCs w:val="20"/>
        </w:rPr>
        <w:t xml:space="preserve">ych </w:t>
      </w:r>
      <w:r w:rsidRPr="00FD1586">
        <w:rPr>
          <w:rFonts w:ascii="Century Gothic" w:hAnsi="Century Gothic"/>
          <w:sz w:val="20"/>
          <w:szCs w:val="20"/>
        </w:rPr>
        <w:t>(magnez - 11 badań, chrom -10  badań, mangan – 12 badań, cynk – 12 badań, selen- 12 badań)</w:t>
      </w:r>
    </w:p>
    <w:p w14:paraId="65D69E89" w14:textId="77777777" w:rsidR="00CC1764" w:rsidRPr="00FD1586" w:rsidRDefault="00CC1764" w:rsidP="00B87B42">
      <w:pPr>
        <w:spacing w:after="0" w:line="360" w:lineRule="auto"/>
        <w:rPr>
          <w:rFonts w:ascii="Century Gothic" w:hAnsi="Century Gothic"/>
          <w:sz w:val="20"/>
          <w:szCs w:val="20"/>
        </w:rPr>
      </w:pPr>
    </w:p>
    <w:p w14:paraId="758CDA6A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Czas realizacji badań/oznaczeń do 30 dni roboczych od odebrania próbki do badania.</w:t>
      </w:r>
    </w:p>
    <w:p w14:paraId="37A3FCE2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292944FE" w14:textId="77777777" w:rsidR="00CC1764" w:rsidRPr="00FD1586" w:rsidRDefault="00A744B8" w:rsidP="00B87B42">
      <w:pPr>
        <w:spacing w:after="0" w:line="360" w:lineRule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Badania smakowe konsumenckie</w:t>
      </w: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– ocena i wybór najlepszych opcji smakowych.</w:t>
      </w:r>
    </w:p>
    <w:p w14:paraId="2F48846A" w14:textId="77777777" w:rsidR="00CC1764" w:rsidRPr="00FD1586" w:rsidRDefault="00CC1764" w:rsidP="00B87B42">
      <w:pPr>
        <w:spacing w:after="0" w:line="36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0C0C9C92" w14:textId="17DB9C73" w:rsidR="00CC1764" w:rsidRPr="00FD1586" w:rsidRDefault="00A744B8" w:rsidP="00B87B42">
      <w:pPr>
        <w:spacing w:after="0" w:line="36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t>Badanie będzie polegało na porównaniu wypracowanych przekąsek roślinno-mięsnych i roślinnych  z wybranymi produktami kategorii przekąsek</w:t>
      </w:r>
      <w:r w:rsidR="003F518A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mięsnych </w:t>
      </w: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celem wybrania najlepszych opcji smakowych oraz zbadania preferencji konsumentów produktów  w ustalonej wcześniej grupie konsumentów o określonych wymaganiach (wiek, płeć). Wielkość badanej grupy –</w:t>
      </w:r>
      <w:r w:rsidR="003F518A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</w:t>
      </w: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t>60 osób. W pojedynczym badaniu testowanych będzie 6 produktów w ślepym teście (próbki zakodowane).</w:t>
      </w:r>
    </w:p>
    <w:p w14:paraId="5ADF3A25" w14:textId="77777777" w:rsidR="00CC1764" w:rsidRPr="00FD1586" w:rsidRDefault="00A744B8" w:rsidP="00B87B42">
      <w:pPr>
        <w:spacing w:after="0" w:line="36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t>Wykonawca musi opracować wspólnie ze zlecającym kwestionariusz badania, przygotować produkty do testu je zakodować, przeprowadzić badanie oraz zebrać i przeanalizować wyniki wraz z wnioskowaniem statystycznym, a na końcu przygotować raport w języku polskim w dokumencie pdf lub prezentacja Power Point. Prezentacja jako uzupełnienie dla potrzeb projektu.</w:t>
      </w:r>
    </w:p>
    <w:p w14:paraId="40C6849E" w14:textId="77777777" w:rsidR="00CC1764" w:rsidRPr="00FD1586" w:rsidRDefault="00CC1764" w:rsidP="00B87B42">
      <w:pPr>
        <w:spacing w:after="0" w:line="36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1ADA7FD0" w14:textId="77777777" w:rsidR="00CC1764" w:rsidRPr="00FD1586" w:rsidRDefault="00A744B8" w:rsidP="00B87B4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Przewiduje się wykonanie 24 badań</w:t>
      </w: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(24 badania a w każdym badaniu 6 produktów).</w:t>
      </w:r>
    </w:p>
    <w:p w14:paraId="4B65FCF1" w14:textId="77777777" w:rsidR="00CC1764" w:rsidRPr="00FD1586" w:rsidRDefault="00A744B8" w:rsidP="00B87B4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t>Czas realizacja – do 20 dni roboczych.</w:t>
      </w:r>
    </w:p>
    <w:p w14:paraId="22A5941A" w14:textId="77777777" w:rsidR="00CC1764" w:rsidRPr="00FD1586" w:rsidRDefault="00CC1764" w:rsidP="00B87B42">
      <w:pPr>
        <w:spacing w:after="0" w:line="36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452F6829" w14:textId="77777777" w:rsidR="00CC1764" w:rsidRPr="00FD1586" w:rsidRDefault="00A744B8" w:rsidP="00B87B4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Wytyczne do opracowania wyników wszystkich rodzajów badań</w:t>
      </w:r>
    </w:p>
    <w:p w14:paraId="46BBC802" w14:textId="77777777" w:rsidR="00CC1764" w:rsidRPr="00FD1586" w:rsidRDefault="00A744B8" w:rsidP="00B87B42">
      <w:pPr>
        <w:spacing w:before="120"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- Wszystkie wyniki i raporty z badań muszą być sporządzone w języku polskim i angielskim.</w:t>
      </w:r>
    </w:p>
    <w:p w14:paraId="0DBC997B" w14:textId="63967766" w:rsidR="00CC1764" w:rsidRPr="00FD1586" w:rsidRDefault="00A744B8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- Wyniki badań muszą być przekazywane w formie pisemnej z podpisami osób odpowiedzialnych. Dopuszczalne jest opracowanie raportów z podpisem elektronicznym. </w:t>
      </w:r>
      <w:r w:rsidRPr="00FD1586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lastRenderedPageBreak/>
        <w:t xml:space="preserve">Jako nieobowiązkowe uzupełnienie sposobu raportowania badań odbiorca ma możliwość śledzenia wyników badań w formie on-line poprzez logowanie się na tzw. platformie klienckiej. </w:t>
      </w:r>
    </w:p>
    <w:p w14:paraId="1758CE64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44F2897A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2790DB2C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7B34F641" w14:textId="77777777" w:rsidR="00CC1764" w:rsidRPr="00FD1586" w:rsidRDefault="00A744B8">
      <w:pPr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Wzory tabel podsumowujących wyniki badań</w:t>
      </w:r>
    </w:p>
    <w:p w14:paraId="39D8228F" w14:textId="77777777" w:rsidR="00CC1764" w:rsidRDefault="00A744B8">
      <w:r>
        <w:rPr>
          <w:noProof/>
          <w:lang w:eastAsia="pl-PL"/>
        </w:rPr>
        <w:drawing>
          <wp:inline distT="0" distB="0" distL="0" distR="0" wp14:anchorId="593300C1" wp14:editId="14B0C2CF">
            <wp:extent cx="5760720" cy="1161370"/>
            <wp:effectExtent l="19050" t="19050" r="11430" b="1973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1370"/>
                    </a:xfrm>
                    <a:prstGeom prst="rect">
                      <a:avLst/>
                    </a:prstGeom>
                    <a:noFill/>
                    <a:ln w="634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B2A709" w14:textId="77777777" w:rsidR="00CC1764" w:rsidRDefault="00A744B8">
      <w:pPr>
        <w:spacing w:after="0"/>
      </w:pPr>
      <w:r>
        <w:rPr>
          <w:noProof/>
          <w:lang w:eastAsia="pl-PL"/>
        </w:rPr>
        <w:drawing>
          <wp:inline distT="0" distB="0" distL="0" distR="0" wp14:anchorId="5C2E38BE" wp14:editId="7443BE0B">
            <wp:extent cx="6107149" cy="1017352"/>
            <wp:effectExtent l="19050" t="19050" r="26951" b="11348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7149" cy="1017352"/>
                    </a:xfrm>
                    <a:prstGeom prst="rect">
                      <a:avLst/>
                    </a:prstGeom>
                    <a:noFill/>
                    <a:ln w="634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7BECB00" w14:textId="77777777" w:rsidR="00CC1764" w:rsidRDefault="00CC176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1D7EAAD3" w14:textId="77777777" w:rsidR="00CC1764" w:rsidRDefault="00CC176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1F6C22BE" w14:textId="77777777" w:rsidR="00CC1764" w:rsidRDefault="00A744B8">
      <w:pPr>
        <w:spacing w:after="0"/>
      </w:pPr>
      <w:r>
        <w:rPr>
          <w:noProof/>
          <w:lang w:eastAsia="pl-PL"/>
        </w:rPr>
        <w:drawing>
          <wp:inline distT="0" distB="0" distL="0" distR="0" wp14:anchorId="65DE90D9" wp14:editId="2667C18E">
            <wp:extent cx="5760720" cy="895929"/>
            <wp:effectExtent l="19050" t="19050" r="11430" b="18471"/>
            <wp:docPr id="3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5929"/>
                    </a:xfrm>
                    <a:prstGeom prst="rect">
                      <a:avLst/>
                    </a:prstGeom>
                    <a:noFill/>
                    <a:ln w="634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27D8E72" w14:textId="77777777" w:rsidR="00CC1764" w:rsidRDefault="00CC176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75CE6076" w14:textId="77777777" w:rsidR="00CC1764" w:rsidRDefault="00CC176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9577FCA" w14:textId="77777777" w:rsidR="00CC1764" w:rsidRDefault="00A744B8">
      <w:pPr>
        <w:spacing w:after="0"/>
      </w:pPr>
      <w:r>
        <w:rPr>
          <w:noProof/>
          <w:lang w:eastAsia="pl-PL"/>
        </w:rPr>
        <w:drawing>
          <wp:inline distT="0" distB="0" distL="0" distR="0" wp14:anchorId="75792D90" wp14:editId="44D5EA5E">
            <wp:extent cx="5760720" cy="956224"/>
            <wp:effectExtent l="19050" t="19050" r="11430" b="15326"/>
            <wp:docPr id="4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6224"/>
                    </a:xfrm>
                    <a:prstGeom prst="rect">
                      <a:avLst/>
                    </a:prstGeom>
                    <a:noFill/>
                    <a:ln w="634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CCE11AA" w14:textId="77777777" w:rsidR="00CC1764" w:rsidRDefault="00CC1764">
      <w:pPr>
        <w:spacing w:after="0"/>
      </w:pPr>
    </w:p>
    <w:p w14:paraId="0888AA30" w14:textId="77777777" w:rsidR="00CC1764" w:rsidRDefault="00CC1764">
      <w:pPr>
        <w:spacing w:after="0"/>
      </w:pPr>
    </w:p>
    <w:p w14:paraId="7DF597A0" w14:textId="77777777" w:rsidR="00CC1764" w:rsidRDefault="00A744B8">
      <w:pPr>
        <w:spacing w:after="0"/>
      </w:pPr>
      <w:r>
        <w:rPr>
          <w:noProof/>
          <w:lang w:eastAsia="pl-PL"/>
        </w:rPr>
        <w:drawing>
          <wp:inline distT="0" distB="0" distL="0" distR="0" wp14:anchorId="5D8CF821" wp14:editId="0417FDFB">
            <wp:extent cx="5760720" cy="1897809"/>
            <wp:effectExtent l="19050" t="19050" r="11430" b="26241"/>
            <wp:docPr id="5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b="226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7809"/>
                    </a:xfrm>
                    <a:prstGeom prst="rect">
                      <a:avLst/>
                    </a:prstGeom>
                    <a:noFill/>
                    <a:ln w="634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1C6CB10" w14:textId="77777777" w:rsidR="00CC1764" w:rsidRDefault="00CC1764"/>
    <w:p w14:paraId="5268FB0E" w14:textId="77777777" w:rsidR="00CC1764" w:rsidRDefault="00CC176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2074248D" w14:textId="77777777" w:rsidR="00CC1764" w:rsidRDefault="00A744B8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2777408E" wp14:editId="24F44E2C">
            <wp:extent cx="6096140" cy="995388"/>
            <wp:effectExtent l="19050" t="19050" r="18910" b="14262"/>
            <wp:docPr id="6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140" cy="995388"/>
                    </a:xfrm>
                    <a:prstGeom prst="rect">
                      <a:avLst/>
                    </a:prstGeom>
                    <a:noFill/>
                    <a:ln w="634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2AAEE3F" w14:textId="77777777" w:rsidR="00CC1764" w:rsidRDefault="00CC176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1282A322" w14:textId="77777777" w:rsidR="00CC1764" w:rsidRPr="00FD1586" w:rsidRDefault="00A744B8" w:rsidP="00B87B4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>Wytyczne dotyczące zasobów ludzkich</w:t>
      </w:r>
    </w:p>
    <w:p w14:paraId="38B90454" w14:textId="77777777" w:rsidR="00CC1764" w:rsidRPr="00FD1586" w:rsidRDefault="00A744B8" w:rsidP="00B87B42">
      <w:pPr>
        <w:suppressAutoHyphens w:val="0"/>
        <w:autoSpaceDE w:val="0"/>
        <w:spacing w:before="120" w:after="0" w:line="360" w:lineRule="auto"/>
        <w:jc w:val="both"/>
        <w:textAlignment w:val="auto"/>
        <w:rPr>
          <w:rFonts w:ascii="Century Gothic" w:hAnsi="Century Gothic" w:cs="Calibri"/>
          <w:color w:val="333333"/>
          <w:sz w:val="20"/>
          <w:szCs w:val="20"/>
        </w:rPr>
      </w:pPr>
      <w:r w:rsidRPr="00FD1586">
        <w:rPr>
          <w:rFonts w:ascii="Century Gothic" w:hAnsi="Century Gothic" w:cs="Calibri"/>
          <w:color w:val="333333"/>
          <w:sz w:val="20"/>
          <w:szCs w:val="20"/>
        </w:rPr>
        <w:t>Wykonawca musi posiadać niezbędne zasoby ludzkie gwarantujące należyte wykonanie zlecenia:</w:t>
      </w:r>
    </w:p>
    <w:p w14:paraId="2CE7CE1A" w14:textId="77777777" w:rsidR="00CC1764" w:rsidRPr="00FD1586" w:rsidRDefault="00A744B8" w:rsidP="00B87B42">
      <w:pPr>
        <w:pStyle w:val="Akapitzlist"/>
        <w:numPr>
          <w:ilvl w:val="0"/>
          <w:numId w:val="3"/>
        </w:numPr>
        <w:suppressAutoHyphens w:val="0"/>
        <w:spacing w:before="60"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  <w:u w:val="single"/>
        </w:rPr>
        <w:t xml:space="preserve">Analityk (asystent) pracowni mikrobiologii </w:t>
      </w:r>
      <w:r w:rsidRPr="00FD1586">
        <w:rPr>
          <w:rFonts w:ascii="Century Gothic" w:hAnsi="Century Gothic"/>
          <w:sz w:val="20"/>
          <w:szCs w:val="20"/>
        </w:rPr>
        <w:t xml:space="preserve">– osoba odpowiedziana za weryfikację i zatwierdzanie wyników badań mikrobiologicznych </w:t>
      </w:r>
    </w:p>
    <w:p w14:paraId="53DA8F24" w14:textId="77777777" w:rsidR="00CC1764" w:rsidRPr="00FD1586" w:rsidRDefault="00A744B8" w:rsidP="00B87B42">
      <w:pPr>
        <w:pStyle w:val="Akapitzlist"/>
        <w:numPr>
          <w:ilvl w:val="0"/>
          <w:numId w:val="3"/>
        </w:numPr>
        <w:suppressAutoHyphens w:val="0"/>
        <w:spacing w:before="60"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  <w:u w:val="single"/>
        </w:rPr>
        <w:t>Analityk (asystent) pracowni fiz. – chem</w:t>
      </w:r>
      <w:r w:rsidRPr="00FD1586">
        <w:rPr>
          <w:rFonts w:ascii="Century Gothic" w:hAnsi="Century Gothic"/>
          <w:sz w:val="20"/>
          <w:szCs w:val="20"/>
        </w:rPr>
        <w:t xml:space="preserve">. – osoba odpowiedziana za weryfikację i zatwierdzanie wyników badań fizyko – chemicznych </w:t>
      </w:r>
    </w:p>
    <w:p w14:paraId="02B22DCD" w14:textId="77777777" w:rsidR="00CC1764" w:rsidRPr="00FD1586" w:rsidRDefault="00A744B8" w:rsidP="00B87B42">
      <w:pPr>
        <w:pStyle w:val="Akapitzlist"/>
        <w:spacing w:before="60" w:after="0" w:line="360" w:lineRule="auto"/>
        <w:ind w:left="1440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Wymagania dla analityka: </w:t>
      </w:r>
    </w:p>
    <w:p w14:paraId="0893BD29" w14:textId="77777777" w:rsidR="00CC1764" w:rsidRPr="00FD1586" w:rsidRDefault="00A744B8" w:rsidP="00B87B42">
      <w:pPr>
        <w:pStyle w:val="Akapitzlist"/>
        <w:spacing w:before="60" w:after="0" w:line="360" w:lineRule="auto"/>
        <w:ind w:left="1440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Wykształcenie wyższe przyrodnicze lub chemiczne znajomość technik klasycznych i instrumentalnych stosowanych w laboratorium, umiejętność przeprowadzania walidacji/ weryfikacji metody badawczej. </w:t>
      </w:r>
    </w:p>
    <w:p w14:paraId="26CC7D67" w14:textId="77777777" w:rsidR="00CC1764" w:rsidRPr="00FD1586" w:rsidRDefault="00A744B8" w:rsidP="00B87B42">
      <w:pPr>
        <w:pStyle w:val="Akapitzlist"/>
        <w:spacing w:before="60" w:after="0" w:line="360" w:lineRule="auto"/>
        <w:ind w:left="1440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Minimum 2 – lata doświadczenia w laboratorium akredytowanym na stanowisku laboranta. </w:t>
      </w:r>
    </w:p>
    <w:p w14:paraId="0DF3A909" w14:textId="77777777" w:rsidR="00CC1764" w:rsidRPr="00FD1586" w:rsidRDefault="00A744B8" w:rsidP="00B87B42">
      <w:pPr>
        <w:pStyle w:val="Akapitzlist"/>
        <w:numPr>
          <w:ilvl w:val="0"/>
          <w:numId w:val="3"/>
        </w:numPr>
        <w:suppressAutoHyphens w:val="0"/>
        <w:spacing w:before="60"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  <w:u w:val="single"/>
        </w:rPr>
        <w:t xml:space="preserve">Analityk sensoryczny </w:t>
      </w:r>
      <w:r w:rsidRPr="00FD1586">
        <w:rPr>
          <w:rFonts w:ascii="Century Gothic" w:hAnsi="Century Gothic"/>
          <w:sz w:val="20"/>
          <w:szCs w:val="20"/>
        </w:rPr>
        <w:t xml:space="preserve">– osoba odpowiedzialna za weryfikację wyników badań sensorycznych </w:t>
      </w:r>
    </w:p>
    <w:p w14:paraId="57A87394" w14:textId="77777777" w:rsidR="00CC1764" w:rsidRPr="00FD1586" w:rsidRDefault="00A744B8" w:rsidP="00B87B42">
      <w:pPr>
        <w:pStyle w:val="Akapitzlist"/>
        <w:spacing w:before="60" w:after="0" w:line="360" w:lineRule="auto"/>
        <w:ind w:left="1440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Wymagania – wykształcenie średnie lub wyższe. Znajomość metod i technik sensorycznych badań poszczególnych produktów. Pozytywne wyniki testów na wykrywanie i rozpoznawanie zapachów i podstawowych smaków. Minimum 1 – rok pracy w laboratorium </w:t>
      </w:r>
    </w:p>
    <w:p w14:paraId="7466EAE3" w14:textId="77777777" w:rsidR="00CC1764" w:rsidRPr="00FD1586" w:rsidRDefault="00A744B8" w:rsidP="00B87B42">
      <w:pPr>
        <w:pStyle w:val="Akapitzlist"/>
        <w:numPr>
          <w:ilvl w:val="0"/>
          <w:numId w:val="3"/>
        </w:numPr>
        <w:suppressAutoHyphens w:val="0"/>
        <w:spacing w:before="60"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 </w:t>
      </w:r>
      <w:r w:rsidRPr="00FD1586">
        <w:rPr>
          <w:rFonts w:ascii="Century Gothic" w:hAnsi="Century Gothic"/>
          <w:sz w:val="20"/>
          <w:szCs w:val="20"/>
          <w:u w:val="single"/>
        </w:rPr>
        <w:t xml:space="preserve">Laborant </w:t>
      </w:r>
      <w:r w:rsidRPr="00FD1586">
        <w:rPr>
          <w:rFonts w:ascii="Century Gothic" w:hAnsi="Century Gothic"/>
          <w:sz w:val="20"/>
          <w:szCs w:val="20"/>
        </w:rPr>
        <w:t>– osoba dokonująca badań właściwych zgodnie z metodyką badawczą</w:t>
      </w:r>
    </w:p>
    <w:p w14:paraId="2B4E0133" w14:textId="77777777" w:rsidR="00CC1764" w:rsidRPr="00FD1586" w:rsidRDefault="00A744B8" w:rsidP="00B87B42">
      <w:pPr>
        <w:spacing w:before="60" w:after="0" w:line="36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 xml:space="preserve">Wymagania: wykształcenie średnie lub wyższe, kierunkowe lub pokrewne. Znajomość technik instrumentalnych stosowanych w laboratorium. Minimum 2 – letnie doświadczenie pracy w laboratorium </w:t>
      </w:r>
    </w:p>
    <w:p w14:paraId="6A90C962" w14:textId="77777777" w:rsidR="00CC1764" w:rsidRPr="00FD1586" w:rsidRDefault="00A744B8" w:rsidP="00B87B42">
      <w:pPr>
        <w:pStyle w:val="Akapitzlist"/>
        <w:numPr>
          <w:ilvl w:val="0"/>
          <w:numId w:val="3"/>
        </w:numPr>
        <w:suppressAutoHyphens w:val="0"/>
        <w:spacing w:before="60" w:after="0" w:line="360" w:lineRule="auto"/>
        <w:jc w:val="both"/>
        <w:textAlignment w:val="auto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  <w:u w:val="single"/>
        </w:rPr>
        <w:t xml:space="preserve">Technik laboratoryjny </w:t>
      </w:r>
      <w:r w:rsidRPr="00FD1586">
        <w:rPr>
          <w:rFonts w:ascii="Century Gothic" w:hAnsi="Century Gothic"/>
          <w:sz w:val="20"/>
          <w:szCs w:val="20"/>
        </w:rPr>
        <w:t>– osoba przyjmująca i przygotowując próbki do badań zgodnie z metodą badawczą.</w:t>
      </w:r>
    </w:p>
    <w:p w14:paraId="4F8A95DC" w14:textId="77777777" w:rsidR="00CC1764" w:rsidRPr="00FD1586" w:rsidRDefault="00A744B8" w:rsidP="00B87B42">
      <w:pPr>
        <w:pStyle w:val="Akapitzlist"/>
        <w:spacing w:before="60" w:after="0" w:line="360" w:lineRule="auto"/>
        <w:ind w:left="1440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/>
          <w:sz w:val="20"/>
          <w:szCs w:val="20"/>
        </w:rPr>
        <w:t>Wykształcenie średnie – kierunkowe lub pokrewne. Znajomość technik klasycznych stosowanych w laboratorium. Minimum 1 – rok pracy w laboratorium.</w:t>
      </w:r>
    </w:p>
    <w:p w14:paraId="12A3E9EC" w14:textId="77777777" w:rsidR="00CC1764" w:rsidRPr="00FD1586" w:rsidRDefault="00CC1764" w:rsidP="00B87B42">
      <w:pPr>
        <w:spacing w:after="0" w:line="36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3551C3C6" w14:textId="77777777" w:rsidR="00CC1764" w:rsidRPr="00FD1586" w:rsidRDefault="00A744B8" w:rsidP="00B87B42">
      <w:pPr>
        <w:spacing w:after="0" w:line="36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sz w:val="20"/>
          <w:szCs w:val="20"/>
          <w:lang w:eastAsia="pl-PL"/>
        </w:rPr>
        <w:lastRenderedPageBreak/>
        <w:t>Wymagania dotyczące laboratorium:</w:t>
      </w:r>
    </w:p>
    <w:p w14:paraId="1CD04FE2" w14:textId="77777777" w:rsidR="00CC1764" w:rsidRPr="00FD1586" w:rsidRDefault="00A744B8" w:rsidP="00B87B42">
      <w:pPr>
        <w:spacing w:before="120" w:after="0" w:line="360" w:lineRule="auto"/>
        <w:jc w:val="both"/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</w:pPr>
      <w:r w:rsidRPr="00FD1586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-   musi być akredytowane na zgodność z normą PN-EN ISO/IEC 17025:2005/ PN-EN ISO/IEC 17025:2018-02 lub równorzędną</w:t>
      </w:r>
    </w:p>
    <w:p w14:paraId="7E95597B" w14:textId="77777777" w:rsidR="00CC1764" w:rsidRPr="00FD1586" w:rsidRDefault="00A744B8" w:rsidP="00B87B42">
      <w:pPr>
        <w:spacing w:before="120"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 xml:space="preserve">- posiadać  doświadczenie i niezbędną wiedzę:  czyli wykonano  przynajmniej po jednym badaniu z każdej grupy badań  </w:t>
      </w:r>
      <w:bookmarkStart w:id="0" w:name="_Hlk73269505"/>
      <w:r w:rsidRPr="00FD1586">
        <w:rPr>
          <w:rFonts w:ascii="Century Gothic" w:eastAsia="Times New Roman" w:hAnsi="Century Gothic" w:cs="Calibri"/>
          <w:color w:val="000000"/>
          <w:sz w:val="20"/>
          <w:szCs w:val="20"/>
          <w:lang w:eastAsia="pl-PL"/>
        </w:rPr>
        <w:t>stanowiących przedmiot zamówienia w okresie ostatnich 5 lat, a jeśli jego czas działalności jest krótszy, wykonano badania z każdej grupy przedmiotu zamówienia, których łączny koszt wyniósł przynajmniej 50 000 złotych</w:t>
      </w:r>
      <w:bookmarkEnd w:id="0"/>
    </w:p>
    <w:p w14:paraId="4296AF5B" w14:textId="77777777" w:rsidR="00CC1764" w:rsidRPr="00FD1586" w:rsidRDefault="00A744B8" w:rsidP="00B87B42">
      <w:pPr>
        <w:spacing w:before="120" w:after="0" w:line="360" w:lineRule="auto"/>
        <w:jc w:val="both"/>
        <w:rPr>
          <w:rFonts w:ascii="Century Gothic" w:hAnsi="Century Gothic"/>
          <w:sz w:val="20"/>
          <w:szCs w:val="20"/>
        </w:rPr>
      </w:pPr>
      <w:r w:rsidRPr="00FD1586">
        <w:rPr>
          <w:rFonts w:ascii="Century Gothic" w:hAnsi="Century Gothic" w:cs="Calibri"/>
          <w:color w:val="333333"/>
          <w:sz w:val="20"/>
          <w:szCs w:val="20"/>
        </w:rPr>
        <w:t>Możliwość zrealizowania badań w terminie określonym we wniosku.</w:t>
      </w:r>
    </w:p>
    <w:p w14:paraId="29D210A6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7AD57AEE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6AD9F95D" w14:textId="77777777" w:rsidR="00CC1764" w:rsidRPr="00FD1586" w:rsidRDefault="00A744B8">
      <w:pPr>
        <w:rPr>
          <w:rFonts w:ascii="Century Gothic" w:hAnsi="Century Gothic"/>
          <w:sz w:val="20"/>
          <w:szCs w:val="20"/>
        </w:rPr>
      </w:pPr>
      <w:r w:rsidRPr="00FD1586">
        <w:rPr>
          <w:rFonts w:ascii="Century Gothic" w:eastAsia="Times New Roman" w:hAnsi="Century Gothic" w:cs="Calibri"/>
          <w:b/>
          <w:color w:val="000000"/>
          <w:sz w:val="20"/>
          <w:szCs w:val="20"/>
          <w:lang w:eastAsia="pl-PL"/>
        </w:rPr>
        <w:t xml:space="preserve">Wytyczne dotyczące zasobów wyposażenia: </w:t>
      </w:r>
    </w:p>
    <w:tbl>
      <w:tblPr>
        <w:tblW w:w="6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5600"/>
      </w:tblGrid>
      <w:tr w:rsidR="00CC1764" w:rsidRPr="00FD1586" w14:paraId="4F1D7BC2" w14:textId="77777777">
        <w:trPr>
          <w:trHeight w:val="40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05D32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Calibri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Calibri"/>
                <w:b/>
                <w:bCs/>
                <w:color w:val="00000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41D1C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 w:cs="Calibri"/>
                <w:b/>
                <w:bCs/>
                <w:color w:val="00000A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Calibri"/>
                <w:b/>
                <w:bCs/>
                <w:color w:val="00000A"/>
                <w:sz w:val="20"/>
                <w:szCs w:val="20"/>
                <w:lang w:eastAsia="pl-PL"/>
              </w:rPr>
              <w:t>Urządzenia wykorzystywane w projekcie badawczym</w:t>
            </w:r>
          </w:p>
        </w:tc>
      </w:tr>
      <w:tr w:rsidR="00CC1764" w:rsidRPr="00FD1586" w14:paraId="1C2EE854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1B158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D5E13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Mineralizator</w:t>
            </w:r>
          </w:p>
        </w:tc>
      </w:tr>
      <w:tr w:rsidR="00CC1764" w:rsidRPr="00FD1586" w14:paraId="3707117D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3A7CC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90951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Destylarka</w:t>
            </w:r>
          </w:p>
        </w:tc>
      </w:tr>
      <w:tr w:rsidR="00CC1764" w:rsidRPr="00FD1586" w14:paraId="0012B2EE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6B091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08171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Soxhleta</w:t>
            </w:r>
            <w:proofErr w:type="spellEnd"/>
          </w:p>
        </w:tc>
      </w:tr>
      <w:tr w:rsidR="00CC1764" w:rsidRPr="00FD1586" w14:paraId="10EF29FA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716FF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A19DD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Wirówka</w:t>
            </w:r>
          </w:p>
        </w:tc>
      </w:tr>
      <w:tr w:rsidR="00CC1764" w:rsidRPr="00FD1586" w14:paraId="343E1B4B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A0482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BBAE7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Suszarka próżniowa</w:t>
            </w:r>
          </w:p>
        </w:tc>
      </w:tr>
      <w:tr w:rsidR="00CC1764" w:rsidRPr="00FD1586" w14:paraId="79AA4BD5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9CAE3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93A9D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Chromatograf gazowy</w:t>
            </w:r>
          </w:p>
        </w:tc>
      </w:tr>
      <w:tr w:rsidR="00CC1764" w:rsidRPr="00FD1586" w14:paraId="58942034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C306E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A9DC9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Spektrometr</w:t>
            </w:r>
          </w:p>
        </w:tc>
      </w:tr>
      <w:tr w:rsidR="00CC1764" w:rsidRPr="00FD1586" w14:paraId="42940705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45237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2F454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Łaźnia wodna</w:t>
            </w:r>
          </w:p>
        </w:tc>
      </w:tr>
      <w:tr w:rsidR="00CC1764" w:rsidRPr="00FD1586" w14:paraId="12E9F54A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E0FC0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F16C9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Suszarka laboratoryjna</w:t>
            </w:r>
          </w:p>
        </w:tc>
      </w:tr>
      <w:tr w:rsidR="00CC1764" w:rsidRPr="00FD1586" w14:paraId="7FAC59A3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3CA50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51BE7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Waga analityczna</w:t>
            </w:r>
          </w:p>
        </w:tc>
      </w:tr>
      <w:tr w:rsidR="00CC1764" w:rsidRPr="00FD1586" w14:paraId="14DCE03B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7B190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391CA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-metr</w:t>
            </w:r>
          </w:p>
        </w:tc>
      </w:tr>
      <w:tr w:rsidR="00CC1764" w:rsidRPr="00FD1586" w14:paraId="2D9C66DA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2F5D9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E6B70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Aparat do rozcieńczeń</w:t>
            </w:r>
          </w:p>
        </w:tc>
      </w:tr>
      <w:tr w:rsidR="00CC1764" w:rsidRPr="00FD1586" w14:paraId="7F92B30C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297C1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4A9CC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 xml:space="preserve">Homogenizator </w:t>
            </w:r>
            <w:proofErr w:type="spellStart"/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stomacher</w:t>
            </w:r>
            <w:proofErr w:type="spellEnd"/>
          </w:p>
        </w:tc>
      </w:tr>
      <w:tr w:rsidR="00CC1764" w:rsidRPr="00FD1586" w14:paraId="7FA4074F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BDF8D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BF85E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Cieplarka</w:t>
            </w:r>
          </w:p>
        </w:tc>
      </w:tr>
      <w:tr w:rsidR="00CC1764" w:rsidRPr="00FD1586" w14:paraId="4E7A1996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967BF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DE294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Komora laminarna z filtrami HEPA</w:t>
            </w:r>
          </w:p>
        </w:tc>
      </w:tr>
      <w:tr w:rsidR="00CC1764" w:rsidRPr="00FD1586" w14:paraId="5EAC75EE" w14:textId="77777777">
        <w:trPr>
          <w:trHeight w:val="360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476D2" w14:textId="77777777" w:rsidR="00CC1764" w:rsidRPr="00FD1586" w:rsidRDefault="00A744B8">
            <w:pPr>
              <w:suppressAutoHyphens w:val="0"/>
              <w:spacing w:after="0"/>
              <w:jc w:val="center"/>
              <w:textAlignment w:val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1586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6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F1C46" w14:textId="77777777" w:rsidR="00CC1764" w:rsidRPr="00FD1586" w:rsidRDefault="00A744B8">
            <w:pPr>
              <w:suppressAutoHyphens w:val="0"/>
              <w:spacing w:after="0"/>
              <w:textAlignment w:val="auto"/>
              <w:rPr>
                <w:rFonts w:ascii="Century Gothic" w:hAnsi="Century Gothic"/>
                <w:sz w:val="20"/>
                <w:szCs w:val="20"/>
              </w:rPr>
            </w:pPr>
            <w:r w:rsidRPr="00FD158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 xml:space="preserve">Mikroskop </w:t>
            </w:r>
          </w:p>
        </w:tc>
      </w:tr>
    </w:tbl>
    <w:p w14:paraId="193516C3" w14:textId="77777777" w:rsidR="00CC1764" w:rsidRPr="00FD1586" w:rsidRDefault="00CC1764">
      <w:pPr>
        <w:rPr>
          <w:rFonts w:ascii="Century Gothic" w:hAnsi="Century Gothic"/>
          <w:sz w:val="20"/>
          <w:szCs w:val="20"/>
        </w:rPr>
      </w:pPr>
    </w:p>
    <w:p w14:paraId="24B6EE83" w14:textId="77777777" w:rsidR="00CC1764" w:rsidRPr="00FD1586" w:rsidRDefault="00CC1764">
      <w:pPr>
        <w:spacing w:after="0"/>
        <w:rPr>
          <w:rFonts w:ascii="Century Gothic" w:eastAsia="Times New Roman" w:hAnsi="Century Gothic" w:cs="Calibri"/>
          <w:sz w:val="20"/>
          <w:szCs w:val="20"/>
          <w:lang w:eastAsia="pl-PL"/>
        </w:rPr>
      </w:pPr>
    </w:p>
    <w:p w14:paraId="2FBF4E7E" w14:textId="77777777" w:rsidR="00CC1764" w:rsidRPr="00FD1586" w:rsidRDefault="00CC1764">
      <w:pPr>
        <w:rPr>
          <w:rFonts w:ascii="Century Gothic" w:hAnsi="Century Gothic" w:cs="Calibri"/>
          <w:sz w:val="20"/>
          <w:szCs w:val="20"/>
        </w:rPr>
      </w:pPr>
    </w:p>
    <w:sectPr w:rsidR="00CC1764" w:rsidRPr="00FD1586"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7FA1" w14:textId="77777777" w:rsidR="000F245B" w:rsidRDefault="000F245B">
      <w:pPr>
        <w:spacing w:after="0"/>
      </w:pPr>
      <w:r>
        <w:separator/>
      </w:r>
    </w:p>
  </w:endnote>
  <w:endnote w:type="continuationSeparator" w:id="0">
    <w:p w14:paraId="0FF4EE46" w14:textId="77777777" w:rsidR="000F245B" w:rsidRDefault="000F24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B988" w14:textId="77777777" w:rsidR="000F245B" w:rsidRDefault="000F245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EE98D0F" w14:textId="77777777" w:rsidR="000F245B" w:rsidRDefault="000F245B">
      <w:pPr>
        <w:spacing w:after="0"/>
      </w:pPr>
      <w:r>
        <w:continuationSeparator/>
      </w:r>
    </w:p>
  </w:footnote>
  <w:footnote w:id="1">
    <w:p w14:paraId="66855D0A" w14:textId="77777777" w:rsidR="00CC1764" w:rsidRDefault="00A744B8">
      <w:pPr>
        <w:pStyle w:val="Tekstprzypisudolnego"/>
      </w:pPr>
      <w:r>
        <w:rPr>
          <w:rStyle w:val="Odwoanieprzypisudolnego"/>
        </w:rPr>
        <w:footnoteRef/>
      </w:r>
      <w:r>
        <w:t xml:space="preserve"> Jeśli w Opisie przedmiotu zamówienia wskazano normę polską lub międzynarodową, należy przez to w każdym przypadku rozumieć normę wskazaną lub normę równoważną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493A" w14:textId="77777777" w:rsidR="00FD1586" w:rsidRDefault="00FD1586" w:rsidP="00FD1586">
    <w:pPr>
      <w:tabs>
        <w:tab w:val="left" w:pos="1110"/>
      </w:tabs>
      <w:spacing w:after="0"/>
      <w:rPr>
        <w:rFonts w:ascii="Cambria" w:hAnsi="Cambria"/>
        <w:b/>
        <w:sz w:val="24"/>
        <w:szCs w:val="24"/>
        <w:u w:val="single"/>
      </w:rPr>
    </w:pPr>
    <w:r>
      <w:rPr>
        <w:noProof/>
        <w:lang w:eastAsia="pl-PL"/>
      </w:rPr>
      <w:drawing>
        <wp:inline distT="0" distB="0" distL="0" distR="0" wp14:anchorId="38A23380" wp14:editId="419E9209">
          <wp:extent cx="5760089" cy="342269"/>
          <wp:effectExtent l="0" t="0" r="0" b="631"/>
          <wp:docPr id="7" name="Obraz 7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9" cy="3422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31858EF" w14:textId="77777777" w:rsidR="00FD1586" w:rsidRDefault="00FD1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5648"/>
    <w:multiLevelType w:val="multilevel"/>
    <w:tmpl w:val="AF528640"/>
    <w:lvl w:ilvl="0">
      <w:numFmt w:val="bullet"/>
      <w:lvlText w:val="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7AB03A0"/>
    <w:multiLevelType w:val="multilevel"/>
    <w:tmpl w:val="62746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97B0E89"/>
    <w:multiLevelType w:val="multilevel"/>
    <w:tmpl w:val="BEB0ECB8"/>
    <w:lvl w:ilvl="0">
      <w:numFmt w:val="bullet"/>
      <w:lvlText w:val="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64"/>
    <w:rsid w:val="0003645B"/>
    <w:rsid w:val="000C6314"/>
    <w:rsid w:val="000F245B"/>
    <w:rsid w:val="00167E12"/>
    <w:rsid w:val="003F518A"/>
    <w:rsid w:val="00534716"/>
    <w:rsid w:val="00855DFE"/>
    <w:rsid w:val="008926B4"/>
    <w:rsid w:val="00945910"/>
    <w:rsid w:val="00A744B8"/>
    <w:rsid w:val="00B1749C"/>
    <w:rsid w:val="00B87B42"/>
    <w:rsid w:val="00CC1764"/>
    <w:rsid w:val="00D6039F"/>
    <w:rsid w:val="00EB07FE"/>
    <w:rsid w:val="00EE4C57"/>
    <w:rsid w:val="00EF3304"/>
    <w:rsid w:val="00FC722C"/>
    <w:rsid w:val="00F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F655"/>
  <w15:docId w15:val="{402F065F-2397-4028-A3F6-13BAD71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D158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D1586"/>
  </w:style>
  <w:style w:type="paragraph" w:styleId="Stopka">
    <w:name w:val="footer"/>
    <w:basedOn w:val="Normalny"/>
    <w:link w:val="StopkaZnak"/>
    <w:uiPriority w:val="99"/>
    <w:unhideWhenUsed/>
    <w:rsid w:val="00FD158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D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Bąk</dc:creator>
  <dc:description/>
  <cp:lastModifiedBy>Anna Dulanowska</cp:lastModifiedBy>
  <cp:revision>3</cp:revision>
  <cp:lastPrinted>2021-05-30T09:58:00Z</cp:lastPrinted>
  <dcterms:created xsi:type="dcterms:W3CDTF">2021-06-01T11:41:00Z</dcterms:created>
  <dcterms:modified xsi:type="dcterms:W3CDTF">2021-06-02T12:58:00Z</dcterms:modified>
</cp:coreProperties>
</file>