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24"/>
          <w:szCs w:val="24"/>
        </w:rPr>
      </w:pPr>
      <w:bookmarkStart w:colFirst="0" w:colLast="0" w:name="_heading=h.1krnaleh5bk8" w:id="0"/>
      <w:bookmarkEnd w:id="0"/>
      <w:r w:rsidDel="00000000" w:rsidR="00000000" w:rsidRPr="00000000">
        <w:rPr>
          <w:b w:val="1"/>
          <w:bCs w:val="1"/>
          <w:sz w:val="24"/>
          <w:szCs w:val="24"/>
          <w:rtl w:val="0"/>
        </w:rPr>
        <w:t xml:space="preserve">Uzasadnienie techniczne wymogu integracji z posiadanym środowiskiem chmurowym w zapytaniu ofertowym  FENG/SD/25/2026</w:t>
      </w:r>
    </w:p>
    <w:p w:rsidR="00000000" w:rsidDel="00000000" w:rsidP="00000000" w:rsidRDefault="00000000" w:rsidRPr="00000000" w14:paraId="00000002">
      <w:pPr>
        <w:pStyle w:val="Heading2"/>
        <w:keepNext w:val="0"/>
        <w:keepLines w:val="0"/>
        <w:spacing w:after="80" w:lineRule="auto"/>
        <w:rPr>
          <w:b w:val="1"/>
          <w:bCs w:val="1"/>
          <w:sz w:val="24"/>
          <w:szCs w:val="24"/>
        </w:rPr>
      </w:pPr>
      <w:bookmarkStart w:colFirst="0" w:colLast="0" w:name="_heading=h.r55wsc45g4en" w:id="1"/>
      <w:bookmarkEnd w:id="1"/>
      <w:r w:rsidDel="00000000" w:rsidR="00000000" w:rsidRPr="00000000">
        <w:rPr>
          <w:b w:val="1"/>
          <w:bCs w:val="1"/>
          <w:sz w:val="24"/>
          <w:szCs w:val="24"/>
          <w:rtl w:val="0"/>
        </w:rPr>
        <w:t xml:space="preserve">Podstawa i cel uzasadnienia</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Opis przedmiotu zamówienia na dostęp do infrastruktury chmurowej i narzędzi anotacyjnych zawiera wymóg zapewnienia przez Wykonawcę pełnej integracji świadczonych usług z już posiadanym przez Zamawiającego środowiskiem chmurowym (opartym o ekosystem Amazon Web Services). Niniejszy dokument przedstawia obiektywne przesłanki techniczne i ekonomiczne uzasadniające to ograniczenie, zgodnie z zasadą konkurencyjności obowiązującą przy zamówieniach finansowanych ze środków Funduszy Europejskich (Wytyczne dotyczące kwalifikowalności wydatków). Wymóg ten dotyczy wyłącznie kompatybilności ze wskazanym środowiskiem technologicznym i nie ogranicza kręgu podmiotów zdolnych do świadczenia usługi — zarówno partnerzy i resellerzy AWS, jak i niezależni integratorzy systemów mogą zapewnić obsługę wskazanego środowiska.</w:t>
      </w:r>
    </w:p>
    <w:p w:rsidR="00000000" w:rsidDel="00000000" w:rsidP="00000000" w:rsidRDefault="00000000" w:rsidRPr="00000000" w14:paraId="00000004">
      <w:pPr>
        <w:pStyle w:val="Heading2"/>
        <w:keepNext w:val="0"/>
        <w:keepLines w:val="0"/>
        <w:spacing w:after="80" w:lineRule="auto"/>
        <w:rPr>
          <w:b w:val="1"/>
          <w:bCs w:val="1"/>
          <w:sz w:val="24"/>
          <w:szCs w:val="24"/>
        </w:rPr>
      </w:pPr>
      <w:bookmarkStart w:colFirst="0" w:colLast="0" w:name="_heading=h.upspafjo971g" w:id="2"/>
      <w:bookmarkEnd w:id="2"/>
      <w:r w:rsidDel="00000000" w:rsidR="00000000" w:rsidRPr="00000000">
        <w:rPr>
          <w:b w:val="1"/>
          <w:bCs w:val="1"/>
          <w:sz w:val="24"/>
          <w:szCs w:val="24"/>
          <w:rtl w:val="0"/>
        </w:rPr>
        <w:t xml:space="preserve">1. Lokalizacja i ciągłość przetwarzania danych medycznych</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Dane źródłowe projektu (badania RM, dane DICOM, wyniki korelacji z diagnostyką artroskopową) są już przechowywane i przetwarzane w posiadanym środowisku chmurowym. Migracja danych medycznych do odrębnej platformy wiązałaby się z istotnym ryzykiem: naruszenia ciągłości przetwarzania, dodatkowych kosztów transferu i walidacji integralności danych, a także wydłużeniem czasu wdrożenia — co przy 12-miesięcznym, ściśle określonym harmonogramie projektu (listopad 2026 – październik 2027) stanowi realne zagrożenie dla terminowej realizacji celów badawczych.</w:t>
      </w:r>
    </w:p>
    <w:p w:rsidR="00000000" w:rsidDel="00000000" w:rsidP="00000000" w:rsidRDefault="00000000" w:rsidRPr="00000000" w14:paraId="00000006">
      <w:pPr>
        <w:spacing w:after="240" w:before="240" w:lineRule="auto"/>
        <w:jc w:val="both"/>
        <w:rPr/>
      </w:pPr>
      <w:r w:rsidDel="00000000" w:rsidR="00000000" w:rsidRPr="00000000">
        <w:rPr>
          <w:sz w:val="21"/>
          <w:szCs w:val="21"/>
          <w:rtl w:val="0"/>
        </w:rPr>
        <w:t xml:space="preserve">Wszystkie ceny wskazane w ofercie powinny zostać skalkulowane</w:t>
      </w:r>
      <w:r w:rsidDel="00000000" w:rsidR="00000000" w:rsidRPr="00000000">
        <w:rPr>
          <w:rtl w:val="0"/>
        </w:rPr>
        <w:t xml:space="preserve"> </w:t>
      </w:r>
      <w:r w:rsidDel="00000000" w:rsidR="00000000" w:rsidRPr="00000000">
        <w:rPr>
          <w:rtl w:val="0"/>
        </w:rPr>
        <w:t xml:space="preserve"> na podstawie cennika usług Amazon Web Services (AWS) właściwego dla regionu Frankfurt (eu-central-1) oraz zakładać świadczenie zamawianych usług i udostępnienie zasobów w tym regionie. Wymóg ten wynika z faktu, że dane Zamawiającego są już przechowywane w zasobach zlokalizowanych w regionie Frankfurt. Utrzymanie tej lokalizacji służy zapewnieniu ciągłości przetwarzania danych i spójności z istniejącym środowiskiem chmurowym oraz uniknięciu dodatkowych czynności i kosztów związanych z przenoszeniem danych do innego regionu. Przyjęcie cennika dla regionu Frankfurt jako wspólnej podstawy kalkulacji zapewni również </w:t>
      </w:r>
      <w:r w:rsidDel="00000000" w:rsidR="00000000" w:rsidRPr="00000000">
        <w:rPr>
          <w:b w:val="1"/>
          <w:bCs w:val="1"/>
          <w:rtl w:val="0"/>
        </w:rPr>
        <w:t xml:space="preserve">porównywalność</w:t>
      </w:r>
      <w:r w:rsidDel="00000000" w:rsidR="00000000" w:rsidRPr="00000000">
        <w:rPr>
          <w:rtl w:val="0"/>
        </w:rPr>
        <w:t xml:space="preserve"> ofert w odniesieniu do docelowej lokalizacji zamawianych zasobów. </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W przypadku modeli AI, które nie są dostępne bezpośrednio w regionie Frankfurt, dopuszcza się ich wywoływanie z regionu Frankfurt za pośrednictwem europejskiego profilu wnioskowania międzyregionowego (Geo – EU) usługi Amazon Bedrock.</w:t>
      </w: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24"/>
          <w:szCs w:val="24"/>
        </w:rPr>
      </w:pPr>
      <w:bookmarkStart w:colFirst="0" w:colLast="0" w:name="_heading=h.gie9tbbeb4jx" w:id="3"/>
      <w:bookmarkEnd w:id="3"/>
      <w:r w:rsidDel="00000000" w:rsidR="00000000" w:rsidRPr="00000000">
        <w:rPr>
          <w:b w:val="1"/>
          <w:bCs w:val="1"/>
          <w:sz w:val="24"/>
          <w:szCs w:val="24"/>
          <w:rtl w:val="0"/>
        </w:rPr>
        <w:t xml:space="preserve">2. Zachowanie zgodności regulacyjnej bez dodatkowego ryzyka</w:t>
      </w:r>
    </w:p>
    <w:p w:rsidR="00000000" w:rsidDel="00000000" w:rsidP="00000000" w:rsidRDefault="00000000" w:rsidRPr="00000000" w14:paraId="00000009">
      <w:pPr>
        <w:spacing w:after="240" w:before="240" w:lineRule="auto"/>
        <w:jc w:val="both"/>
        <w:rPr/>
      </w:pPr>
      <w:r w:rsidDel="00000000" w:rsidR="00000000" w:rsidRPr="00000000">
        <w:rPr>
          <w:rtl w:val="0"/>
        </w:rPr>
        <w:t xml:space="preserve">Posiadane środowisko zostało już skonfigurowane pod kątem wymogów RODO, HIPAA, IRB oraz 21 CFR część 11, właściwych dla przetwarzania danych medycznych. Przeniesienie przetwarzania do nowej, niepowiązanej platformy wymagałoby powtórzenia procesu walidacji zgodności regulacyjnej (w tym ponownej oceny ryzyka i dokumentacji compliance), co generowałoby dodatkowy nakład czasu i kosztów nieuzasadniony z perspektywy celów projektu.</w:t>
      </w:r>
    </w:p>
    <w:p w:rsidR="00000000" w:rsidDel="00000000" w:rsidP="00000000" w:rsidRDefault="00000000" w:rsidRPr="00000000" w14:paraId="0000000A">
      <w:pPr>
        <w:pStyle w:val="Heading2"/>
        <w:keepNext w:val="0"/>
        <w:keepLines w:val="0"/>
        <w:spacing w:after="80" w:lineRule="auto"/>
        <w:rPr>
          <w:b w:val="1"/>
          <w:bCs w:val="1"/>
          <w:sz w:val="24"/>
          <w:szCs w:val="24"/>
        </w:rPr>
      </w:pPr>
      <w:bookmarkStart w:colFirst="0" w:colLast="0" w:name="_heading=h.wbpxr34im4dg" w:id="4"/>
      <w:bookmarkEnd w:id="4"/>
      <w:r w:rsidDel="00000000" w:rsidR="00000000" w:rsidRPr="00000000">
        <w:rPr>
          <w:b w:val="1"/>
          <w:bCs w:val="1"/>
          <w:sz w:val="24"/>
          <w:szCs w:val="24"/>
          <w:rtl w:val="0"/>
        </w:rPr>
        <w:t xml:space="preserve">3. Uniknięcie budowy równoległej infrastruktury i podwójnych kosztów</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W ramach projektu funkcjonują już skonfigurowane komponenty przetwarzania danych i trenowania modeli (pipeline'y danych, zasoby obliczeniowe, baza danych). Zbudowanie odrębnej, równoległej platformy u innego dostawcy chmury oznaczałoby powielenie już poniesionych nakładów inwestycyjnych oraz podwojenie kosztów utrzymania infrastruktury przez okres przejściowy, co byłoby sprzeczne z zasadą racjonalnego i efektywnego wydatkowania środków publicznych/unijnych.</w:t>
      </w:r>
    </w:p>
    <w:p w:rsidR="00000000" w:rsidDel="00000000" w:rsidP="00000000" w:rsidRDefault="00000000" w:rsidRPr="00000000" w14:paraId="0000000C">
      <w:pPr>
        <w:pStyle w:val="Heading2"/>
        <w:keepNext w:val="0"/>
        <w:keepLines w:val="0"/>
        <w:spacing w:after="80" w:lineRule="auto"/>
        <w:rPr>
          <w:b w:val="1"/>
          <w:bCs w:val="1"/>
          <w:sz w:val="24"/>
          <w:szCs w:val="24"/>
        </w:rPr>
      </w:pPr>
      <w:bookmarkStart w:colFirst="0" w:colLast="0" w:name="_heading=h.aqasfl9gxzyy" w:id="5"/>
      <w:bookmarkEnd w:id="5"/>
      <w:r w:rsidDel="00000000" w:rsidR="00000000" w:rsidRPr="00000000">
        <w:rPr>
          <w:b w:val="1"/>
          <w:bCs w:val="1"/>
          <w:sz w:val="24"/>
          <w:szCs w:val="24"/>
          <w:rtl w:val="0"/>
        </w:rPr>
        <w:t xml:space="preserve">4. Spójność architektury i minimalizacja ryzyka integracyjnego</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Komponenty opisane w zamówieniu (zasoby obliczeniowe, baza danych, narzędzie anotacyjne, usługi AI) muszą ze sobą współpracować w ramach jednego, spójnego środowiska sieciowego (wspólna sieć prywatna, wspólne mechanizmy bezpieczeństwa i monitoringu). Rozproszenie tych komponentów pomiędzy niezależnymi platformami zwiększałoby złożoność techniczną, liczbę punktów awarii oraz koszt utrzymania integracji międzyplatformowej — bez żadnej korzyści funkcjonalnej dla projektu.</w:t>
      </w:r>
    </w:p>
    <w:p w:rsidR="00000000" w:rsidDel="00000000" w:rsidP="00000000" w:rsidRDefault="00000000" w:rsidRPr="00000000" w14:paraId="0000000E">
      <w:pPr>
        <w:pStyle w:val="Heading2"/>
        <w:keepNext w:val="0"/>
        <w:keepLines w:val="0"/>
        <w:spacing w:after="80" w:lineRule="auto"/>
        <w:rPr>
          <w:b w:val="1"/>
          <w:bCs w:val="1"/>
          <w:sz w:val="24"/>
          <w:szCs w:val="24"/>
        </w:rPr>
      </w:pPr>
      <w:bookmarkStart w:colFirst="0" w:colLast="0" w:name="_heading=h.6a433sgiebav" w:id="6"/>
      <w:bookmarkEnd w:id="6"/>
      <w:r w:rsidDel="00000000" w:rsidR="00000000" w:rsidRPr="00000000">
        <w:rPr>
          <w:b w:val="1"/>
          <w:bCs w:val="1"/>
          <w:sz w:val="24"/>
          <w:szCs w:val="24"/>
          <w:rtl w:val="0"/>
        </w:rPr>
        <w:t xml:space="preserve">5. Brak ograniczenia konkurencji na poziomie niniejszego zamówienia</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Wymóg integracji z posiadanym środowiskiem dotyczy warstwy technologicznej (docelowej platformy chmurowej), która została wybrana i uzasadniona odrębnie na wcześniejszym etapie projektu, w oparciu o analizę porównawczą dostępnych na rynku rozwiązań do zarządzania i anotacji danych medycznych. Niniejsze zamówienie dotyczy wyłącznie dostarczenia usług i zasobów w ramach tej platformy — o zamówienie mogą ubiegać się wszyscy Wykonawcy zdolni do świadczenia wskazanych usług w tym środowisku (m.in. partnerzy technologiczni, resellerzy, integratorzy systemów), co zapewnia zachowanie uczciwej konkurencji na rynku wykonawców tej konkretnej usługi.</w:t>
      </w:r>
    </w:p>
    <w:p w:rsidR="00000000" w:rsidDel="00000000" w:rsidP="00000000" w:rsidRDefault="00000000" w:rsidRPr="00000000" w14:paraId="00000010">
      <w:pPr>
        <w:pStyle w:val="Heading2"/>
        <w:keepNext w:val="0"/>
        <w:keepLines w:val="0"/>
        <w:spacing w:after="80" w:lineRule="auto"/>
        <w:rPr>
          <w:b w:val="1"/>
          <w:bCs w:val="1"/>
          <w:sz w:val="24"/>
          <w:szCs w:val="24"/>
        </w:rPr>
      </w:pPr>
      <w:bookmarkStart w:colFirst="0" w:colLast="0" w:name="_heading=h.gv2lo1jnof8" w:id="7"/>
      <w:bookmarkEnd w:id="7"/>
      <w:r w:rsidDel="00000000" w:rsidR="00000000" w:rsidRPr="00000000">
        <w:rPr>
          <w:b w:val="1"/>
          <w:bCs w:val="1"/>
          <w:sz w:val="24"/>
          <w:szCs w:val="24"/>
          <w:rtl w:val="0"/>
        </w:rPr>
        <w:t xml:space="preserve">Podsumowanie</w:t>
      </w:r>
    </w:p>
    <w:p w:rsidR="00000000" w:rsidDel="00000000" w:rsidP="00000000" w:rsidRDefault="00000000" w:rsidRPr="00000000" w14:paraId="00000011">
      <w:pPr>
        <w:spacing w:after="240" w:before="240" w:lineRule="auto"/>
        <w:jc w:val="both"/>
        <w:rPr/>
      </w:pPr>
      <w:r w:rsidDel="00000000" w:rsidR="00000000" w:rsidRPr="00000000">
        <w:rPr>
          <w:rtl w:val="0"/>
        </w:rPr>
        <w:t xml:space="preserve">Wymóg integracji z posiadanym środowiskiem chmurowym wynika z obiektywnych przesłanek technicznych (ciągłość przetwarzania danych medycznych, zgodność regulacyjna, spójność architektury) oraz ekonomicznych (unikanie podwójnych kosztów infrastruktury i migracji), a nie z preferencji dla konkretnego dostawcy technologii. Ograniczenie to nie eliminuje konkurencji na rynku wykonawców zdolnych do świadczenia przedmiotowej usługi w ramach wskazanego środowiska.</w:t>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731200" cy="508000"/>
          <wp:effectExtent b="0" l="0" r="0" t="0"/>
          <wp:docPr descr="page1image66096384" id="2" name="image1.jpg"/>
          <a:graphic>
            <a:graphicData uri="http://schemas.openxmlformats.org/drawingml/2006/picture">
              <pic:pic>
                <pic:nvPicPr>
                  <pic:cNvPr descr="page1image66096384" id="0" name="image1.jpg"/>
                  <pic:cNvPicPr preferRelativeResize="0"/>
                </pic:nvPicPr>
                <pic:blipFill>
                  <a:blip r:embed="rId1"/>
                  <a:srcRect b="0" l="0" r="0" t="0"/>
                  <a:stretch>
                    <a:fillRect/>
                  </a:stretch>
                </pic:blipFill>
                <pic:spPr>
                  <a:xfrm>
                    <a:off x="0" y="0"/>
                    <a:ext cx="5731200" cy="5080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widowControl w:val="0"/>
      <w:tabs>
        <w:tab w:val="center" w:leader="none" w:pos="4536"/>
        <w:tab w:val="right" w:leader="none" w:pos="9072"/>
      </w:tabs>
      <w:spacing w:line="240" w:lineRule="auto"/>
      <w:jc w:val="center"/>
      <w:rPr>
        <w:rFonts w:ascii="Calibri" w:cs="Calibri" w:eastAsia="Calibri" w:hAnsi="Calibri"/>
        <w:color w:val="999999"/>
        <w:highlight w:val="white"/>
      </w:rPr>
    </w:pPr>
    <w:r w:rsidDel="00000000" w:rsidR="00000000" w:rsidRPr="00000000">
      <w:rPr>
        <w:rtl w:val="0"/>
      </w:rPr>
    </w:r>
  </w:p>
  <w:p w:rsidR="00000000" w:rsidDel="00000000" w:rsidP="00000000" w:rsidRDefault="00000000" w:rsidRPr="00000000" w14:paraId="00000014">
    <w:pPr>
      <w:widowControl w:val="0"/>
      <w:tabs>
        <w:tab w:val="center" w:leader="none" w:pos="4536"/>
        <w:tab w:val="right" w:leader="none" w:pos="9072"/>
      </w:tabs>
      <w:spacing w:line="240" w:lineRule="auto"/>
      <w:jc w:val="center"/>
      <w:rPr>
        <w:rFonts w:ascii="Calibri" w:cs="Calibri" w:eastAsia="Calibri" w:hAnsi="Calibri"/>
        <w:color w:val="999999"/>
        <w:highlight w:val="white"/>
      </w:rPr>
    </w:pPr>
    <w:r w:rsidDel="00000000" w:rsidR="00000000" w:rsidRPr="00000000">
      <w:rPr>
        <w:rFonts w:ascii="Calibri" w:cs="Calibri" w:eastAsia="Calibri" w:hAnsi="Calibri"/>
        <w:color w:val="999999"/>
        <w:highlight w:val="white"/>
        <w:rtl w:val="0"/>
      </w:rPr>
      <w:t xml:space="preserve">Projekt nr FENG.01.01-IP.02-4013/23 pn. „SmarterKneeMRI - narzędzie wspierające diagnostykę kliniczną i profilaktyczną stawu kolanowego w oparciu o badanie rezonansem magnetycznym i rozwiązania sztucznej inteligencji”</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ffSqMa9F9fjfDCHOEe/9Lnpsbg==">CgMxLjAyDmguMWtybmFsZWg1Yms4Mg5oLnI1NXdzYzQ1ZzRlbjIOaC51cHNwYWZqbzk3MWcyDmguZ2llOXRiYmViNGp4Mg5oLndicHhyMzRpbTRkZzIOaC5hcWFzZmw5Z3h6eXkyDmguNmE0MzNzZ2llYmF2Mg1oLmd2MmxvMWpub2Y4OABqJwoUc3VnZ2VzdC55c2pmcnFwemMwNm8SD0FkYW0gTWHFgmtvd3NraWomChNzdWdnZXN0LmFrcWJnM2k2bXIxEg9BZGFtIE1hxYJrb3dza2lqKgoUc3VnZ2VzdC5rdzVpNjQ1N2MyejQSEk1hZ2RhbGVuYSBSYWRvbXNrYWonChRzdWdnZXN0LjM4dHhsNzN2dGVicBIPQWRhbSBNYcWCa293c2tpciExVVVXWjBnS0tPNFl1NG5LSGliZmZ1Y2pkcWlpMzlGQ00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2026-09-23T12:52:00Z</dcterms:created>
</cp:coreProperties>
</file>