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hd w:fill="ffffff" w:val="clear"/>
        <w:jc w:val="center"/>
        <w:rPr>
          <w:rFonts w:ascii="Roboto" w:cs="Roboto" w:eastAsia="Roboto" w:hAnsi="Roboto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Zapytanie ofertowe nr FENG/SD/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25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ind w:left="2410" w:right="2126" w:firstLine="0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FORMULARZ OFERTOWY</w:t>
      </w:r>
    </w:p>
    <w:p w:rsidR="00000000" w:rsidDel="00000000" w:rsidP="00000000" w:rsidRDefault="00000000" w:rsidRPr="00000000" w14:paraId="00000003">
      <w:pPr>
        <w:ind w:left="-142" w:hanging="14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Dane zamawiającego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</w:t>
      </w:r>
    </w:p>
    <w:tbl>
      <w:tblPr>
        <w:tblStyle w:val="Table1"/>
        <w:tblW w:w="10065.0" w:type="dxa"/>
        <w:jc w:val="left"/>
        <w:tblInd w:w="-289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400"/>
      </w:tblPr>
      <w:tblGrid>
        <w:gridCol w:w="2978"/>
        <w:gridCol w:w="7087"/>
        <w:tblGridChange w:id="0">
          <w:tblGrid>
            <w:gridCol w:w="2978"/>
            <w:gridCol w:w="7087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ind w:right="645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Smarter Diagnostics Sp. z o.o.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Kraj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Polska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Miasto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Olsztyn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Kod pocztowy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ind w:right="645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10-417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ind w:right="645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Towarowa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budynku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20B</w:t>
            </w:r>
          </w:p>
        </w:tc>
      </w:tr>
    </w:tbl>
    <w:p w:rsidR="00000000" w:rsidDel="00000000" w:rsidP="00000000" w:rsidRDefault="00000000" w:rsidRPr="00000000" w14:paraId="00000010">
      <w:pPr>
        <w:ind w:left="142" w:hanging="14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142" w:hanging="14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Dane oferenta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</w:t>
      </w:r>
    </w:p>
    <w:tbl>
      <w:tblPr>
        <w:tblStyle w:val="Table2"/>
        <w:tblW w:w="10050.0" w:type="dxa"/>
        <w:jc w:val="left"/>
        <w:tblInd w:w="-289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400"/>
      </w:tblPr>
      <w:tblGrid>
        <w:gridCol w:w="1702"/>
        <w:gridCol w:w="1973"/>
        <w:gridCol w:w="6375"/>
        <w:tblGridChange w:id="0">
          <w:tblGrid>
            <w:gridCol w:w="1702"/>
            <w:gridCol w:w="1973"/>
            <w:gridCol w:w="6375"/>
          </w:tblGrid>
        </w:tblGridChange>
      </w:tblGrid>
      <w:tr>
        <w:trPr>
          <w:cantSplit w:val="1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NIP / VAT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Korespondencyjny adres 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B">
            <w:pPr>
              <w:ind w:left="142" w:right="113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Dane adresowe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Kraj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Miasto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Kod pocztowy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budynku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lokalu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ind w:left="-284" w:firstLine="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-284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50.0" w:type="dxa"/>
        <w:jc w:val="left"/>
        <w:tblInd w:w="-289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400"/>
      </w:tblPr>
      <w:tblGrid>
        <w:gridCol w:w="1702"/>
        <w:gridCol w:w="1973"/>
        <w:gridCol w:w="6375"/>
        <w:tblGridChange w:id="0">
          <w:tblGrid>
            <w:gridCol w:w="1702"/>
            <w:gridCol w:w="1973"/>
            <w:gridCol w:w="6375"/>
          </w:tblGrid>
        </w:tblGridChange>
      </w:tblGrid>
      <w:tr>
        <w:trPr>
          <w:cantSplit w:val="1"/>
          <w:trHeight w:val="283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2F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 kontaktu w sprawie oferty wyznaczam:</w:t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2">
            <w:pPr>
              <w:ind w:left="142" w:right="113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Dane osoby kontaktowej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Imię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Nazwisko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 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ind w:left="142" w:hanging="14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telefonu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ind w:left="142" w:hanging="14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-284" w:firstLine="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Warunki oferty</w:t>
      </w:r>
      <w:r w:rsidDel="00000000" w:rsidR="00000000" w:rsidRPr="00000000">
        <w:rPr>
          <w:rtl w:val="0"/>
        </w:rPr>
      </w:r>
    </w:p>
    <w:tbl>
      <w:tblPr>
        <w:tblStyle w:val="Table4"/>
        <w:tblW w:w="10490.0" w:type="dxa"/>
        <w:jc w:val="left"/>
        <w:tblInd w:w="-572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400"/>
      </w:tblPr>
      <w:tblGrid>
        <w:gridCol w:w="1843"/>
        <w:gridCol w:w="7513"/>
        <w:gridCol w:w="1134"/>
        <w:tblGridChange w:id="0">
          <w:tblGrid>
            <w:gridCol w:w="1843"/>
            <w:gridCol w:w="7513"/>
            <w:gridCol w:w="1134"/>
          </w:tblGrid>
        </w:tblGridChange>
      </w:tblGrid>
      <w:tr>
        <w:trPr>
          <w:cantSplit w:val="0"/>
          <w:trHeight w:val="7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ind w:left="322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Przedmiot oferty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2">
            <w:pPr>
              <w:widowControl w:val="1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Zakup usługi dostępu do  chmury obliczeniowej oraz narzędzi wspierających proces zarządzania danymi</w:t>
            </w:r>
          </w:p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Oświadczam, że zapoznałem się z Opisem przedmiotu zamówienia  oraz Uzasadnieniem technicznym integracji ze środowiskiem chmurowym i nie wnoszę do nich zastrzeżeń.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Tak/Nie*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numPr>
                <w:ilvl w:val="0"/>
                <w:numId w:val="3"/>
              </w:numPr>
              <w:ind w:left="720" w:hanging="36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Oświadczam, że dostarczona usługa będzie spełniała wymogi techniczne i jakościowe zawarte w opisie zamówienia.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Tak/Nie*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numPr>
                <w:ilvl w:val="0"/>
                <w:numId w:val="3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120" w:before="120"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Oświadczam, że zasilanie infrastruktury w ……………. % (co najmniej 90%) pochodzi z odnawialnych źródeł energii (dokument w postaci oświadczenia Oferenta o % zasilania usługi z OZE)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Tak/Nie*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9.6093750000000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120" w:before="120" w:line="276" w:lineRule="auto"/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hd w:fill="auto" w:val="clear"/>
              <w:spacing w:after="120" w:before="120" w:line="276" w:lineRule="auto"/>
              <w:ind w:left="720" w:right="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Oświadczam, że zapewnię :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hd w:fill="auto" w:val="clear"/>
              <w:spacing w:after="0" w:before="120" w:line="276" w:lineRule="auto"/>
              <w:ind w:left="1440" w:right="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dostęp do zasobów chmurowych opisanych w zamówieniu,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hd w:fill="auto" w:val="clear"/>
              <w:spacing w:after="0" w:before="0" w:line="276" w:lineRule="auto"/>
              <w:ind w:left="1440" w:right="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wsparcie techniczne i dokumentacyjne,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hd w:fill="auto" w:val="clear"/>
              <w:spacing w:after="0" w:before="0" w:line="276" w:lineRule="auto"/>
              <w:ind w:left="1440" w:right="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monitorowanie i raportowanie wykorzystania zasobów,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hd w:fill="auto" w:val="clear"/>
              <w:spacing w:after="120" w:before="0" w:line="276" w:lineRule="auto"/>
              <w:ind w:left="1440" w:right="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utrzymanie ciągłości działania usług.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Tak/Nie*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B">
            <w:pPr>
              <w:widowControl w:val="1"/>
              <w:numPr>
                <w:ilvl w:val="0"/>
                <w:numId w:val="3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120" w:before="120"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Oświadczam, że zrealizowałem co najmniej 3 zamówienia polegające na świadczeniu usług dostępu do chmury obliczeniowej w okresie ostatnich 3 lat przed upływem terminu składania ofert (a jeżeli okres prowadzenia działalności gospodarczej przez Wykonawcę jest krótszy – w tym okresie).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Tak/Nie*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.6093750000000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after="120" w:before="120" w:line="276" w:lineRule="auto"/>
              <w:ind w:left="720" w:hanging="36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numPr>
                <w:ilvl w:val="0"/>
                <w:numId w:val="3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line="276" w:lineRule="auto"/>
              <w:ind w:left="720" w:hanging="360"/>
              <w:rPr>
                <w:rFonts w:ascii="Calibri" w:cs="Calibri" w:eastAsia="Calibri" w:hAnsi="Calibri"/>
                <w:color w:val="2222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Oświadczam, że: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1"/>
              <w:numPr>
                <w:ilvl w:val="0"/>
                <w:numId w:val="1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line="276" w:lineRule="auto"/>
              <w:ind w:left="940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podane w niniejszym Formularzu ofertowym ceny jednostkowe dotyczą odpowiednio:</w:t>
              <w:br w:type="textWrapping"/>
              <w:t xml:space="preserve">– 1 miesiąca korzystania z danego zasobu,</w:t>
              <w:br w:type="textWrapping"/>
              <w:t xml:space="preserve">– 1 godziny korzystania z instancji GPU,</w:t>
              <w:br w:type="textWrapping"/>
              <w:t xml:space="preserve">– w pozostałych przypadkach – jednostek referencyjnych wskazanych w Formularzu cenowym;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1"/>
              <w:numPr>
                <w:ilvl w:val="0"/>
                <w:numId w:val="1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line="276" w:lineRule="auto"/>
              <w:ind w:left="940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oferta została skalkulowana na podstawie cennika usług Amazon Web Services (AWS) właściwego dla regionu Frankfurt (eu-central-1), z uwzględnieniem wyjątku dotyczącego usługi Amazon Bedrock wskazanego w Opisie przedmiotu zamówienia. W przypadku modeli AI niedostępnych bezpośrednio w regionie Frankfurt oferta uwzględnia ich wywoływanie z tego regionu za pośrednictwem europejskiego profilu wnioskowania międzyregionowego (Geo–EU) oraz stawki właściwe dla wskazanego modelu i przyjętego sposobu jego wywoływania.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1"/>
              <w:numPr>
                <w:ilvl w:val="0"/>
                <w:numId w:val="1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line="276" w:lineRule="auto"/>
              <w:ind w:left="940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rozliczenie usług będzie następowało wyłącznie na podstawie faktycznego wykorzystania zasobów chmurowych przez Zamawiającego;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1"/>
              <w:numPr>
                <w:ilvl w:val="0"/>
                <w:numId w:val="1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line="276" w:lineRule="auto"/>
              <w:ind w:left="940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w przypadku wykorzystania zasobów przez okres krótszy niż jednostka referencyjna, moje wynagrodzenie zostanie naliczone proporcjonalnie do rzeczywistego czasu korzystania, zgodnie z najniższym dostępnym interwałem billingowym w ramach oferowanej usługi;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1"/>
              <w:numPr>
                <w:ilvl w:val="0"/>
                <w:numId w:val="1"/>
              </w:numPr>
              <w:pBdr>
                <w:top w:color="e5e7eb" w:space="0" w:sz="0" w:val="none"/>
                <w:left w:color="e5e7eb" w:space="0" w:sz="0" w:val="none"/>
                <w:bottom w:color="e5e7eb" w:space="0" w:sz="0" w:val="none"/>
                <w:right w:color="e5e7eb" w:space="0" w:sz="0" w:val="none"/>
                <w:between w:color="e5e7eb" w:space="0" w:sz="0" w:val="none"/>
              </w:pBdr>
              <w:spacing w:line="276" w:lineRule="auto"/>
              <w:ind w:left="940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rtl w:val="0"/>
              </w:rPr>
              <w:t xml:space="preserve">nie będą stosowane żadne minimalne okresy rozliczeniowe ani opłaty ryczałtowe nieuwzględniające rzeczywistego wykorzystania zasobów.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Tak/Nie*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Termin ważności oferty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(wskazać datę)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…………………………………………………………..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ind w:left="-142" w:firstLine="0"/>
        <w:rPr>
          <w:rFonts w:ascii="Calibri" w:cs="Calibri" w:eastAsia="Calibri" w:hAnsi="Calibri"/>
          <w:i w:val="1"/>
          <w:iCs w:val="1"/>
          <w:color w:val="7f7f7f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7f7f7f"/>
          <w:sz w:val="20"/>
          <w:szCs w:val="20"/>
          <w:rtl w:val="0"/>
        </w:rPr>
        <w:t xml:space="preserve">* Niepotrzebne skreślić</w:t>
      </w:r>
    </w:p>
    <w:p w:rsidR="00000000" w:rsidDel="00000000" w:rsidP="00000000" w:rsidRDefault="00000000" w:rsidRPr="00000000" w14:paraId="00000082">
      <w:pPr>
        <w:ind w:left="-142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-142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-142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Formularz cenowy</w:t>
      </w:r>
    </w:p>
    <w:p w:rsidR="00000000" w:rsidDel="00000000" w:rsidP="00000000" w:rsidRDefault="00000000" w:rsidRPr="00000000" w14:paraId="00000085">
      <w:pPr>
        <w:spacing w:after="220"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Zamawiający dopuszcza składanie ofert przygotowanych w innej walucie (EUR/ USD).  W przypadku podania jakichkolwiek kwot w walutach obcych, Zamawiający przeliczy te kwoty na PLN według średniego kursu Narodowego Banku Polskiego z dnia następnego po upływie terminu składania ofert (tj. zamknięcia zapytania). Jednostka referencyjna to okres/miara rozliczeniowa, na podstawie której Wykonawca prowadzi natywne rozliczenie w swoim systemie billingowym — rozliczenie rzeczywiste będzie proporcjonalne do faktycznego wykorzystania, zgodnie z Opisem przedmiotu zamówienia.</w:t>
      </w:r>
    </w:p>
    <w:p w:rsidR="00000000" w:rsidDel="00000000" w:rsidP="00000000" w:rsidRDefault="00000000" w:rsidRPr="00000000" w14:paraId="00000086">
      <w:pPr>
        <w:spacing w:after="100" w:before="320" w:line="360" w:lineRule="auto"/>
        <w:ind w:left="-2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00" w:before="320" w:line="360" w:lineRule="auto"/>
        <w:ind w:left="-2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A. Zasoby obliczeniowe (Compute)</w:t>
      </w:r>
    </w:p>
    <w:tbl>
      <w:tblPr>
        <w:tblStyle w:val="Table5"/>
        <w:tblW w:w="10275.0" w:type="dxa"/>
        <w:jc w:val="left"/>
        <w:tblInd w:w="-360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600"/>
      </w:tblPr>
      <w:tblGrid>
        <w:gridCol w:w="1125"/>
        <w:gridCol w:w="2175"/>
        <w:gridCol w:w="1635"/>
        <w:gridCol w:w="1500"/>
        <w:gridCol w:w="1740"/>
        <w:gridCol w:w="2100"/>
        <w:tblGridChange w:id="0">
          <w:tblGrid>
            <w:gridCol w:w="1125"/>
            <w:gridCol w:w="2175"/>
            <w:gridCol w:w="1635"/>
            <w:gridCol w:w="1500"/>
            <w:gridCol w:w="1740"/>
            <w:gridCol w:w="2100"/>
          </w:tblGrid>
        </w:tblGridChange>
      </w:tblGrid>
      <w:tr>
        <w:trPr>
          <w:cantSplit w:val="0"/>
          <w:trHeight w:val="172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Poz.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Zasób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Jednostka referencyjna Wykonawcy (miesiąc/godz. — wskazać)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Szacunkowa liczba jednostek w okresie 12 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Cena jednostkowa netto (PLN/EUR/USD)*</w:t>
            </w:r>
          </w:p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Łączna wartość netto (PLN/EUR/USD)*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Przetwarzanie standardowe — 5 jednostek kl. odpow. m6i.xlarge (4 vCPU / 16 GB RAM), praca ciągła ~730 godz./mies./jednostka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 × 12 mies. = 60 (lub odpowiednik w godz.: 5 × 730 × 12 = 43 800 godz.)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 </w:t>
            </w:r>
          </w:p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 </w:t>
            </w:r>
          </w:p>
          <w:p w:rsidR="00000000" w:rsidDel="00000000" w:rsidP="00000000" w:rsidRDefault="00000000" w:rsidRPr="00000000" w14:paraId="00000096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Przetwarzanie GPU — 1 jednostka kl. odpow. g4dn.xlarge, ~440 godz./mies.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mies. (lub odpowiednik w godz.: 440 × 12 = 5 280 godz.)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…………………….</w:t>
            </w:r>
          </w:p>
        </w:tc>
      </w:tr>
    </w:tbl>
    <w:p w:rsidR="00000000" w:rsidDel="00000000" w:rsidP="00000000" w:rsidRDefault="00000000" w:rsidRPr="00000000" w14:paraId="0000009D">
      <w:pPr>
        <w:spacing w:after="1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9E">
      <w:pPr>
        <w:spacing w:after="100" w:before="320" w:line="360" w:lineRule="auto"/>
        <w:ind w:left="-2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B. Przechowywanie danych i bazy danych (Storage &amp; Database)</w:t>
      </w:r>
    </w:p>
    <w:tbl>
      <w:tblPr>
        <w:tblStyle w:val="Table6"/>
        <w:tblW w:w="10185.0" w:type="dxa"/>
        <w:jc w:val="left"/>
        <w:tblInd w:w="-240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600"/>
      </w:tblPr>
      <w:tblGrid>
        <w:gridCol w:w="960"/>
        <w:gridCol w:w="2085"/>
        <w:gridCol w:w="1695"/>
        <w:gridCol w:w="1485"/>
        <w:gridCol w:w="1710"/>
        <w:gridCol w:w="2250"/>
        <w:tblGridChange w:id="0">
          <w:tblGrid>
            <w:gridCol w:w="960"/>
            <w:gridCol w:w="2085"/>
            <w:gridCol w:w="1695"/>
            <w:gridCol w:w="1485"/>
            <w:gridCol w:w="1710"/>
            <w:gridCol w:w="2250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Poz.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Zasób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Jednostka referencyjna Wykonawcy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Szacunkowa liczba jednostek w okresie 12 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Cena jednostkowa netto (PLN/EUR/USD)*</w:t>
            </w:r>
          </w:p>
          <w:p w:rsidR="00000000" w:rsidDel="00000000" w:rsidP="00000000" w:rsidRDefault="00000000" w:rsidRPr="00000000" w14:paraId="000000A4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Łączna wartość netto (PLN/EUR/USD)*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Przestrzeń obiektowa — ok. 10 TB (kl. odpow. Amazon S3 Standard)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 (np. TB/mies.)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TB × 12 mies. = 120 TB-mies.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Baza danych — 1 instancja kl. odpow. db.r6g.xlarge (4 vCPU / 32 GB RAM) + 100 GB dysk gp3 + backup standardowy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 (miesiąc)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 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Wyszukiwanie semantyczne — obsługa rozszerzenia wektorowego (pgvector lub równoważne) w ramach poz. 4 *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 (jeśli bez odrębnej opłaty — wpisać „w cenie poz. 4")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</w:tbl>
    <w:p w:rsidR="00000000" w:rsidDel="00000000" w:rsidP="00000000" w:rsidRDefault="00000000" w:rsidRPr="00000000" w14:paraId="000000B8">
      <w:pPr>
        <w:spacing w:after="120" w:lineRule="auto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W przypadku uwzględnienia wyszukiwania semantycznego w cenie poz. 4 należy wpisać w poz. 5 „w cenie poz. 4”, a w kolumnie „Łączna wartość netto” — 0, aby uniknąć podwójnego ujęcia kosztu.</w:t>
      </w:r>
    </w:p>
    <w:p w:rsidR="00000000" w:rsidDel="00000000" w:rsidP="00000000" w:rsidRDefault="00000000" w:rsidRPr="00000000" w14:paraId="000000B9">
      <w:pPr>
        <w:spacing w:after="1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00" w:before="320" w:line="360" w:lineRule="auto"/>
        <w:ind w:left="-2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C. Usługi anotacji i sztucznej inteligencji (AI Services)</w:t>
      </w:r>
    </w:p>
    <w:tbl>
      <w:tblPr>
        <w:tblStyle w:val="Table7"/>
        <w:tblW w:w="10275.0" w:type="dxa"/>
        <w:jc w:val="left"/>
        <w:tblInd w:w="-240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600"/>
      </w:tblPr>
      <w:tblGrid>
        <w:gridCol w:w="960"/>
        <w:gridCol w:w="1710"/>
        <w:gridCol w:w="1905"/>
        <w:gridCol w:w="1680"/>
        <w:gridCol w:w="1755"/>
        <w:gridCol w:w="2265"/>
        <w:tblGridChange w:id="0">
          <w:tblGrid>
            <w:gridCol w:w="960"/>
            <w:gridCol w:w="1710"/>
            <w:gridCol w:w="1905"/>
            <w:gridCol w:w="1680"/>
            <w:gridCol w:w="1755"/>
            <w:gridCol w:w="2265"/>
          </w:tblGrid>
        </w:tblGridChange>
      </w:tblGrid>
      <w:tr>
        <w:trPr>
          <w:cantSplit w:val="0"/>
          <w:trHeight w:val="1621.054687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Poz.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Zasób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Jednostka referencyjna Wykonawcy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Szacunkowa liczba jednostek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Cena jednostkowa netto (PLN/EUR/USD)*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Łączna wartość netto (PLN/EUR/USD)*</w:t>
            </w:r>
          </w:p>
        </w:tc>
      </w:tr>
      <w:tr>
        <w:trPr>
          <w:cantSplit w:val="0"/>
          <w:trHeight w:val="198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Narzędzie anotacyjne (kl. odpow. AWS SageMaker Ground Truth) — ok. 10 000 jednostek anotacyjnych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jednostka anotacyjna (1 obiekt danych podlegających anotacji)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10 000 (dla całego okresu realizacji zamówienia)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Modele generatywne — tokeny wejściowe (kl. odpow. Amazon Bedrock; model klasy Claude Sonnet w najnowszej wersji dostępnej w dniu składania ofert)</w:t>
            </w:r>
          </w:p>
          <w:p w:rsidR="00000000" w:rsidDel="00000000" w:rsidP="00000000" w:rsidRDefault="00000000" w:rsidRPr="00000000" w14:paraId="000000C9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mln tokenów wejściowych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600 mln tokenów (dla całego okresu realizacji zamówienia)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Modele generatywne — tokeny wyjściowe (kl. odpow. Amazon Bedrock; model klasy Claude Sonnet w najnowszej wersji dostępnej w dniu składania ofert)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mln tokenów wyjściowych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120 mln tokenów (dla całego okresu realizacji zamówienia)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Generowanie embeddingów (kl. odpow. modele embeddingowe Amazon Bedrock / SageMaker; model klasy Amazon Titan Text Embeddings w najnowszej wersji dostępnej w dniu składania ofert)</w:t>
            </w:r>
          </w:p>
          <w:p w:rsidR="00000000" w:rsidDel="00000000" w:rsidP="00000000" w:rsidRDefault="00000000" w:rsidRPr="00000000" w14:paraId="000000D6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mln tokenów wejściowych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1 000 mln tokenów (dla całego okresu realizacji zamówienia)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</w:tbl>
    <w:p w:rsidR="00000000" w:rsidDel="00000000" w:rsidP="00000000" w:rsidRDefault="00000000" w:rsidRPr="00000000" w14:paraId="000000DB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DC">
      <w:pPr>
        <w:spacing w:after="100" w:before="320" w:line="360" w:lineRule="auto"/>
        <w:ind w:left="-20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D. Infrastruktura sieciowa i bezpieczeństwo</w:t>
      </w:r>
    </w:p>
    <w:tbl>
      <w:tblPr>
        <w:tblStyle w:val="Table8"/>
        <w:tblW w:w="10155.0" w:type="dxa"/>
        <w:jc w:val="left"/>
        <w:tblInd w:w="-195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600"/>
      </w:tblPr>
      <w:tblGrid>
        <w:gridCol w:w="930"/>
        <w:gridCol w:w="1770"/>
        <w:gridCol w:w="1650"/>
        <w:gridCol w:w="1695"/>
        <w:gridCol w:w="1725"/>
        <w:gridCol w:w="2385"/>
        <w:tblGridChange w:id="0">
          <w:tblGrid>
            <w:gridCol w:w="930"/>
            <w:gridCol w:w="1770"/>
            <w:gridCol w:w="1650"/>
            <w:gridCol w:w="1695"/>
            <w:gridCol w:w="1725"/>
            <w:gridCol w:w="2385"/>
          </w:tblGrid>
        </w:tblGridChange>
      </w:tblGrid>
      <w:tr>
        <w:trPr>
          <w:cantSplit w:val="0"/>
          <w:trHeight w:val="96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Poz.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Zasób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Jednostka referencyjna Wykonawcy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Szacunkowa liczba jednostek w okresie 12 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Cena jednostkowa netto (PLN/EUR/USD)*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Łączna wartość netto (PLN/EUR/USD)*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Konfiguracja i obsługa VPC (izolacja sieciowa)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mies. (szacunkowa opłata przy wskazanym zużyciu; jeśli bez odrębnej opłaty — wpisać 0)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NAT Gateway (ruch wychodzący) - ok. 2 000 GB przetworzonych danych/mies.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mies. (szacunkowa opłata przy wskazanym zużyciu)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Application Load Balancer - praca ciągła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mies. (szacunkowa opłata przy wskazanym zużyciu)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Monitoring i logowanie (kl. odpow. Amazon CloudWatch) — ok. 150 GB logów/mies.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mies. (szacunkowa opłata przy wskazanym zużyciu) 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mies.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</w:t>
            </w:r>
          </w:p>
        </w:tc>
      </w:tr>
    </w:tbl>
    <w:p w:rsidR="00000000" w:rsidDel="00000000" w:rsidP="00000000" w:rsidRDefault="00000000" w:rsidRPr="00000000" w14:paraId="000000FB">
      <w:pPr>
        <w:spacing w:after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7f7f7f"/>
          <w:sz w:val="20"/>
          <w:szCs w:val="20"/>
          <w:rtl w:val="0"/>
        </w:rPr>
        <w:t xml:space="preserve">* Niepotrzebne skreślić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100" w:before="320" w:line="360" w:lineRule="auto"/>
        <w:ind w:left="-20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E. Podsumowanie wartości oferty</w:t>
      </w:r>
    </w:p>
    <w:tbl>
      <w:tblPr>
        <w:tblStyle w:val="Table9"/>
        <w:tblW w:w="10170.0" w:type="dxa"/>
        <w:jc w:val="left"/>
        <w:tblInd w:w="-225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600"/>
      </w:tblPr>
      <w:tblGrid>
        <w:gridCol w:w="4365"/>
        <w:gridCol w:w="5805"/>
        <w:tblGridChange w:id="0">
          <w:tblGrid>
            <w:gridCol w:w="4365"/>
            <w:gridCol w:w="580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Kategoria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Wartość netto/brutto (PLN/EUR/USD)*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A. Zasoby obliczeniowe (suma poz. 1–2)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 netto</w:t>
            </w:r>
          </w:p>
          <w:p w:rsidR="00000000" w:rsidDel="00000000" w:rsidP="00000000" w:rsidRDefault="00000000" w:rsidRPr="00000000" w14:paraId="00000101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—---------- brutto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B. Przechowywanie danych i bazy danych</w:t>
            </w:r>
          </w:p>
          <w:p w:rsidR="00000000" w:rsidDel="00000000" w:rsidP="00000000" w:rsidRDefault="00000000" w:rsidRPr="00000000" w14:paraId="00000103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(suma poz. 3–5)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 netto</w:t>
            </w:r>
          </w:p>
          <w:p w:rsidR="00000000" w:rsidDel="00000000" w:rsidP="00000000" w:rsidRDefault="00000000" w:rsidRPr="00000000" w14:paraId="00000105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—---------- brutto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C. Usługi anotacji i AI (suma poz. 6–9)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 netto</w:t>
            </w:r>
          </w:p>
          <w:p w:rsidR="00000000" w:rsidDel="00000000" w:rsidP="00000000" w:rsidRDefault="00000000" w:rsidRPr="00000000" w14:paraId="00000108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—---------- brutto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D. Infrastruktura sieciowa i bezpieczeństwo</w:t>
            </w:r>
          </w:p>
          <w:p w:rsidR="00000000" w:rsidDel="00000000" w:rsidP="00000000" w:rsidRDefault="00000000" w:rsidRPr="00000000" w14:paraId="0000010A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(suma poz. 10–13)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 netto</w:t>
            </w:r>
          </w:p>
          <w:p w:rsidR="00000000" w:rsidDel="00000000" w:rsidP="00000000" w:rsidRDefault="00000000" w:rsidRPr="00000000" w14:paraId="0000010C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—---------- brutto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Łączna szacunkowa wartość netto (12 miesięcy)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………………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Stawka VAT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36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……………… %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Łączna szacunkowa wartość brutto (12 miesięcy)</w:t>
            </w:r>
          </w:p>
        </w:tc>
        <w:tc>
          <w:tcPr>
            <w:tcBorders>
              <w:top w:color="d0cece" w:space="0" w:sz="4" w:val="single"/>
              <w:left w:color="d0cece" w:space="0" w:sz="4" w:val="single"/>
              <w:bottom w:color="d0cece" w:space="0" w:sz="4" w:val="single"/>
              <w:right w:color="d0cece" w:space="0" w:sz="4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………………</w:t>
            </w:r>
          </w:p>
        </w:tc>
      </w:tr>
    </w:tbl>
    <w:p w:rsidR="00000000" w:rsidDel="00000000" w:rsidP="00000000" w:rsidRDefault="00000000" w:rsidRPr="00000000" w14:paraId="00000113">
      <w:pPr>
        <w:spacing w:after="1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7f7f7f"/>
          <w:sz w:val="20"/>
          <w:szCs w:val="20"/>
          <w:rtl w:val="0"/>
        </w:rPr>
        <w:t xml:space="preserve">* Niepotrzebne skreślić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20" w:line="36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Uwaga: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Podana wartość ma charakter szacunkowy, przyjęty w celu porównania ofert. Faktyczne wynagrodzenie będzie naliczane miesięcznie na podstawie rzeczywistego wykorzystania zasobów, proporcjonalnie do jednostek referencyjnych wskazanych powyżej, zgodnie z Opisem przedmiotu zamówienia.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ind w:hanging="284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ind w:hanging="284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76" w:lineRule="auto"/>
        <w:ind w:left="-284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Niniejszym oświadczam/-y, że:</w:t>
      </w:r>
    </w:p>
    <w:p w:rsidR="00000000" w:rsidDel="00000000" w:rsidP="00000000" w:rsidRDefault="00000000" w:rsidRPr="00000000" w14:paraId="00000118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wobec naszej firmy nie jest prowadzone żadne postępowanie egzekucyjne, likwidacyjne i nie ogłoszono upadłości;</w:t>
      </w:r>
    </w:p>
    <w:p w:rsidR="00000000" w:rsidDel="00000000" w:rsidP="00000000" w:rsidRDefault="00000000" w:rsidRPr="00000000" w14:paraId="00000119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zrealizuję/-emy zamówienie w ustalonym terminie;</w:t>
      </w:r>
    </w:p>
    <w:p w:rsidR="00000000" w:rsidDel="00000000" w:rsidP="00000000" w:rsidRDefault="00000000" w:rsidRPr="00000000" w14:paraId="0000011A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zapoznałem/-liśmy się z zapytaniem ofertowym oraz uzyskaliśmy konieczne informacje niezbędne do przygotowania oferty;</w:t>
      </w:r>
    </w:p>
    <w:p w:rsidR="00000000" w:rsidDel="00000000" w:rsidP="00000000" w:rsidRDefault="00000000" w:rsidRPr="00000000" w14:paraId="0000011B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zapoznałem/-liśmy się z opisem przedmiotu zamówienia i nasza oferta zawiera wszystkie elementy określone w zapytaniu, jest zgodna z zakresem i wymaganiami przedmiotu zamówienia oraz nie wnoszę/wnosimy do niego zastrzeżeń;</w:t>
      </w:r>
    </w:p>
    <w:p w:rsidR="00000000" w:rsidDel="00000000" w:rsidP="00000000" w:rsidRDefault="00000000" w:rsidRPr="00000000" w14:paraId="0000011C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wszystkie informacje zamieszczone w ofercie są aktualne i prawdziwe oraz spełniam/-y wszelkie kryteria wymagane zapytaniem ofertowym;</w:t>
      </w:r>
    </w:p>
    <w:p w:rsidR="00000000" w:rsidDel="00000000" w:rsidP="00000000" w:rsidRDefault="00000000" w:rsidRPr="00000000" w14:paraId="000001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426" w:hanging="568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zobowiązuję/-emy się w przypadku uznania tej oferty za najkorzystniejszą w przedmiotowym postępowaniu do zawarcia umowy na warunkach określonych zapytaniem ofertowym w terminie i miejscu wskazanym przez Zamawiającego;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426" w:hanging="568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będę/-dziemy dążyć do realizacji zamówienia w sposób korzystny dla środowiska, poprzez zapewnienie minimalizacji zużycia materiałów, surowców, energii, itp.;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znam/-y i akceptuję/-emy warunki realizacji zamówienia określone w zapytaniu ofertowym oraz nie wnoszę/wnosimy żadnych zastrzeżeń i uwag w tym zakresie;</w:t>
      </w:r>
    </w:p>
    <w:p w:rsidR="00000000" w:rsidDel="00000000" w:rsidP="00000000" w:rsidRDefault="00000000" w:rsidRPr="00000000" w14:paraId="00000120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nie jestem podmiotem powiązanym osobowo lub kapitałowo z Zamawiającym, tzn. między nami nie istnieje ani nie występuje ryzyko wpływu powiązań osobowych lub kapitałowych na bezstronność postępowania, polegające w szczególności 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:rsidR="00000000" w:rsidDel="00000000" w:rsidP="00000000" w:rsidRDefault="00000000" w:rsidRPr="00000000" w14:paraId="0000012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b) 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:rsidR="00000000" w:rsidDel="00000000" w:rsidP="00000000" w:rsidRDefault="00000000" w:rsidRPr="00000000" w14:paraId="0000012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c) pozostawaniu z wykonawcą w takim stosunku prawnym lub faktycznym, że istnieje uzasadniona wątpliwość co do ich bezstronności lub niezależności w związku z postępowaniem o udzielenie zamówienia;</w:t>
      </w:r>
    </w:p>
    <w:p w:rsidR="00000000" w:rsidDel="00000000" w:rsidP="00000000" w:rsidRDefault="00000000" w:rsidRPr="00000000" w14:paraId="00000124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nie podlegam wykluczeniu z postępowania na podstawie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2022/1269 z dnia 21 lipca 2022 r. w sprawie zmiany rozporządzenia (UE) nr 833/2014 dotyczącego środków ograniczających w związku z działaniami Rosji destabilizującymi sytuację na Ukrainie z dnia 21 lipca 2022 r. (Dz.Urz.UE.L Nr 193, str. 1), dalej: rozporządzenie 2022/1269 oraz rozporządzeniem Rady (UE) 2023/1214 z dnia 23 czerwca 2023 r. zmieniającym rozporządzenie (UE) nr 833/2014 dotyczące środków ograniczających w związku z działaniami Rosji destabilizującymi sytuację na Ukrainie z dnia 23 czerwca 2023 r. (Dz.Urz.UE.L Nr 159I, str. 1), dalej: rozporządzenie 2023/1214;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568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nie zachodzą w stosunku do mnie przesłanki wykluczenia z postępowania na podstawie art. 7 ust. 1 ustawy z dnia 13 kwietnia 2022 r. o szczególnych rozwiązaniach w zakresie przeciwdziałania wspieraniu agresji na Ukrainę</w:t>
      </w: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 oraz służących ochronie bezpieczeństwa narodowego (t.j. Dz. U. z 2024 r., poz. 507).</w:t>
      </w:r>
      <w:r w:rsidDel="00000000" w:rsidR="00000000" w:rsidRPr="00000000">
        <w:rPr>
          <w:rFonts w:ascii="Calibri" w:cs="Calibri" w:eastAsia="Calibri" w:hAnsi="Calibri"/>
          <w:color w:val="000000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ind w:left="-142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ind w:left="-142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Podpisy:</w:t>
      </w:r>
    </w:p>
    <w:tbl>
      <w:tblPr>
        <w:tblStyle w:val="Table10"/>
        <w:tblW w:w="9923.0" w:type="dxa"/>
        <w:jc w:val="left"/>
        <w:tblInd w:w="-147.0" w:type="dxa"/>
        <w:tblBorders>
          <w:top w:color="d0cece" w:space="0" w:sz="4" w:val="single"/>
          <w:left w:color="d0cece" w:space="0" w:sz="4" w:val="single"/>
          <w:bottom w:color="d0cece" w:space="0" w:sz="4" w:val="single"/>
          <w:right w:color="d0cece" w:space="0" w:sz="4" w:val="single"/>
          <w:insideH w:color="d0cece" w:space="0" w:sz="4" w:val="single"/>
          <w:insideV w:color="d0cece" w:space="0" w:sz="4" w:val="single"/>
        </w:tblBorders>
        <w:tblLayout w:type="fixed"/>
        <w:tblLook w:val="0400"/>
      </w:tblPr>
      <w:tblGrid>
        <w:gridCol w:w="3828"/>
        <w:gridCol w:w="1843"/>
        <w:gridCol w:w="4252"/>
        <w:tblGridChange w:id="0">
          <w:tblGrid>
            <w:gridCol w:w="3828"/>
            <w:gridCol w:w="1843"/>
            <w:gridCol w:w="4252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Podpisy osób upoważnionych do reprezentacji podmiotu w ramach wystawienia oferty</w:t>
            </w:r>
          </w:p>
        </w:tc>
      </w:tr>
      <w:tr>
        <w:trPr>
          <w:cantSplit w:val="0"/>
          <w:trHeight w:val="183" w:hRule="atLeast"/>
          <w:tblHeader w:val="0"/>
        </w:trPr>
        <w:tc>
          <w:tcPr/>
          <w:p w:rsidR="00000000" w:rsidDel="00000000" w:rsidP="00000000" w:rsidRDefault="00000000" w:rsidRPr="00000000" w14:paraId="0000012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Podpis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rPr>
          <w:rFonts w:ascii="Calibri" w:cs="Calibri" w:eastAsia="Calibri" w:hAnsi="Calibri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40" w:w="11910" w:orient="portrait"/>
          <w:pgMar w:bottom="57" w:top="585" w:left="1259" w:right="902" w:header="375" w:footer="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13" w:type="default"/>
      <w:type w:val="continuous"/>
      <w:pgSz w:h="16840" w:w="11910" w:orient="portrait"/>
      <w:pgMar w:bottom="278" w:top="1899" w:left="833" w:right="902" w:header="782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rFonts w:ascii="Calibri" w:cs="Calibri" w:eastAsia="Calibri" w:hAnsi="Calibri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rFonts w:ascii="Calibri" w:cs="Calibri" w:eastAsia="Calibri" w:hAnsi="Calibri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ind w:left="-567" w:firstLine="0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4">
    <w:pPr>
      <w:widowControl w:val="1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5749290" cy="506095"/>
          <wp:effectExtent b="0" l="0" r="0" t="0"/>
          <wp:docPr descr="page1image66096384" id="1954797304" name="image1.jpg"/>
          <a:graphic>
            <a:graphicData uri="http://schemas.openxmlformats.org/drawingml/2006/picture">
              <pic:pic>
                <pic:nvPicPr>
                  <pic:cNvPr descr="page1image66096384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9290" cy="5060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5">
    <w:pPr>
      <w:ind w:left="142" w:hanging="142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6">
    <w:pPr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Załącznik nr 1</w:t>
    </w:r>
  </w:p>
  <w:p w:rsidR="00000000" w:rsidDel="00000000" w:rsidP="00000000" w:rsidRDefault="00000000" w:rsidRPr="00000000" w14:paraId="000001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rFonts w:ascii="Calibri" w:cs="Calibri" w:eastAsia="Calibri" w:hAnsi="Calibri"/>
        <w:color w:val="000000"/>
        <w:highlight w:val="white"/>
      </w:rPr>
    </w:pPr>
    <w:r w:rsidDel="00000000" w:rsidR="00000000" w:rsidRPr="00000000">
      <w:rPr>
        <w:rFonts w:ascii="Calibri" w:cs="Calibri" w:eastAsia="Calibri" w:hAnsi="Calibri"/>
        <w:color w:val="000000"/>
        <w:highlight w:val="white"/>
        <w:rtl w:val="0"/>
      </w:rPr>
      <w:t xml:space="preserve">Projekt nr FENG.01.01-IP.02-4013/23 pn. „SmarterKneeMRI - narzędzie wspierające diagnostykę kliniczną i profilaktyczną stawu kolanowego w oparciu o badanie rezonansem magnetycznym i rozwiązania sztucznej inteligencji”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0"/>
        <w:bCs w:val="0"/>
        <w:color w:val="2222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PISTRECI" w:customStyle="1">
    <w:name w:val="SPIS TREŚCI"/>
    <w:basedOn w:val="Nagwek1"/>
    <w:next w:val="Normalny"/>
    <w:qFormat w:val="1"/>
    <w:rsid w:val="00A34816"/>
    <w:pPr>
      <w:pageBreakBefore w:val="1"/>
      <w:pBdr>
        <w:bottom w:color="2f5496" w:space="1" w:sz="4" w:themeColor="accent1" w:themeShade="0000BF" w:val="single"/>
      </w:pBdr>
      <w:spacing w:after="240" w:before="480"/>
      <w:jc w:val="both"/>
    </w:pPr>
    <w:rPr>
      <w:rFonts w:asciiTheme="minorHAnsi" w:hAnsiTheme="minorHAnsi"/>
      <w:b w:val="1"/>
      <w:noProof w:val="1"/>
      <w:sz w:val="24"/>
    </w:rPr>
  </w:style>
  <w:style w:type="character" w:styleId="Nagwek1Znak" w:customStyle="1">
    <w:name w:val="Nagłówek 1 Znak"/>
    <w:basedOn w:val="Domylnaczcionkaakapitu"/>
    <w:link w:val="Nagwek1"/>
    <w:uiPriority w:val="9"/>
    <w:rsid w:val="00A34816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Nagwek1nonum" w:customStyle="1">
    <w:name w:val="Nagłówek 1 nonum"/>
    <w:basedOn w:val="Bezodstpw"/>
    <w:next w:val="Bezodstpw"/>
    <w:link w:val="Nagwek1nonumZnak"/>
    <w:autoRedefine w:val="1"/>
    <w:qFormat w:val="1"/>
    <w:rsid w:val="00A34816"/>
    <w:pPr>
      <w:keepNext w:val="1"/>
      <w:keepLines w:val="1"/>
      <w:pageBreakBefore w:val="1"/>
      <w:numPr>
        <w:numId w:val="2"/>
      </w:numPr>
      <w:pBdr>
        <w:bottom w:color="2f5496" w:space="1" w:sz="4" w:themeColor="accent1" w:themeShade="0000BF" w:val="single"/>
      </w:pBdr>
      <w:spacing w:after="240" w:before="480"/>
      <w:ind w:left="1224"/>
      <w:jc w:val="both"/>
    </w:pPr>
    <w:rPr>
      <w:rFonts w:ascii="Candara" w:hAnsi="Candara" w:cstheme="majorBidi" w:eastAsiaTheme="majorEastAsia"/>
      <w:b w:val="1"/>
      <w:i w:val="1"/>
      <w:color w:val="2f5496" w:themeColor="accent1" w:themeShade="0000BF"/>
      <w:sz w:val="28"/>
      <w:szCs w:val="32"/>
      <w:lang w:bidi="en-US" w:eastAsia="zh-CN"/>
    </w:rPr>
  </w:style>
  <w:style w:type="character" w:styleId="Nagwek1nonumZnak" w:customStyle="1">
    <w:name w:val="Nagłówek 1 nonum Znak"/>
    <w:basedOn w:val="Nagwek1Znak"/>
    <w:link w:val="Nagwek1nonum"/>
    <w:rsid w:val="00A34816"/>
    <w:rPr>
      <w:rFonts w:ascii="Candara" w:hAnsi="Candara" w:cstheme="majorBidi" w:eastAsiaTheme="majorEastAsia"/>
      <w:b w:val="1"/>
      <w:i w:val="1"/>
      <w:color w:val="2f5496" w:themeColor="accent1" w:themeShade="0000BF"/>
      <w:sz w:val="28"/>
      <w:szCs w:val="32"/>
      <w:lang w:bidi="en-US" w:eastAsia="zh-CN"/>
    </w:rPr>
  </w:style>
  <w:style w:type="paragraph" w:styleId="Bezodstpw">
    <w:name w:val="No Spacing"/>
    <w:uiPriority w:val="1"/>
    <w:qFormat w:val="1"/>
    <w:rsid w:val="00A34816"/>
  </w:style>
  <w:style w:type="table" w:styleId="TableNormal6" w:customStyle="1">
    <w:name w:val="Table Normal"/>
    <w:uiPriority w:val="2"/>
    <w:semiHidden w:val="1"/>
    <w:unhideWhenUsed w:val="1"/>
    <w:qFormat w:val="1"/>
    <w:rsid w:val="00316F8C"/>
    <w:pPr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kstpodstawowy">
    <w:name w:val="Body Text"/>
    <w:basedOn w:val="Normalny"/>
    <w:link w:val="TekstpodstawowyZnak"/>
    <w:uiPriority w:val="1"/>
    <w:qFormat w:val="1"/>
    <w:rsid w:val="00316F8C"/>
  </w:style>
  <w:style w:type="character" w:styleId="TekstpodstawowyZnak" w:customStyle="1">
    <w:name w:val="Tekst podstawowy Znak"/>
    <w:basedOn w:val="Domylnaczcionkaakapitu"/>
    <w:link w:val="Tekstpodstawowy"/>
    <w:uiPriority w:val="1"/>
    <w:rsid w:val="00316F8C"/>
    <w:rPr>
      <w:rFonts w:ascii="Arial" w:cs="Arial" w:eastAsia="Arial" w:hAnsi="Arial"/>
      <w:sz w:val="22"/>
      <w:szCs w:val="22"/>
    </w:rPr>
  </w:style>
  <w:style w:type="paragraph" w:styleId="TableParagraph" w:customStyle="1">
    <w:name w:val="Table Paragraph"/>
    <w:basedOn w:val="Normalny"/>
    <w:uiPriority w:val="1"/>
    <w:qFormat w:val="1"/>
    <w:rsid w:val="00316F8C"/>
  </w:style>
  <w:style w:type="paragraph" w:styleId="Nagwek">
    <w:name w:val="header"/>
    <w:basedOn w:val="Normalny"/>
    <w:link w:val="NagwekZnak"/>
    <w:uiPriority w:val="99"/>
    <w:unhideWhenUsed w:val="1"/>
    <w:rsid w:val="00316F8C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316F8C"/>
    <w:rPr>
      <w:rFonts w:ascii="Arial" w:cs="Arial" w:eastAsia="Arial" w:hAnsi="Arial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 w:val="1"/>
    <w:rsid w:val="00316F8C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316F8C"/>
    <w:rPr>
      <w:rFonts w:ascii="Arial" w:cs="Arial" w:eastAsia="Arial" w:hAnsi="Arial"/>
      <w:sz w:val="22"/>
      <w:szCs w:val="22"/>
    </w:rPr>
  </w:style>
  <w:style w:type="paragraph" w:styleId="NormalnyWeb">
    <w:name w:val="Normal (Web)"/>
    <w:basedOn w:val="Normalny"/>
    <w:uiPriority w:val="99"/>
    <w:unhideWhenUsed w:val="1"/>
    <w:rsid w:val="0037562B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paragraph" w:styleId="Akapitzlist">
    <w:name w:val="List Paragraph"/>
    <w:aliases w:val="Lista - wielopoziomowa,Akapit z listą1,Numerowanie,Akapit z listą BS,Kolorowa lista — akcent 11,List Paragraph,sw tekst,L1"/>
    <w:basedOn w:val="Normalny"/>
    <w:link w:val="AkapitzlistZnak"/>
    <w:uiPriority w:val="34"/>
    <w:qFormat w:val="1"/>
    <w:rsid w:val="0037562B"/>
    <w:pPr>
      <w:widowControl w:val="1"/>
      <w:autoSpaceDE w:val="1"/>
      <w:autoSpaceDN w:val="1"/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</w:rPr>
  </w:style>
  <w:style w:type="table" w:styleId="Tabela-Siatka">
    <w:name w:val="Table Grid"/>
    <w:basedOn w:val="Standardowy"/>
    <w:uiPriority w:val="39"/>
    <w:rsid w:val="00BA0B6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-Siatka1" w:customStyle="1">
    <w:name w:val="Tabela - Siatka1"/>
    <w:basedOn w:val="Standardowy"/>
    <w:next w:val="Tabela-Siatka"/>
    <w:uiPriority w:val="39"/>
    <w:rsid w:val="00DD60D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CA57B3"/>
    <w:rPr>
      <w:vertAlign w:val="superscript"/>
    </w:rPr>
  </w:style>
  <w:style w:type="table" w:styleId="a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Pr>
      <w:sz w:val="16"/>
      <w:szCs w:val="16"/>
    </w:rPr>
  </w:style>
  <w:style w:type="paragraph" w:styleId="punktowaniezwyke" w:customStyle="1">
    <w:name w:val="punktowanie zwykłe"/>
    <w:basedOn w:val="Akapitzlist"/>
    <w:link w:val="punktowaniezwykeZnak"/>
    <w:qFormat w:val="1"/>
    <w:rsid w:val="00CA6290"/>
    <w:pPr>
      <w:widowControl w:val="0"/>
      <w:tabs>
        <w:tab w:val="num" w:pos="720"/>
      </w:tabs>
      <w:autoSpaceDE w:val="0"/>
      <w:autoSpaceDN w:val="0"/>
      <w:adjustRightInd w:val="0"/>
      <w:spacing w:after="0" w:line="240" w:lineRule="auto"/>
      <w:ind w:left="426" w:hanging="720"/>
      <w:jc w:val="both"/>
    </w:pPr>
    <w:rPr>
      <w:rFonts w:cs="Arial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 w:val="1"/>
    <w:rsid w:val="00CA6290"/>
    <w:pPr>
      <w:widowControl w:val="1"/>
      <w:autoSpaceDE w:val="1"/>
      <w:autoSpaceDN w:val="1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CA6290"/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punktowaniezwykeZnak" w:customStyle="1">
    <w:name w:val="punktowanie zwykłe Znak"/>
    <w:basedOn w:val="Domylnaczcionkaakapitu"/>
    <w:link w:val="punktowaniezwyke"/>
    <w:rsid w:val="00CA6290"/>
    <w:rPr>
      <w:rFonts w:asciiTheme="minorHAnsi" w:eastAsiaTheme="minorHAnsi" w:hAnsiTheme="minorHAns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97014D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97014D"/>
    <w:rPr>
      <w:b w:val="1"/>
      <w:bCs w:val="1"/>
      <w:sz w:val="20"/>
      <w:szCs w:val="20"/>
    </w:rPr>
  </w:style>
  <w:style w:type="table" w:styleId="a5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numbering" w:styleId="Zaimportowanystyl7" w:customStyle="1">
    <w:name w:val="Zaimportowany styl 7"/>
    <w:rsid w:val="00EF7D37"/>
  </w:style>
  <w:style w:type="numbering" w:styleId="Zaimportowanystyl8" w:customStyle="1">
    <w:name w:val="Zaimportowany styl 8"/>
    <w:rsid w:val="00EF7D37"/>
  </w:style>
  <w:style w:type="numbering" w:styleId="Zaimportowanystyl9" w:customStyle="1">
    <w:name w:val="Zaimportowany styl 9"/>
    <w:rsid w:val="00EF7D37"/>
  </w:style>
  <w:style w:type="character" w:styleId="AkapitzlistZnak" w:customStyle="1">
    <w:name w:val="Akapit z listą Znak"/>
    <w:aliases w:val="Lista - wielopoziomowa Znak,Akapit z listą1 Znak,Numerowanie Znak,Akapit z listą BS Znak,Kolorowa lista — akcent 11 Znak,List Paragraph Znak,sw tekst Znak,L1 Znak"/>
    <w:link w:val="Akapitzlist"/>
    <w:uiPriority w:val="34"/>
    <w:rsid w:val="00EF7D37"/>
    <w:rPr>
      <w:rFonts w:asciiTheme="minorHAnsi" w:cstheme="minorBidi" w:eastAsiaTheme="minorHAnsi" w:hAnsiTheme="minorHAnsi"/>
    </w:rPr>
  </w:style>
  <w:style w:type="table" w:styleId="af1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7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8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1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4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3" Type="http://schemas.openxmlformats.org/officeDocument/2006/relationships/header" Target="header4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utZbJ5zq6Q6BcJtK/wOjpV9acg==">CgMxLjA4AHIhMVhHVWdSRGFrRktGMVhhN3pOMjJQYU1NUVp1cFh6dWZZ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2025-07-31T15:09:00Z</dcterms:created>
  <dc:creator>Business Consulting Joanna Manikowska Joanna Manikowska</dc:creator>
</cp:coreProperties>
</file>