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i/>
          <w:iCs/>
          <w:sz w:val="18"/>
          <w:szCs w:val="18"/>
        </w:rPr>
        <w:t xml:space="preserve">Załącznik nr 2 do zapytania ofertowego nr 1/2026/FEPW</w:t>
      </w:r>
    </w:p>
    <w:p>
      <w:pPr>
        <w:spacing w:after="200" w:before="120"/>
        <w:jc w:val="center"/>
      </w:pPr>
      <w:r>
        <w:rPr>
          <w:b/>
          <w:bCs/>
          <w:color w:val="1F3864"/>
          <w:sz w:val="26"/>
          <w:szCs w:val="26"/>
        </w:rPr>
        <w:t xml:space="preserve">FORMULARZ OFERTOWY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  <w:tblHeader w:val="false"/>
        </w:trPr>
        <w:tc>
          <w:tcPr>
            <w:tcW w:type="dxa" w:w="34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Nazwa wykonawcy</w:t>
            </w:r>
          </w:p>
        </w:tc>
        <w:tc>
          <w:tcPr>
            <w:tcW w:type="dxa" w:w="62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34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Adres siedziby</w:t>
            </w:r>
          </w:p>
        </w:tc>
        <w:tc>
          <w:tcPr>
            <w:tcW w:type="dxa" w:w="62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34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NIP / KRS lub CEIDG</w:t>
            </w:r>
          </w:p>
        </w:tc>
        <w:tc>
          <w:tcPr>
            <w:tcW w:type="dxa" w:w="62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34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Osoba do kontaktu, e-mail, telefon</w:t>
            </w:r>
          </w:p>
        </w:tc>
        <w:tc>
          <w:tcPr>
            <w:tcW w:type="dxa" w:w="62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100" w:line="276"/>
        <w:jc w:val="both"/>
      </w:pPr>
      <w:r>
        <w:t xml:space="preserve">Odpowiadając na zapytanie ofertowe nr 1/2026/FEPW, oferujemy wykonanie przedmiotu zamówienia zgodnie z wymaganiami zapytania i OPZ za następującą cenę:</w:t>
      </w:r>
    </w:p>
    <w:p>
      <w:pPr>
        <w:spacing w:after="100" w:line="276"/>
        <w:jc w:val="both"/>
      </w:pPr>
      <w:r>
        <w:rPr>
          <w:b/>
          <w:bCs/>
        </w:rPr>
        <w:t xml:space="preserve">Tabela 1. Wynagrodzenie miesięczne i cena oferty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1950"/>
        <w:gridCol w:w="1950"/>
        <w:gridCol w:w="1938"/>
      </w:tblGrid>
      <w:tr>
        <w:trPr>
          <w:cantSplit/>
          <w:tblHeader/>
        </w:trPr>
        <w:tc>
          <w:tcPr>
            <w:tcW w:type="dxa" w:w="3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Obszar</w:t>
            </w: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Netto / mies. [zł]</w:t>
            </w: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VAT [zł]</w:t>
            </w:r>
          </w:p>
        </w:tc>
        <w:tc>
          <w:tcPr>
            <w:tcW w:type="dxa" w:w="1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Brutto / mies. [zł]</w:t>
            </w:r>
          </w:p>
        </w:tc>
      </w:tr>
      <w:tr>
        <w:trPr>
          <w:cantSplit/>
          <w:tblHeader w:val="false"/>
        </w:trPr>
        <w:tc>
          <w:tcPr>
            <w:tcW w:type="dxa" w:w="3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A. Infrastruktura chmurowa</w:t>
            </w: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3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B. Modele AI przez API</w:t>
            </w: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3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C. Narzędzia środowiskowe</w:t>
            </w: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3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D. Wdrożenie i utrzymanie</w:t>
            </w: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3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Razem miesięcznie</w:t>
            </w: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3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CENA OFERTY</w:t>
            </w:r>
            <w:r>
              <w:t xml:space="preserve"> (razem miesięcznie × 11 mies.)</w:t>
            </w: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5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  <w:tc>
          <w:tcPr>
            <w:tcW w:type="dxa" w:w="1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100" w:line="276"/>
        <w:jc w:val="both"/>
      </w:pPr>
      <w:r>
        <w:rPr>
          <w:b/>
          <w:bCs/>
        </w:rPr>
        <w:t xml:space="preserve">Tabela 2. Ceny jednostkowe do rozliczenia prawa opcji</w:t>
      </w:r>
      <w:r>
        <w:t xml:space="preserve"> (nie podlegają ocenie)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rPr>
          <w:cantSplit/>
          <w:tblHeader/>
        </w:trPr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Jednostka</w:t>
            </w:r>
          </w:p>
        </w:tc>
        <w:tc>
          <w:tcPr>
            <w:tcW w:type="dxa" w:w="4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Cena netto [zł]</w:t>
            </w:r>
          </w:p>
        </w:tc>
      </w:tr>
      <w:tr>
        <w:trPr>
          <w:cantSplit/>
          <w:tblHeader w:val="false"/>
        </w:trPr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1 mln tokenów wejściowych – model główny</w:t>
            </w:r>
          </w:p>
        </w:tc>
        <w:tc>
          <w:tcPr>
            <w:tcW w:type="dxa" w:w="4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1 mln tokenów wyjściowych – model główny</w:t>
            </w:r>
          </w:p>
        </w:tc>
        <w:tc>
          <w:tcPr>
            <w:tcW w:type="dxa" w:w="4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1 mln tokenów – model pomocniczy</w:t>
            </w:r>
          </w:p>
        </w:tc>
        <w:tc>
          <w:tcPr>
            <w:tcW w:type="dxa" w:w="4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1 mln tokenów – model wektoryzacji</w:t>
            </w:r>
          </w:p>
        </w:tc>
        <w:tc>
          <w:tcPr>
            <w:tcW w:type="dxa" w:w="4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100 GB magazynu obiektowego / mies.</w:t>
            </w:r>
          </w:p>
        </w:tc>
        <w:tc>
          <w:tcPr>
            <w:tcW w:type="dxa" w:w="4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  <w:tblHeader w:val="false"/>
        </w:trPr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1 godzina pracy inżyniera chmury ponad abonament</w:t>
            </w:r>
          </w:p>
        </w:tc>
        <w:tc>
          <w:tcPr>
            <w:tcW w:type="dxa" w:w="4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100" w:line="276"/>
        <w:jc w:val="both"/>
      </w:pPr>
      <w:r>
        <w:rPr>
          <w:b/>
          <w:bCs/>
        </w:rPr>
        <w:t xml:space="preserve">Tabela 3. Parametry oceniane w kryteriach pozacenowych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rPr>
          <w:cantSplit/>
          <w:tblHeader/>
        </w:trPr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Parametr</w:t>
            </w:r>
          </w:p>
        </w:tc>
        <w:tc>
          <w:tcPr>
            <w:tcW w:type="dxa" w:w="4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Oferowana wartość</w:t>
            </w:r>
          </w:p>
        </w:tc>
      </w:tr>
      <w:tr>
        <w:trPr>
          <w:cantSplit/>
          <w:tblHeader w:val="false"/>
        </w:trPr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Czas reakcji na awarię krytyczną (maks. 4 h)</w:t>
            </w:r>
          </w:p>
        </w:tc>
        <w:tc>
          <w:tcPr>
            <w:tcW w:type="dxa" w:w="4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…… h</w:t>
            </w:r>
          </w:p>
        </w:tc>
      </w:tr>
      <w:tr>
        <w:trPr>
          <w:cantSplit/>
          <w:tblHeader w:val="false"/>
        </w:trPr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Liczba godzin pracy inżyniera chmury w miesiącu (min. 14 h)</w:t>
            </w:r>
          </w:p>
        </w:tc>
        <w:tc>
          <w:tcPr>
            <w:tcW w:type="dxa" w:w="4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t xml:space="preserve">…… h</w:t>
            </w:r>
          </w:p>
        </w:tc>
      </w:tr>
    </w:tbl>
    <w:p>
      <w:pPr>
        <w:spacing w:after="60"/>
      </w:pPr>
    </w:p>
    <w:p>
      <w:pPr>
        <w:spacing w:after="100" w:line="276"/>
        <w:jc w:val="both"/>
      </w:pPr>
      <w:r>
        <w:t xml:space="preserve">Oświadczamy, że: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zapoznaliśmy się z treścią zapytania ofertowego i nie wnosimy do niego zastrzeżeń, a cena oferty obejmuje wszystkie koszty realizacji zamówienia, w tym ryzyko kursowe;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nie podlegamy wykluczeniu z postępowania na podstawie pkt 7 zapytania;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oferowane usługi spełniają wszystkie wymagania minimalne OPZ, w tym lokalizację danych w UE lub EOG oraz brak retencji i trenowania modeli na danych Zamawiającego;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jesteśmy związani ofertą przez 30 dni od upływu terminu składania ofert;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w przypadku wyboru naszej oferty zobowiązujemy się do zawarcia umowy na warunkach określonych w zapytaniu, w miejscu i terminie wskazanym przez Zamawiającego.</w:t>
      </w:r>
    </w:p>
    <w:p>
      <w:pPr>
        <w:spacing w:after="60"/>
      </w:pPr>
    </w:p>
    <w:p>
      <w:pPr>
        <w:spacing w:after="100" w:line="276"/>
        <w:jc w:val="left"/>
      </w:pPr>
      <w:r>
        <w:t xml:space="preserve">…………………………………, dnia ……………          …………………………………………………</w:t>
      </w:r>
    </w:p>
    <w:p>
      <w:pPr>
        <w:spacing w:after="100" w:line="276"/>
        <w:jc w:val="left"/>
      </w:pPr>
      <w:r>
        <w:rPr>
          <w:i/>
          <w:iCs/>
          <w:sz w:val="16"/>
          <w:szCs w:val="16"/>
        </w:rPr>
        <w:t xml:space="preserve">                                                                         podpis osoby uprawnionej</w:t>
      </w:r>
    </w:p>
    <w:sectPr>
      <w:headerReference w:type="default" r:id="rId7"/>
      <w:footerReference w:type="default" r:id="rId8"/>
      <w:pgSz w:w="11906" w:h="16838" w:orient="portrait"/>
      <w:pgMar w:top="1600" w:right="1134" w:bottom="1134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EA9C1" w:sz="4" w:space="4"/>
      </w:pBdr>
      <w:jc w:val="center"/>
    </w:pPr>
    <w:r>
      <w:rPr>
        <w:color w:val="666666"/>
        <w:sz w:val="16"/>
        <w:szCs w:val="16"/>
      </w:rPr>
      <w:t xml:space="preserve">Zał. nr 2 – Formularz ofertowy – zapytanie 1/2026/FEPW  |  strona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z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drawing>
        <wp:inline distT="0" distB="0" distL="0" distR="0">
          <wp:extent cx="5715000" cy="676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  <w:lvl w:ilvl="1" w15:tentative="1">
      <w:start w:val="1"/>
      <w:numFmt w:val="bullet"/>
      <w:lvlText w:val="–"/>
      <w:lvlJc w:val="left"/>
      <w:pPr>
        <w:ind w:left="1134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num w:numId="1">
    <w:abstractNumId w:val="1"/>
    <w:lvlOverride w:ilvl="0">
      <w:startOverride w:val="1"/>
    </w:lvlOverride>
  </w:num>
  <w:num w:numId="2">
    <w:abstractNumId w:val="1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Arial" w:cs="Arial" w:eastAsia="Arial" w:hAnsi="Arial"/>
      <w:b/>
      <w:bCs/>
      <w:color w:val="1F3864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47449b45c2772647e8d93bf44a7ebd764f0fa2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– Formularz ofertowy – zapytanie 1/2026/FEPW</dc:title>
  <dc:creator>Rudder Sp. z o.o.</dc:creator>
  <cp:lastModifiedBy>Un-named</cp:lastModifiedBy>
  <cp:revision>1</cp:revision>
  <dcterms:created xsi:type="dcterms:W3CDTF">2026-10-07T18:42:59.887Z</dcterms:created>
  <dcterms:modified xsi:type="dcterms:W3CDTF">2026-10-07T18:42:59.887Z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