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7243E0B" w14:textId="60F4875A" w:rsidR="00490A77" w:rsidRPr="00490A77" w:rsidRDefault="00490A77" w:rsidP="00490A77">
      <w:pPr>
        <w:spacing w:line="279" w:lineRule="auto"/>
        <w:jc w:val="right"/>
        <w:rPr>
          <w:rFonts w:ascii="Calibri" w:eastAsia="Aptos" w:hAnsi="Calibri" w:cs="Calibri"/>
          <w:kern w:val="0"/>
          <w:sz w:val="22"/>
          <w:szCs w:val="22"/>
          <w14:ligatures w14:val="none"/>
        </w:rPr>
      </w:pPr>
      <w:r w:rsidRPr="00490A77">
        <w:rPr>
          <w:rFonts w:ascii="Calibri" w:eastAsia="Aptos" w:hAnsi="Calibri" w:cs="Calibri"/>
          <w:kern w:val="0"/>
          <w:sz w:val="22"/>
          <w:szCs w:val="22"/>
          <w14:ligatures w14:val="none"/>
        </w:rPr>
        <w:t xml:space="preserve">Dąbie, </w:t>
      </w:r>
      <w:r>
        <w:rPr>
          <w:rFonts w:ascii="Calibri" w:eastAsia="Aptos" w:hAnsi="Calibri" w:cs="Calibri"/>
          <w:kern w:val="0"/>
          <w:sz w:val="22"/>
          <w:szCs w:val="22"/>
          <w14:ligatures w14:val="none"/>
        </w:rPr>
        <w:t xml:space="preserve">18 września </w:t>
      </w:r>
      <w:r w:rsidRPr="00490A77">
        <w:rPr>
          <w:rFonts w:ascii="Calibri" w:eastAsia="Aptos" w:hAnsi="Calibri" w:cs="Calibri"/>
          <w:kern w:val="0"/>
          <w:sz w:val="22"/>
          <w:szCs w:val="22"/>
          <w14:ligatures w14:val="none"/>
        </w:rPr>
        <w:t xml:space="preserve">2026 r. </w:t>
      </w:r>
    </w:p>
    <w:p w14:paraId="446D2C33" w14:textId="77777777" w:rsidR="00490A77" w:rsidRPr="00490A77" w:rsidRDefault="00490A77" w:rsidP="00490A77">
      <w:pPr>
        <w:spacing w:line="279" w:lineRule="auto"/>
        <w:jc w:val="right"/>
        <w:rPr>
          <w:rFonts w:ascii="Calibri" w:eastAsia="Aptos" w:hAnsi="Calibri" w:cs="Calibri"/>
          <w:kern w:val="0"/>
          <w:sz w:val="22"/>
          <w:szCs w:val="22"/>
          <w14:ligatures w14:val="none"/>
        </w:rPr>
      </w:pPr>
    </w:p>
    <w:p w14:paraId="2B457247" w14:textId="77777777" w:rsidR="00490A77" w:rsidRPr="00490A77" w:rsidRDefault="00490A77" w:rsidP="00490A77">
      <w:pPr>
        <w:spacing w:line="279" w:lineRule="auto"/>
        <w:jc w:val="right"/>
        <w:rPr>
          <w:rFonts w:ascii="Calibri" w:eastAsia="Aptos" w:hAnsi="Calibri" w:cs="Calibri"/>
          <w:kern w:val="0"/>
          <w:sz w:val="22"/>
          <w:szCs w:val="22"/>
          <w14:ligatures w14:val="none"/>
        </w:rPr>
      </w:pPr>
    </w:p>
    <w:p w14:paraId="223DC7CA" w14:textId="77777777" w:rsidR="00490A77" w:rsidRPr="00490A77" w:rsidRDefault="00490A77" w:rsidP="00490A77">
      <w:pPr>
        <w:spacing w:line="279" w:lineRule="auto"/>
        <w:jc w:val="both"/>
        <w:rPr>
          <w:rFonts w:ascii="Calibri" w:eastAsia="Aptos" w:hAnsi="Calibri" w:cs="Calibri"/>
          <w:kern w:val="0"/>
          <w:sz w:val="22"/>
          <w:szCs w:val="22"/>
          <w:u w:val="single"/>
          <w14:ligatures w14:val="none"/>
        </w:rPr>
      </w:pPr>
      <w:r w:rsidRPr="00490A77">
        <w:rPr>
          <w:rFonts w:ascii="Calibri" w:eastAsia="Aptos" w:hAnsi="Calibri" w:cs="Calibri"/>
          <w:kern w:val="0"/>
          <w:sz w:val="22"/>
          <w:szCs w:val="22"/>
          <w14:ligatures w14:val="none"/>
        </w:rPr>
        <w:t xml:space="preserve">Zamawiający, w postępowaniu </w:t>
      </w:r>
      <w:r w:rsidRPr="00490A77">
        <w:rPr>
          <w:rFonts w:ascii="Calibri" w:eastAsia="Aptos" w:hAnsi="Calibri" w:cs="Calibri"/>
          <w:kern w:val="0"/>
          <w:sz w:val="22"/>
          <w:szCs w:val="22"/>
          <w:u w:val="single"/>
          <w14:ligatures w14:val="none"/>
        </w:rPr>
        <w:t>o udzielenie zamówienia na modernizację serwerów i sieci w obszarze technicznym IT oraz wdrożenie systemów monitorowania i ochrony sieci w obszarze technicznym OT w infrastrukturze wodociągowej (z podziałem na części) Nr postępowania ZGK/221/2026, zawiadamia o zmianie Zapytania ofertowego w następującym zakresie:</w:t>
      </w:r>
    </w:p>
    <w:p w14:paraId="714B0C21" w14:textId="3C34AF28" w:rsidR="00490A77" w:rsidRPr="00490A77" w:rsidRDefault="00CD12D8" w:rsidP="00490A77">
      <w:pPr>
        <w:spacing w:before="280" w:after="280" w:line="360" w:lineRule="auto"/>
        <w:rPr>
          <w:rFonts w:ascii="Calibri" w:eastAsia="Aptos" w:hAnsi="Calibri" w:cs="Calibri"/>
          <w:b/>
          <w:bCs/>
          <w:kern w:val="0"/>
          <w:sz w:val="22"/>
          <w:szCs w:val="22"/>
          <w14:ligatures w14:val="none"/>
        </w:rPr>
      </w:pPr>
      <w:r>
        <w:rPr>
          <w:rFonts w:ascii="Calibri" w:eastAsia="Aptos" w:hAnsi="Calibri" w:cs="Calibri"/>
          <w:b/>
          <w:bCs/>
          <w:kern w:val="0"/>
          <w:sz w:val="22"/>
          <w:szCs w:val="22"/>
          <w14:ligatures w14:val="none"/>
        </w:rPr>
        <w:t xml:space="preserve">1. </w:t>
      </w:r>
      <w:r w:rsidR="00490A77" w:rsidRPr="00490A77">
        <w:rPr>
          <w:rFonts w:ascii="Calibri" w:eastAsia="Aptos" w:hAnsi="Calibri" w:cs="Calibri"/>
          <w:b/>
          <w:bCs/>
          <w:kern w:val="0"/>
          <w:sz w:val="22"/>
          <w:szCs w:val="22"/>
          <w14:ligatures w14:val="none"/>
        </w:rPr>
        <w:t>rozdziałowi VI „Termin składania ofert” nadaje się nowe brzmienie:</w:t>
      </w:r>
    </w:p>
    <w:p w14:paraId="671D4ABE" w14:textId="36BCEE77" w:rsidR="00490A77" w:rsidRPr="00490A77" w:rsidRDefault="00490A77" w:rsidP="00490A77">
      <w:pPr>
        <w:spacing w:line="279" w:lineRule="auto"/>
        <w:contextualSpacing/>
        <w:jc w:val="both"/>
        <w:rPr>
          <w:rFonts w:ascii="Calibri" w:eastAsia="Aptos" w:hAnsi="Calibri" w:cs="Calibri"/>
          <w:kern w:val="0"/>
          <w:sz w:val="22"/>
          <w:szCs w:val="22"/>
          <w:u w:val="single"/>
          <w14:ligatures w14:val="none"/>
        </w:rPr>
      </w:pPr>
      <w:r w:rsidRPr="00490A77">
        <w:rPr>
          <w:rFonts w:ascii="Calibri" w:eastAsia="Aptos" w:hAnsi="Calibri" w:cs="Calibri"/>
          <w:b/>
          <w:bCs/>
          <w:kern w:val="0"/>
          <w:sz w:val="22"/>
          <w:szCs w:val="22"/>
          <w14:ligatures w14:val="none"/>
        </w:rPr>
        <w:t>„VI. Termin składania ofert:</w:t>
      </w:r>
      <w:r w:rsidRPr="00490A77">
        <w:rPr>
          <w:rFonts w:ascii="Calibri" w:eastAsia="Aptos" w:hAnsi="Calibri" w:cs="Calibri"/>
          <w:kern w:val="0"/>
          <w:sz w:val="22"/>
          <w:szCs w:val="22"/>
          <w14:ligatures w14:val="none"/>
        </w:rPr>
        <w:t xml:space="preserve"> </w:t>
      </w:r>
      <w:r w:rsidR="00CD12D8">
        <w:rPr>
          <w:rFonts w:ascii="Calibri" w:eastAsia="Aptos" w:hAnsi="Calibri" w:cs="Calibri"/>
          <w:kern w:val="0"/>
          <w:sz w:val="22"/>
          <w:szCs w:val="22"/>
          <w:u w:val="single"/>
          <w14:ligatures w14:val="none"/>
        </w:rPr>
        <w:t>23</w:t>
      </w:r>
      <w:r w:rsidRPr="00490A77">
        <w:rPr>
          <w:rFonts w:ascii="Calibri" w:eastAsia="Aptos" w:hAnsi="Calibri" w:cs="Calibri"/>
          <w:kern w:val="0"/>
          <w:sz w:val="22"/>
          <w:szCs w:val="22"/>
          <w:u w:val="single"/>
          <w14:ligatures w14:val="none"/>
        </w:rPr>
        <w:t xml:space="preserve"> września 2026 r. godz. 9.00.”</w:t>
      </w:r>
    </w:p>
    <w:p w14:paraId="69C9457F" w14:textId="77777777" w:rsidR="00490A77" w:rsidRPr="00490A77" w:rsidRDefault="00490A77" w:rsidP="00490A77">
      <w:pPr>
        <w:spacing w:line="279" w:lineRule="auto"/>
        <w:contextualSpacing/>
        <w:jc w:val="both"/>
        <w:rPr>
          <w:rFonts w:ascii="Calibri" w:eastAsia="Aptos" w:hAnsi="Calibri" w:cs="Calibri"/>
          <w:kern w:val="0"/>
          <w:sz w:val="22"/>
          <w:szCs w:val="22"/>
          <w14:ligatures w14:val="none"/>
        </w:rPr>
      </w:pPr>
    </w:p>
    <w:p w14:paraId="697BF73F" w14:textId="77777777" w:rsidR="00490A77" w:rsidRPr="00490A77" w:rsidRDefault="00490A77" w:rsidP="00490A77">
      <w:pPr>
        <w:spacing w:line="279" w:lineRule="auto"/>
        <w:contextualSpacing/>
        <w:jc w:val="both"/>
        <w:rPr>
          <w:rFonts w:ascii="Calibri" w:eastAsia="Aptos" w:hAnsi="Calibri" w:cs="Calibri"/>
          <w:kern w:val="0"/>
          <w:sz w:val="22"/>
          <w:szCs w:val="22"/>
          <w14:ligatures w14:val="none"/>
        </w:rPr>
      </w:pPr>
    </w:p>
    <w:p w14:paraId="53C90B1F" w14:textId="0E152A10" w:rsidR="00490A77" w:rsidRPr="00490A77" w:rsidRDefault="00CD12D8" w:rsidP="00490A77">
      <w:pPr>
        <w:spacing w:line="279" w:lineRule="auto"/>
        <w:contextualSpacing/>
        <w:jc w:val="both"/>
        <w:rPr>
          <w:rFonts w:ascii="Calibri" w:eastAsia="Aptos" w:hAnsi="Calibri" w:cs="Calibri"/>
          <w:b/>
          <w:bCs/>
          <w:kern w:val="0"/>
          <w:sz w:val="22"/>
          <w:szCs w:val="22"/>
          <w14:ligatures w14:val="none"/>
        </w:rPr>
      </w:pPr>
      <w:r>
        <w:rPr>
          <w:rFonts w:ascii="Calibri" w:eastAsia="Aptos" w:hAnsi="Calibri" w:cs="Calibri"/>
          <w:b/>
          <w:bCs/>
          <w:kern w:val="0"/>
          <w:sz w:val="22"/>
          <w:szCs w:val="22"/>
          <w14:ligatures w14:val="none"/>
        </w:rPr>
        <w:t>2</w:t>
      </w:r>
      <w:r w:rsidR="00490A77" w:rsidRPr="00490A77">
        <w:rPr>
          <w:rFonts w:ascii="Calibri" w:eastAsia="Aptos" w:hAnsi="Calibri" w:cs="Calibri"/>
          <w:b/>
          <w:bCs/>
          <w:kern w:val="0"/>
          <w:sz w:val="22"/>
          <w:szCs w:val="22"/>
          <w14:ligatures w14:val="none"/>
        </w:rPr>
        <w:t xml:space="preserve">. rozdziałowi VIII „Termin związania ofertą” nadaje się nowe brzmienie: </w:t>
      </w:r>
    </w:p>
    <w:p w14:paraId="62BC78EE" w14:textId="77777777" w:rsidR="00490A77" w:rsidRPr="00490A77" w:rsidRDefault="00490A77" w:rsidP="00490A77">
      <w:pPr>
        <w:spacing w:line="279" w:lineRule="auto"/>
        <w:ind w:left="720"/>
        <w:contextualSpacing/>
        <w:jc w:val="both"/>
        <w:rPr>
          <w:rFonts w:ascii="Calibri" w:eastAsia="Aptos" w:hAnsi="Calibri" w:cs="Calibri"/>
          <w:kern w:val="0"/>
          <w:sz w:val="22"/>
          <w:szCs w:val="22"/>
          <w14:ligatures w14:val="none"/>
        </w:rPr>
      </w:pPr>
    </w:p>
    <w:p w14:paraId="7378260A" w14:textId="429A0D42" w:rsidR="00490A77" w:rsidRPr="00490A77" w:rsidRDefault="00490A77" w:rsidP="00490A77">
      <w:pPr>
        <w:spacing w:line="279" w:lineRule="auto"/>
        <w:contextualSpacing/>
        <w:jc w:val="both"/>
        <w:rPr>
          <w:rFonts w:ascii="Calibri" w:eastAsia="Aptos" w:hAnsi="Calibri" w:cs="Calibri"/>
          <w:kern w:val="0"/>
          <w:sz w:val="22"/>
          <w:szCs w:val="22"/>
          <w14:ligatures w14:val="none"/>
        </w:rPr>
      </w:pPr>
      <w:r w:rsidRPr="00490A77">
        <w:rPr>
          <w:rFonts w:ascii="Calibri" w:eastAsia="Aptos" w:hAnsi="Calibri" w:cs="Calibri"/>
          <w:b/>
          <w:bCs/>
          <w:kern w:val="0"/>
          <w:sz w:val="22"/>
          <w:szCs w:val="22"/>
          <w14:ligatures w14:val="none"/>
        </w:rPr>
        <w:t>„VIII. Termin związania ofertą:</w:t>
      </w:r>
      <w:r w:rsidRPr="00490A77">
        <w:rPr>
          <w:rFonts w:ascii="Calibri" w:eastAsia="Aptos" w:hAnsi="Calibri" w:cs="Calibri"/>
          <w:kern w:val="0"/>
          <w:sz w:val="22"/>
          <w:szCs w:val="22"/>
          <w14:ligatures w14:val="none"/>
        </w:rPr>
        <w:t xml:space="preserve"> termin związania ofertą wynosi 30 dni i </w:t>
      </w:r>
      <w:r w:rsidRPr="00490A77">
        <w:rPr>
          <w:rFonts w:ascii="Calibri" w:eastAsia="Aptos" w:hAnsi="Calibri" w:cs="Calibri"/>
          <w:kern w:val="0"/>
          <w:sz w:val="22"/>
          <w:szCs w:val="22"/>
          <w:u w:val="single"/>
          <w14:ligatures w14:val="none"/>
        </w:rPr>
        <w:t xml:space="preserve">upływa w dniu </w:t>
      </w:r>
      <w:r w:rsidR="00CD12D8">
        <w:rPr>
          <w:rFonts w:ascii="Calibri" w:eastAsia="Aptos" w:hAnsi="Calibri" w:cs="Calibri"/>
          <w:kern w:val="0"/>
          <w:sz w:val="22"/>
          <w:szCs w:val="22"/>
          <w:u w:val="single"/>
          <w14:ligatures w14:val="none"/>
        </w:rPr>
        <w:t>22</w:t>
      </w:r>
      <w:r w:rsidRPr="00490A77">
        <w:rPr>
          <w:rFonts w:ascii="Calibri" w:eastAsia="Aptos" w:hAnsi="Calibri" w:cs="Calibri"/>
          <w:kern w:val="0"/>
          <w:sz w:val="22"/>
          <w:szCs w:val="22"/>
          <w:u w:val="single"/>
          <w14:ligatures w14:val="none"/>
        </w:rPr>
        <w:t xml:space="preserve"> października 2026 r.</w:t>
      </w:r>
      <w:r w:rsidRPr="00490A77">
        <w:rPr>
          <w:rFonts w:ascii="Calibri" w:eastAsia="Aptos" w:hAnsi="Calibri" w:cs="Calibri"/>
          <w:kern w:val="0"/>
          <w:sz w:val="22"/>
          <w:szCs w:val="22"/>
          <w14:ligatures w14:val="none"/>
        </w:rPr>
        <w:t xml:space="preserve"> Pierwszym dniem związania ofertą jest dzień składania ofert. Zamawiający może wezwać wykonawców do wyrażenia pisemnej zgody na przedłużenie terminu związania ofertą nie więcej niż o 30 dni. W celu zachowania ciągłości, wyrażenie zgody powinno nastąpić przed upływem pierwotnego terminu związania ofertą.”</w:t>
      </w:r>
    </w:p>
    <w:p w14:paraId="635836D5" w14:textId="77777777" w:rsidR="00490A77" w:rsidRPr="00490A77" w:rsidRDefault="00490A77" w:rsidP="00490A77">
      <w:pPr>
        <w:spacing w:line="279" w:lineRule="auto"/>
        <w:contextualSpacing/>
        <w:jc w:val="both"/>
        <w:rPr>
          <w:rFonts w:ascii="Calibri" w:eastAsia="Aptos" w:hAnsi="Calibri" w:cs="Calibri"/>
          <w:kern w:val="0"/>
          <w:sz w:val="22"/>
          <w:szCs w:val="22"/>
          <w14:ligatures w14:val="none"/>
        </w:rPr>
      </w:pPr>
    </w:p>
    <w:p w14:paraId="225604A2" w14:textId="45461C2E" w:rsidR="00490A77" w:rsidRDefault="00CD12D8" w:rsidP="00490A77">
      <w:pPr>
        <w:spacing w:before="360" w:after="360" w:line="360" w:lineRule="auto"/>
        <w:jc w:val="both"/>
        <w:rPr>
          <w:rFonts w:ascii="Calibri" w:eastAsia="Aptos" w:hAnsi="Calibri" w:cs="Calibri"/>
          <w:sz w:val="20"/>
          <w:szCs w:val="20"/>
        </w:rPr>
      </w:pPr>
      <w:r>
        <w:rPr>
          <w:rFonts w:ascii="Calibri" w:eastAsia="Aptos" w:hAnsi="Calibri" w:cs="Calibri"/>
          <w:sz w:val="20"/>
          <w:szCs w:val="20"/>
        </w:rPr>
        <w:t>3. W projektowanych postanowieniach umowy wprowadza się następujące zmiany, a jednocześnie Zamawiający na stronie prowadzonego postępowania, tj. w BK2021 publikuje zaktualizowany załącznik PPU, uwzględniający wszystkie dokonane w niniejszym postępowaniu zmiany w jego zakresie:</w:t>
      </w:r>
    </w:p>
    <w:p w14:paraId="147B2649" w14:textId="77BF4B7C" w:rsidR="00490A77" w:rsidRPr="00490A77" w:rsidRDefault="00CD12D8" w:rsidP="00490A77">
      <w:pPr>
        <w:spacing w:before="360" w:after="360" w:line="360" w:lineRule="auto"/>
        <w:jc w:val="both"/>
        <w:rPr>
          <w:rFonts w:ascii="Calibri" w:eastAsia="Aptos" w:hAnsi="Calibri" w:cs="Calibri"/>
          <w:b/>
          <w:bCs/>
          <w:i/>
          <w:iCs/>
          <w:sz w:val="20"/>
          <w:szCs w:val="20"/>
        </w:rPr>
      </w:pPr>
      <w:r>
        <w:rPr>
          <w:rFonts w:ascii="Calibri" w:eastAsia="Aptos" w:hAnsi="Calibri" w:cs="Calibri"/>
          <w:sz w:val="20"/>
          <w:szCs w:val="20"/>
        </w:rPr>
        <w:t xml:space="preserve">a) w </w:t>
      </w:r>
      <w:r w:rsidR="00490A77">
        <w:rPr>
          <w:rFonts w:ascii="Calibri" w:eastAsia="Aptos" w:hAnsi="Calibri" w:cs="Calibri"/>
          <w:sz w:val="20"/>
          <w:szCs w:val="20"/>
        </w:rPr>
        <w:t xml:space="preserve">§ 9 </w:t>
      </w:r>
      <w:r>
        <w:rPr>
          <w:rFonts w:ascii="Calibri" w:eastAsia="Aptos" w:hAnsi="Calibri" w:cs="Calibri"/>
          <w:sz w:val="20"/>
          <w:szCs w:val="20"/>
        </w:rPr>
        <w:t xml:space="preserve">PPU ust. 5 </w:t>
      </w:r>
      <w:r w:rsidR="00490A77">
        <w:rPr>
          <w:rFonts w:ascii="Calibri" w:eastAsia="Aptos" w:hAnsi="Calibri" w:cs="Calibri"/>
          <w:sz w:val="20"/>
          <w:szCs w:val="20"/>
        </w:rPr>
        <w:t xml:space="preserve">zostaje </w:t>
      </w:r>
      <w:r w:rsidR="00490A77" w:rsidRPr="00490A77">
        <w:rPr>
          <w:rFonts w:ascii="Calibri" w:eastAsia="Aptos" w:hAnsi="Calibri" w:cs="Calibri"/>
          <w:b/>
          <w:bCs/>
          <w:sz w:val="20"/>
          <w:szCs w:val="20"/>
        </w:rPr>
        <w:t>wykreślony.</w:t>
      </w:r>
    </w:p>
    <w:p w14:paraId="66411761" w14:textId="17F808D2" w:rsidR="00490A77" w:rsidRDefault="00CD12D8" w:rsidP="00490A77">
      <w:pPr>
        <w:jc w:val="both"/>
        <w:rPr>
          <w:rFonts w:ascii="Calibri" w:eastAsia="Aptos" w:hAnsi="Calibri" w:cs="Calibri"/>
          <w:sz w:val="20"/>
          <w:szCs w:val="20"/>
        </w:rPr>
      </w:pPr>
      <w:r>
        <w:rPr>
          <w:rFonts w:ascii="Calibri" w:eastAsia="Aptos" w:hAnsi="Calibri" w:cs="Calibri"/>
          <w:sz w:val="20"/>
          <w:szCs w:val="20"/>
        </w:rPr>
        <w:t xml:space="preserve">b) </w:t>
      </w:r>
      <w:r w:rsidR="00490A77">
        <w:rPr>
          <w:rFonts w:ascii="Calibri" w:eastAsia="Aptos" w:hAnsi="Calibri" w:cs="Calibri"/>
          <w:sz w:val="20"/>
          <w:szCs w:val="20"/>
        </w:rPr>
        <w:t xml:space="preserve">§ 9 ust. 7 pkt. </w:t>
      </w:r>
      <w:r w:rsidR="00490A77" w:rsidRPr="00490A77">
        <w:rPr>
          <w:rFonts w:ascii="Calibri" w:eastAsia="Aptos" w:hAnsi="Calibri" w:cs="Calibri"/>
          <w:sz w:val="20"/>
          <w:szCs w:val="20"/>
        </w:rPr>
        <w:t xml:space="preserve">6) </w:t>
      </w:r>
      <w:r>
        <w:rPr>
          <w:rFonts w:ascii="Calibri" w:eastAsia="Aptos" w:hAnsi="Calibri" w:cs="Calibri"/>
          <w:sz w:val="20"/>
          <w:szCs w:val="20"/>
        </w:rPr>
        <w:t xml:space="preserve">PPU </w:t>
      </w:r>
      <w:r w:rsidR="00490A77">
        <w:rPr>
          <w:rFonts w:ascii="Calibri" w:eastAsia="Aptos" w:hAnsi="Calibri" w:cs="Calibri"/>
          <w:sz w:val="20"/>
          <w:szCs w:val="20"/>
        </w:rPr>
        <w:t>otrzymuje nowe brzmienie:</w:t>
      </w:r>
    </w:p>
    <w:p w14:paraId="39C8F57F" w14:textId="6C1CC3CD" w:rsidR="00490A77" w:rsidRPr="00490A77" w:rsidRDefault="00490A77" w:rsidP="00490A77">
      <w:pPr>
        <w:jc w:val="both"/>
        <w:rPr>
          <w:rFonts w:ascii="Calibri" w:eastAsia="Aptos" w:hAnsi="Calibri" w:cs="Calibri"/>
          <w:sz w:val="20"/>
          <w:szCs w:val="20"/>
        </w:rPr>
      </w:pPr>
      <w:r>
        <w:rPr>
          <w:rFonts w:ascii="Calibri" w:eastAsia="Aptos" w:hAnsi="Calibri" w:cs="Calibri"/>
          <w:sz w:val="20"/>
          <w:szCs w:val="20"/>
        </w:rPr>
        <w:t xml:space="preserve">„6. </w:t>
      </w:r>
      <w:r w:rsidRPr="00490A77">
        <w:rPr>
          <w:rFonts w:ascii="Calibri" w:eastAsia="Aptos" w:hAnsi="Calibri" w:cs="Calibri"/>
          <w:sz w:val="20"/>
          <w:szCs w:val="20"/>
        </w:rPr>
        <w:t>Wykonawca, będzie usuwał awarie (awaria - utrata osiągniętej funkcjonalności, funkcjonowanie sprzętu i oprogramowania niezgodne z dokumentacją techniczną, niewłaściwe funkcjonowanie systemu w wyniku wystąpienia błędów w oprogramowaniu), wykonywał naprawy urządzeń oraz świadczył wsparcie dla Zamawiającego zgodnie z poniższymi wymaganiami:</w:t>
      </w:r>
    </w:p>
    <w:p w14:paraId="6D7EE3CC" w14:textId="77777777" w:rsidR="00490A77" w:rsidRPr="00490A77" w:rsidRDefault="00490A77" w:rsidP="00490A77">
      <w:pPr>
        <w:rPr>
          <w:rFonts w:ascii="Calibri" w:eastAsia="Aptos" w:hAnsi="Calibri" w:cs="Calibri"/>
          <w:sz w:val="20"/>
          <w:szCs w:val="20"/>
        </w:rPr>
      </w:pPr>
      <w:r w:rsidRPr="00490A77">
        <w:rPr>
          <w:rFonts w:ascii="Calibri" w:eastAsia="Aptos" w:hAnsi="Calibri" w:cs="Calibri"/>
          <w:sz w:val="20"/>
          <w:szCs w:val="20"/>
        </w:rPr>
        <w:t>- przyjmowanie zgłoszeń awarii,</w:t>
      </w:r>
    </w:p>
    <w:p w14:paraId="37F60112" w14:textId="77777777" w:rsidR="00490A77" w:rsidRPr="00490A77" w:rsidRDefault="00490A77" w:rsidP="00490A77">
      <w:pPr>
        <w:rPr>
          <w:rFonts w:ascii="Calibri" w:eastAsia="Aptos" w:hAnsi="Calibri" w:cs="Calibri"/>
          <w:sz w:val="20"/>
          <w:szCs w:val="20"/>
        </w:rPr>
      </w:pPr>
      <w:r w:rsidRPr="00490A77">
        <w:rPr>
          <w:rFonts w:ascii="Calibri" w:eastAsia="Aptos" w:hAnsi="Calibri" w:cs="Calibri"/>
          <w:sz w:val="20"/>
          <w:szCs w:val="20"/>
        </w:rPr>
        <w:t xml:space="preserve">- zdalna diagnoza awarii, </w:t>
      </w:r>
    </w:p>
    <w:p w14:paraId="7393E208" w14:textId="77777777" w:rsidR="00490A77" w:rsidRPr="00490A77" w:rsidRDefault="00490A77" w:rsidP="00490A77">
      <w:pPr>
        <w:rPr>
          <w:rFonts w:ascii="Calibri" w:eastAsia="Aptos" w:hAnsi="Calibri" w:cs="Calibri"/>
          <w:sz w:val="20"/>
          <w:szCs w:val="20"/>
        </w:rPr>
      </w:pPr>
      <w:r w:rsidRPr="00490A77">
        <w:rPr>
          <w:rFonts w:ascii="Calibri" w:eastAsia="Aptos" w:hAnsi="Calibri" w:cs="Calibri"/>
          <w:sz w:val="20"/>
          <w:szCs w:val="20"/>
        </w:rPr>
        <w:t xml:space="preserve">- </w:t>
      </w:r>
      <w:r w:rsidRPr="00490A77">
        <w:rPr>
          <w:rFonts w:ascii="Calibri" w:eastAsia="Aptos" w:hAnsi="Calibri" w:cs="Calibri"/>
          <w:b/>
          <w:bCs/>
          <w:sz w:val="20"/>
          <w:szCs w:val="20"/>
        </w:rPr>
        <w:t>usuwanie awarii w miejscu instalacji,</w:t>
      </w:r>
      <w:r w:rsidRPr="00490A77">
        <w:rPr>
          <w:rFonts w:ascii="Calibri" w:eastAsia="Aptos" w:hAnsi="Calibri" w:cs="Calibri"/>
          <w:sz w:val="20"/>
          <w:szCs w:val="20"/>
        </w:rPr>
        <w:t xml:space="preserve"> </w:t>
      </w:r>
    </w:p>
    <w:p w14:paraId="0B534C96" w14:textId="77777777" w:rsidR="00490A77" w:rsidRPr="00490A77" w:rsidRDefault="00490A77" w:rsidP="00490A77">
      <w:pPr>
        <w:jc w:val="both"/>
        <w:rPr>
          <w:rFonts w:ascii="Calibri" w:eastAsia="Aptos" w:hAnsi="Calibri" w:cs="Calibri"/>
          <w:sz w:val="20"/>
          <w:szCs w:val="20"/>
        </w:rPr>
      </w:pPr>
      <w:r w:rsidRPr="00490A77">
        <w:rPr>
          <w:rFonts w:ascii="Calibri" w:eastAsia="Aptos" w:hAnsi="Calibri" w:cs="Calibri"/>
          <w:sz w:val="20"/>
          <w:szCs w:val="20"/>
        </w:rPr>
        <w:t xml:space="preserve">- usługi wsparcia obejmują usuwanie wad oraz wymianę wadliwych elementów przedmiotu Umowy na wolne od wad, na koszt Wykonawcy, </w:t>
      </w:r>
    </w:p>
    <w:p w14:paraId="15ADDDC0" w14:textId="77777777" w:rsidR="00490A77" w:rsidRPr="00490A77" w:rsidRDefault="00490A77" w:rsidP="00490A77">
      <w:pPr>
        <w:jc w:val="both"/>
        <w:rPr>
          <w:rFonts w:ascii="Calibri" w:eastAsia="Aptos" w:hAnsi="Calibri" w:cs="Calibri"/>
          <w:sz w:val="20"/>
          <w:szCs w:val="20"/>
        </w:rPr>
      </w:pPr>
      <w:r w:rsidRPr="00490A77">
        <w:rPr>
          <w:rFonts w:ascii="Calibri" w:eastAsia="Aptos" w:hAnsi="Calibri" w:cs="Calibri"/>
          <w:sz w:val="20"/>
          <w:szCs w:val="20"/>
        </w:rPr>
        <w:lastRenderedPageBreak/>
        <w:t xml:space="preserve">- przy naprawie, której czas przekracza gwarantowany czas, </w:t>
      </w:r>
      <w:r w:rsidRPr="00490A77">
        <w:rPr>
          <w:rFonts w:ascii="Calibri" w:eastAsia="Aptos" w:hAnsi="Calibri" w:cs="Calibri"/>
          <w:b/>
          <w:bCs/>
          <w:sz w:val="20"/>
          <w:szCs w:val="20"/>
        </w:rPr>
        <w:t>o którym mowa w pkt. 7 poniżej,</w:t>
      </w:r>
      <w:r w:rsidRPr="00490A77">
        <w:rPr>
          <w:rFonts w:ascii="Calibri" w:eastAsia="Aptos" w:hAnsi="Calibri" w:cs="Calibri"/>
          <w:sz w:val="20"/>
          <w:szCs w:val="20"/>
        </w:rPr>
        <w:t xml:space="preserve"> Wykonawca zobowiązany będzie dostarczyć do siedziby Zamawiającego i zainstalować sprzęt zamienny </w:t>
      </w:r>
      <w:proofErr w:type="gramStart"/>
      <w:r w:rsidRPr="00490A77">
        <w:rPr>
          <w:rFonts w:ascii="Calibri" w:eastAsia="Aptos" w:hAnsi="Calibri" w:cs="Calibri"/>
          <w:b/>
          <w:bCs/>
          <w:sz w:val="20"/>
          <w:szCs w:val="20"/>
        </w:rPr>
        <w:t>nie później</w:t>
      </w:r>
      <w:proofErr w:type="gramEnd"/>
      <w:r w:rsidRPr="00490A77">
        <w:rPr>
          <w:rFonts w:ascii="Calibri" w:eastAsia="Aptos" w:hAnsi="Calibri" w:cs="Calibri"/>
          <w:b/>
          <w:bCs/>
          <w:sz w:val="20"/>
          <w:szCs w:val="20"/>
        </w:rPr>
        <w:t xml:space="preserve"> niż w terminie określonym w pkt. 7 poniżej stosownie do zgłoszonego incydentu</w:t>
      </w:r>
      <w:r w:rsidRPr="00490A77">
        <w:rPr>
          <w:rFonts w:ascii="Calibri" w:eastAsia="Aptos" w:hAnsi="Calibri" w:cs="Calibri"/>
          <w:sz w:val="20"/>
          <w:szCs w:val="20"/>
        </w:rPr>
        <w:t xml:space="preserve"> od dokonania zgłoszenia awarii w centrum obsługi serwisowej. W przypadku awarii i konieczności dostarczenia dysków twardych, sprzęt zamienny należy dostarczyć </w:t>
      </w:r>
      <w:proofErr w:type="gramStart"/>
      <w:r w:rsidRPr="00490A77">
        <w:rPr>
          <w:rFonts w:ascii="Calibri" w:eastAsia="Aptos" w:hAnsi="Calibri" w:cs="Calibri"/>
          <w:sz w:val="20"/>
          <w:szCs w:val="20"/>
        </w:rPr>
        <w:t>nie później</w:t>
      </w:r>
      <w:proofErr w:type="gramEnd"/>
      <w:r w:rsidRPr="00490A77">
        <w:rPr>
          <w:rFonts w:ascii="Calibri" w:eastAsia="Aptos" w:hAnsi="Calibri" w:cs="Calibri"/>
          <w:sz w:val="20"/>
          <w:szCs w:val="20"/>
        </w:rPr>
        <w:t xml:space="preserve"> niż w terminie 5 dni roboczych od dokonania zgłoszenia, </w:t>
      </w:r>
    </w:p>
    <w:p w14:paraId="4A20DEA0" w14:textId="00DF1E91" w:rsidR="00490A77" w:rsidRPr="00490A77" w:rsidRDefault="00490A77" w:rsidP="00490A77">
      <w:pPr>
        <w:jc w:val="both"/>
        <w:rPr>
          <w:rFonts w:ascii="Calibri" w:eastAsia="Aptos" w:hAnsi="Calibri" w:cs="Calibri"/>
          <w:sz w:val="20"/>
          <w:szCs w:val="20"/>
        </w:rPr>
      </w:pPr>
      <w:r w:rsidRPr="00490A77">
        <w:rPr>
          <w:rFonts w:ascii="Calibri" w:eastAsia="Aptos" w:hAnsi="Calibri" w:cs="Calibri"/>
          <w:sz w:val="20"/>
          <w:szCs w:val="20"/>
        </w:rPr>
        <w:t xml:space="preserve">- czas skutecznej naprawy – do 5 dni roboczych </w:t>
      </w:r>
      <w:r w:rsidRPr="00490A77">
        <w:rPr>
          <w:rFonts w:ascii="Calibri" w:eastAsia="Aptos" w:hAnsi="Calibri" w:cs="Calibri"/>
          <w:b/>
          <w:bCs/>
          <w:sz w:val="20"/>
          <w:szCs w:val="20"/>
        </w:rPr>
        <w:t>od daty zgłoszenia z zastrzeżeniem terminów szczegółowo określonych w pkt. 7 i dostosowanych do rodzaju incydentu.</w:t>
      </w:r>
      <w:r>
        <w:rPr>
          <w:rFonts w:ascii="Calibri" w:eastAsia="Aptos" w:hAnsi="Calibri" w:cs="Calibri"/>
          <w:b/>
          <w:bCs/>
          <w:sz w:val="20"/>
          <w:szCs w:val="20"/>
        </w:rPr>
        <w:t>”</w:t>
      </w:r>
      <w:r w:rsidRPr="00490A77">
        <w:rPr>
          <w:rFonts w:ascii="Calibri" w:eastAsia="Aptos" w:hAnsi="Calibri" w:cs="Calibri"/>
          <w:sz w:val="20"/>
          <w:szCs w:val="20"/>
        </w:rPr>
        <w:t xml:space="preserve"> </w:t>
      </w:r>
    </w:p>
    <w:p w14:paraId="5C517872" w14:textId="77777777" w:rsidR="00490A77" w:rsidRDefault="00490A77" w:rsidP="00490A77">
      <w:pPr>
        <w:jc w:val="both"/>
        <w:rPr>
          <w:rFonts w:ascii="Calibri" w:eastAsia="Aptos" w:hAnsi="Calibri" w:cs="Calibri"/>
          <w:sz w:val="20"/>
          <w:szCs w:val="20"/>
        </w:rPr>
      </w:pPr>
    </w:p>
    <w:p w14:paraId="2F2635C8" w14:textId="599CFD16" w:rsidR="00490A77" w:rsidRDefault="00CD12D8" w:rsidP="00490A77">
      <w:pPr>
        <w:jc w:val="both"/>
        <w:rPr>
          <w:rFonts w:ascii="Calibri" w:eastAsia="Aptos" w:hAnsi="Calibri" w:cs="Calibri"/>
          <w:sz w:val="20"/>
          <w:szCs w:val="20"/>
        </w:rPr>
      </w:pPr>
      <w:r>
        <w:rPr>
          <w:rFonts w:ascii="Calibri" w:eastAsia="Aptos" w:hAnsi="Calibri" w:cs="Calibri"/>
          <w:sz w:val="20"/>
          <w:szCs w:val="20"/>
        </w:rPr>
        <w:t xml:space="preserve">c) </w:t>
      </w:r>
      <w:r w:rsidR="00490A77">
        <w:rPr>
          <w:rFonts w:ascii="Calibri" w:eastAsia="Aptos" w:hAnsi="Calibri" w:cs="Calibri"/>
          <w:sz w:val="20"/>
          <w:szCs w:val="20"/>
        </w:rPr>
        <w:t xml:space="preserve">§ 9 ust. 7 pkt. </w:t>
      </w:r>
      <w:r w:rsidR="00490A77" w:rsidRPr="00490A77">
        <w:rPr>
          <w:rFonts w:ascii="Calibri" w:eastAsia="Aptos" w:hAnsi="Calibri" w:cs="Calibri"/>
          <w:sz w:val="20"/>
          <w:szCs w:val="20"/>
        </w:rPr>
        <w:t xml:space="preserve">7) </w:t>
      </w:r>
      <w:r>
        <w:rPr>
          <w:rFonts w:ascii="Calibri" w:eastAsia="Aptos" w:hAnsi="Calibri" w:cs="Calibri"/>
          <w:sz w:val="20"/>
          <w:szCs w:val="20"/>
        </w:rPr>
        <w:t xml:space="preserve">PPU </w:t>
      </w:r>
      <w:r w:rsidR="00490A77">
        <w:rPr>
          <w:rFonts w:ascii="Calibri" w:eastAsia="Aptos" w:hAnsi="Calibri" w:cs="Calibri"/>
          <w:sz w:val="20"/>
          <w:szCs w:val="20"/>
        </w:rPr>
        <w:t>otrzymuje brzmienie:</w:t>
      </w:r>
    </w:p>
    <w:p w14:paraId="24A811FD" w14:textId="7B6C8217" w:rsidR="00490A77" w:rsidRDefault="00490A77" w:rsidP="00490A77">
      <w:pPr>
        <w:jc w:val="both"/>
        <w:rPr>
          <w:rFonts w:ascii="Calibri" w:eastAsia="Aptos" w:hAnsi="Calibri" w:cs="Calibri"/>
          <w:sz w:val="20"/>
          <w:szCs w:val="20"/>
        </w:rPr>
      </w:pPr>
      <w:r>
        <w:rPr>
          <w:rFonts w:ascii="Calibri" w:eastAsia="Aptos" w:hAnsi="Calibri" w:cs="Calibri"/>
          <w:sz w:val="20"/>
          <w:szCs w:val="20"/>
        </w:rPr>
        <w:t>„</w:t>
      </w:r>
      <w:r w:rsidRPr="00CD12D8">
        <w:rPr>
          <w:rFonts w:ascii="Calibri" w:eastAsia="Aptos" w:hAnsi="Calibri" w:cs="Calibri"/>
          <w:i/>
          <w:iCs/>
          <w:sz w:val="20"/>
          <w:szCs w:val="20"/>
        </w:rPr>
        <w:t>wybrać właściwą część:</w:t>
      </w:r>
    </w:p>
    <w:p w14:paraId="6A096BBA" w14:textId="5737CD3F" w:rsidR="00490A77" w:rsidRPr="00490A77" w:rsidRDefault="00490A77" w:rsidP="00490A77">
      <w:pPr>
        <w:jc w:val="both"/>
        <w:rPr>
          <w:rFonts w:ascii="Calibri" w:eastAsia="Aptos" w:hAnsi="Calibri" w:cs="Calibri"/>
          <w:sz w:val="20"/>
          <w:szCs w:val="20"/>
        </w:rPr>
      </w:pPr>
      <w:r>
        <w:rPr>
          <w:rFonts w:ascii="Calibri" w:eastAsia="Aptos" w:hAnsi="Calibri" w:cs="Calibri"/>
          <w:sz w:val="20"/>
          <w:szCs w:val="20"/>
        </w:rPr>
        <w:t xml:space="preserve">7) </w:t>
      </w:r>
      <w:r w:rsidRPr="00490A77">
        <w:rPr>
          <w:rFonts w:ascii="Calibri" w:eastAsia="Aptos" w:hAnsi="Calibri" w:cs="Calibri"/>
          <w:sz w:val="20"/>
          <w:szCs w:val="20"/>
        </w:rPr>
        <w:t xml:space="preserve">Strony ustalają następujące czasy reakcji i naprawy dla części IT: </w:t>
      </w:r>
    </w:p>
    <w:p w14:paraId="0676A2FA" w14:textId="77777777" w:rsidR="00490A77" w:rsidRPr="00490A77" w:rsidRDefault="00490A77" w:rsidP="00490A77">
      <w:pPr>
        <w:jc w:val="both"/>
        <w:rPr>
          <w:rFonts w:ascii="Calibri" w:eastAsia="Aptos" w:hAnsi="Calibri" w:cs="Calibri"/>
          <w:b/>
          <w:bCs/>
          <w:sz w:val="20"/>
          <w:szCs w:val="20"/>
        </w:rPr>
      </w:pPr>
      <w:r w:rsidRPr="00490A77">
        <w:rPr>
          <w:rFonts w:ascii="Calibri" w:eastAsia="Aptos" w:hAnsi="Calibri" w:cs="Calibri"/>
          <w:b/>
          <w:bCs/>
          <w:sz w:val="20"/>
          <w:szCs w:val="20"/>
        </w:rPr>
        <w:t xml:space="preserve">a) Incydent krytyczny – zdarzenie powodujące: </w:t>
      </w:r>
    </w:p>
    <w:p w14:paraId="10571396" w14:textId="77777777" w:rsidR="00490A77" w:rsidRPr="00490A77" w:rsidRDefault="00490A77" w:rsidP="00490A77">
      <w:pPr>
        <w:jc w:val="both"/>
        <w:rPr>
          <w:rFonts w:ascii="Calibri" w:eastAsia="Aptos" w:hAnsi="Calibri" w:cs="Calibri"/>
          <w:sz w:val="20"/>
          <w:szCs w:val="20"/>
        </w:rPr>
      </w:pPr>
      <w:r w:rsidRPr="00490A77">
        <w:rPr>
          <w:rFonts w:ascii="Calibri" w:eastAsia="Aptos" w:hAnsi="Calibri" w:cs="Calibri"/>
          <w:sz w:val="20"/>
          <w:szCs w:val="20"/>
        </w:rPr>
        <w:t>− całkowity brak dostępności systemu lub jego kluczowych funkcji,</w:t>
      </w:r>
    </w:p>
    <w:p w14:paraId="77970EE5" w14:textId="77777777" w:rsidR="00490A77" w:rsidRPr="00490A77" w:rsidRDefault="00490A77" w:rsidP="00490A77">
      <w:pPr>
        <w:jc w:val="both"/>
        <w:rPr>
          <w:rFonts w:ascii="Calibri" w:eastAsia="Aptos" w:hAnsi="Calibri" w:cs="Calibri"/>
          <w:sz w:val="20"/>
          <w:szCs w:val="20"/>
        </w:rPr>
      </w:pPr>
      <w:r w:rsidRPr="00490A77">
        <w:rPr>
          <w:rFonts w:ascii="Calibri" w:eastAsia="Aptos" w:hAnsi="Calibri" w:cs="Calibri"/>
          <w:sz w:val="20"/>
          <w:szCs w:val="20"/>
        </w:rPr>
        <w:t>− utrata danych lub ryzyko ich utraty,</w:t>
      </w:r>
    </w:p>
    <w:p w14:paraId="79236A3D" w14:textId="77777777" w:rsidR="00490A77" w:rsidRPr="00490A77" w:rsidRDefault="00490A77" w:rsidP="00490A77">
      <w:pPr>
        <w:jc w:val="both"/>
        <w:rPr>
          <w:rFonts w:ascii="Calibri" w:eastAsia="Aptos" w:hAnsi="Calibri" w:cs="Calibri"/>
          <w:sz w:val="20"/>
          <w:szCs w:val="20"/>
        </w:rPr>
      </w:pPr>
      <w:r w:rsidRPr="00490A77">
        <w:rPr>
          <w:rFonts w:ascii="Calibri" w:eastAsia="Aptos" w:hAnsi="Calibri" w:cs="Calibri"/>
          <w:sz w:val="20"/>
          <w:szCs w:val="20"/>
        </w:rPr>
        <w:t xml:space="preserve">− naruszenie bezpieczeństwa systemu (np. włamanie </w:t>
      </w:r>
      <w:proofErr w:type="spellStart"/>
      <w:r w:rsidRPr="00490A77">
        <w:rPr>
          <w:rFonts w:ascii="Calibri" w:eastAsia="Aptos" w:hAnsi="Calibri" w:cs="Calibri"/>
          <w:sz w:val="20"/>
          <w:szCs w:val="20"/>
        </w:rPr>
        <w:t>ransomware</w:t>
      </w:r>
      <w:proofErr w:type="spellEnd"/>
      <w:r w:rsidRPr="00490A77">
        <w:rPr>
          <w:rFonts w:ascii="Calibri" w:eastAsia="Aptos" w:hAnsi="Calibri" w:cs="Calibri"/>
          <w:sz w:val="20"/>
          <w:szCs w:val="20"/>
        </w:rPr>
        <w:t xml:space="preserve">, nieautoryzowany dostęp), </w:t>
      </w:r>
    </w:p>
    <w:p w14:paraId="5EAF9A86" w14:textId="77777777" w:rsidR="00490A77" w:rsidRPr="00490A77" w:rsidRDefault="00490A77" w:rsidP="00490A77">
      <w:pPr>
        <w:jc w:val="both"/>
        <w:rPr>
          <w:rFonts w:ascii="Calibri" w:eastAsia="Aptos" w:hAnsi="Calibri" w:cs="Calibri"/>
          <w:sz w:val="20"/>
          <w:szCs w:val="20"/>
        </w:rPr>
      </w:pPr>
      <w:r w:rsidRPr="00490A77">
        <w:rPr>
          <w:rFonts w:ascii="Calibri" w:eastAsia="Aptos" w:hAnsi="Calibri" w:cs="Calibri"/>
          <w:sz w:val="20"/>
          <w:szCs w:val="20"/>
        </w:rPr>
        <w:t xml:space="preserve">− brak możliwości realizacji podstawowych procesów Zamawiającego, </w:t>
      </w:r>
    </w:p>
    <w:p w14:paraId="11C7E3F8" w14:textId="77777777" w:rsidR="00490A77" w:rsidRPr="00490A77" w:rsidRDefault="00490A77" w:rsidP="00490A77">
      <w:pPr>
        <w:jc w:val="both"/>
        <w:rPr>
          <w:rFonts w:ascii="Calibri" w:eastAsia="Aptos" w:hAnsi="Calibri" w:cs="Calibri"/>
          <w:sz w:val="20"/>
          <w:szCs w:val="20"/>
        </w:rPr>
      </w:pPr>
      <w:r w:rsidRPr="00490A77">
        <w:rPr>
          <w:rFonts w:ascii="Calibri" w:eastAsia="Aptos" w:hAnsi="Calibri" w:cs="Calibri"/>
          <w:sz w:val="20"/>
          <w:szCs w:val="20"/>
        </w:rPr>
        <w:t>- zagrożenie ciągłości działania przedsiębiorstwa.</w:t>
      </w:r>
    </w:p>
    <w:p w14:paraId="3C815A0A" w14:textId="77777777" w:rsidR="00490A77" w:rsidRPr="00490A77" w:rsidRDefault="00490A77" w:rsidP="00490A77">
      <w:pPr>
        <w:jc w:val="both"/>
        <w:rPr>
          <w:rFonts w:ascii="Calibri" w:eastAsia="Aptos" w:hAnsi="Calibri" w:cs="Calibri"/>
          <w:sz w:val="20"/>
          <w:szCs w:val="20"/>
        </w:rPr>
      </w:pPr>
      <w:r w:rsidRPr="00490A77">
        <w:rPr>
          <w:rFonts w:ascii="Calibri" w:eastAsia="Aptos" w:hAnsi="Calibri" w:cs="Calibri"/>
          <w:sz w:val="20"/>
          <w:szCs w:val="20"/>
        </w:rPr>
        <w:t xml:space="preserve">Czas reakcji: do 4 godzin od zgłoszenia incydentu. Czas usunięcia: do 24 godzin od zgłoszenia incydentu. </w:t>
      </w:r>
    </w:p>
    <w:p w14:paraId="49680D45" w14:textId="77777777" w:rsidR="00490A77" w:rsidRPr="00490A77" w:rsidRDefault="00490A77" w:rsidP="00490A77">
      <w:pPr>
        <w:jc w:val="both"/>
        <w:rPr>
          <w:rFonts w:ascii="Calibri" w:eastAsia="Aptos" w:hAnsi="Calibri" w:cs="Calibri"/>
          <w:b/>
          <w:bCs/>
          <w:sz w:val="20"/>
          <w:szCs w:val="20"/>
        </w:rPr>
      </w:pPr>
      <w:r w:rsidRPr="00490A77">
        <w:rPr>
          <w:rFonts w:ascii="Calibri" w:eastAsia="Aptos" w:hAnsi="Calibri" w:cs="Calibri"/>
          <w:b/>
          <w:bCs/>
          <w:sz w:val="20"/>
          <w:szCs w:val="20"/>
        </w:rPr>
        <w:t xml:space="preserve">b) Incydent wysoki – zdarzenie powodujące: </w:t>
      </w:r>
    </w:p>
    <w:p w14:paraId="37D1EF87" w14:textId="77777777" w:rsidR="00490A77" w:rsidRPr="00490A77" w:rsidRDefault="00490A77" w:rsidP="00490A77">
      <w:pPr>
        <w:jc w:val="both"/>
        <w:rPr>
          <w:rFonts w:ascii="Calibri" w:eastAsia="Aptos" w:hAnsi="Calibri" w:cs="Calibri"/>
          <w:sz w:val="20"/>
          <w:szCs w:val="20"/>
        </w:rPr>
      </w:pPr>
      <w:r w:rsidRPr="00490A77">
        <w:rPr>
          <w:rFonts w:ascii="Calibri" w:eastAsia="Aptos" w:hAnsi="Calibri" w:cs="Calibri"/>
          <w:sz w:val="20"/>
          <w:szCs w:val="20"/>
        </w:rPr>
        <w:t xml:space="preserve">- istotne ograniczenie funkcjonalności systemu, </w:t>
      </w:r>
    </w:p>
    <w:p w14:paraId="0BDED142" w14:textId="77777777" w:rsidR="00490A77" w:rsidRPr="00490A77" w:rsidRDefault="00490A77" w:rsidP="00490A77">
      <w:pPr>
        <w:jc w:val="both"/>
        <w:rPr>
          <w:rFonts w:ascii="Calibri" w:eastAsia="Aptos" w:hAnsi="Calibri" w:cs="Calibri"/>
          <w:sz w:val="20"/>
          <w:szCs w:val="20"/>
        </w:rPr>
      </w:pPr>
      <w:r w:rsidRPr="00490A77">
        <w:rPr>
          <w:rFonts w:ascii="Calibri" w:eastAsia="Aptos" w:hAnsi="Calibri" w:cs="Calibri"/>
          <w:sz w:val="20"/>
          <w:szCs w:val="20"/>
        </w:rPr>
        <w:t>- brak działania ważnych funkcji przy zachowaniu działania systemu jako całości,</w:t>
      </w:r>
    </w:p>
    <w:p w14:paraId="7E0E81D4" w14:textId="77777777" w:rsidR="00490A77" w:rsidRPr="00490A77" w:rsidRDefault="00490A77" w:rsidP="00490A77">
      <w:pPr>
        <w:jc w:val="both"/>
        <w:rPr>
          <w:rFonts w:ascii="Calibri" w:eastAsia="Aptos" w:hAnsi="Calibri" w:cs="Calibri"/>
          <w:sz w:val="20"/>
          <w:szCs w:val="20"/>
        </w:rPr>
      </w:pPr>
      <w:r w:rsidRPr="00490A77">
        <w:rPr>
          <w:rFonts w:ascii="Calibri" w:eastAsia="Aptos" w:hAnsi="Calibri" w:cs="Calibri"/>
          <w:sz w:val="20"/>
          <w:szCs w:val="20"/>
        </w:rPr>
        <w:t xml:space="preserve">- spadek wydajności uniemożliwiający normalną pracę użytkowników, </w:t>
      </w:r>
    </w:p>
    <w:p w14:paraId="0D978C58" w14:textId="77777777" w:rsidR="00490A77" w:rsidRPr="00490A77" w:rsidRDefault="00490A77" w:rsidP="00490A77">
      <w:pPr>
        <w:jc w:val="both"/>
        <w:rPr>
          <w:rFonts w:ascii="Calibri" w:eastAsia="Aptos" w:hAnsi="Calibri" w:cs="Calibri"/>
          <w:sz w:val="20"/>
          <w:szCs w:val="20"/>
        </w:rPr>
      </w:pPr>
      <w:r w:rsidRPr="00490A77">
        <w:rPr>
          <w:rFonts w:ascii="Calibri" w:eastAsia="Aptos" w:hAnsi="Calibri" w:cs="Calibri"/>
          <w:sz w:val="20"/>
          <w:szCs w:val="20"/>
        </w:rPr>
        <w:t xml:space="preserve">- potencjalne ryzyko naruszenia bezpieczeństwa. </w:t>
      </w:r>
    </w:p>
    <w:p w14:paraId="09EFB5DB" w14:textId="77777777" w:rsidR="00490A77" w:rsidRPr="00490A77" w:rsidRDefault="00490A77" w:rsidP="00490A77">
      <w:pPr>
        <w:jc w:val="both"/>
        <w:rPr>
          <w:rFonts w:ascii="Calibri" w:eastAsia="Aptos" w:hAnsi="Calibri" w:cs="Calibri"/>
          <w:sz w:val="20"/>
          <w:szCs w:val="20"/>
        </w:rPr>
      </w:pPr>
      <w:r w:rsidRPr="00490A77">
        <w:rPr>
          <w:rFonts w:ascii="Calibri" w:eastAsia="Aptos" w:hAnsi="Calibri" w:cs="Calibri"/>
          <w:sz w:val="20"/>
          <w:szCs w:val="20"/>
        </w:rPr>
        <w:t>Czas reakcji: do 8 godzin. Czas usunięcia: do 48 godzin.</w:t>
      </w:r>
    </w:p>
    <w:p w14:paraId="4C205AA4" w14:textId="77777777" w:rsidR="00490A77" w:rsidRPr="00490A77" w:rsidRDefault="00490A77" w:rsidP="00490A77">
      <w:pPr>
        <w:jc w:val="both"/>
        <w:rPr>
          <w:rFonts w:ascii="Calibri" w:eastAsia="Aptos" w:hAnsi="Calibri" w:cs="Calibri"/>
          <w:sz w:val="20"/>
          <w:szCs w:val="20"/>
        </w:rPr>
      </w:pPr>
      <w:r w:rsidRPr="00490A77">
        <w:rPr>
          <w:rFonts w:ascii="Calibri" w:eastAsia="Aptos" w:hAnsi="Calibri" w:cs="Calibri"/>
          <w:sz w:val="20"/>
          <w:szCs w:val="20"/>
        </w:rPr>
        <w:t xml:space="preserve">c) Incydent niski – zdarzenie: </w:t>
      </w:r>
    </w:p>
    <w:p w14:paraId="10421561" w14:textId="77777777" w:rsidR="00490A77" w:rsidRPr="00490A77" w:rsidRDefault="00490A77" w:rsidP="00490A77">
      <w:pPr>
        <w:jc w:val="both"/>
        <w:rPr>
          <w:rFonts w:ascii="Calibri" w:eastAsia="Aptos" w:hAnsi="Calibri" w:cs="Calibri"/>
          <w:sz w:val="20"/>
          <w:szCs w:val="20"/>
        </w:rPr>
      </w:pPr>
      <w:r w:rsidRPr="00490A77">
        <w:rPr>
          <w:rFonts w:ascii="Calibri" w:eastAsia="Aptos" w:hAnsi="Calibri" w:cs="Calibri"/>
          <w:sz w:val="20"/>
          <w:szCs w:val="20"/>
        </w:rPr>
        <w:t xml:space="preserve">- niepowodujące istotnego ograniczenia działania systemu, </w:t>
      </w:r>
    </w:p>
    <w:p w14:paraId="523AEEDF" w14:textId="77777777" w:rsidR="00490A77" w:rsidRPr="00490A77" w:rsidRDefault="00490A77" w:rsidP="00490A77">
      <w:pPr>
        <w:jc w:val="both"/>
        <w:rPr>
          <w:rFonts w:ascii="Calibri" w:eastAsia="Aptos" w:hAnsi="Calibri" w:cs="Calibri"/>
          <w:sz w:val="20"/>
          <w:szCs w:val="20"/>
        </w:rPr>
      </w:pPr>
      <w:r w:rsidRPr="00490A77">
        <w:rPr>
          <w:rFonts w:ascii="Calibri" w:eastAsia="Aptos" w:hAnsi="Calibri" w:cs="Calibri"/>
          <w:sz w:val="20"/>
          <w:szCs w:val="20"/>
        </w:rPr>
        <w:t>- mające charakter błędu o niewielkim znaczeniu lub pojedynczej funkcji,</w:t>
      </w:r>
    </w:p>
    <w:p w14:paraId="39EAC98A" w14:textId="77777777" w:rsidR="00490A77" w:rsidRPr="00490A77" w:rsidRDefault="00490A77" w:rsidP="00490A77">
      <w:pPr>
        <w:jc w:val="both"/>
        <w:rPr>
          <w:rFonts w:ascii="Calibri" w:eastAsia="Aptos" w:hAnsi="Calibri" w:cs="Calibri"/>
          <w:sz w:val="20"/>
          <w:szCs w:val="20"/>
        </w:rPr>
      </w:pPr>
      <w:r w:rsidRPr="00490A77">
        <w:rPr>
          <w:rFonts w:ascii="Calibri" w:eastAsia="Aptos" w:hAnsi="Calibri" w:cs="Calibri"/>
          <w:sz w:val="20"/>
          <w:szCs w:val="20"/>
        </w:rPr>
        <w:t xml:space="preserve">- niewpływające na ciągłość działania systemu Zamawiającego. </w:t>
      </w:r>
    </w:p>
    <w:p w14:paraId="7F427584" w14:textId="77777777" w:rsidR="00490A77" w:rsidRPr="00490A77" w:rsidRDefault="00490A77" w:rsidP="00490A77">
      <w:pPr>
        <w:jc w:val="both"/>
        <w:rPr>
          <w:rFonts w:ascii="Calibri" w:eastAsia="Aptos" w:hAnsi="Calibri" w:cs="Calibri"/>
          <w:sz w:val="20"/>
          <w:szCs w:val="20"/>
        </w:rPr>
      </w:pPr>
      <w:r w:rsidRPr="00490A77">
        <w:rPr>
          <w:rFonts w:ascii="Calibri" w:eastAsia="Aptos" w:hAnsi="Calibri" w:cs="Calibri"/>
          <w:sz w:val="20"/>
          <w:szCs w:val="20"/>
        </w:rPr>
        <w:t>Czas reakcji: do 24 godzin od zgłoszenia incydentu. Czas usunięcia: do 5 dni roboczych od zgłoszenia incydentu.</w:t>
      </w:r>
    </w:p>
    <w:p w14:paraId="33A3469C" w14:textId="77777777" w:rsidR="00490A77" w:rsidRPr="00490A77" w:rsidRDefault="00490A77" w:rsidP="00490A77">
      <w:pPr>
        <w:jc w:val="both"/>
        <w:rPr>
          <w:rFonts w:ascii="Calibri" w:eastAsia="Aptos" w:hAnsi="Calibri" w:cs="Calibri"/>
          <w:b/>
          <w:bCs/>
          <w:sz w:val="20"/>
          <w:szCs w:val="20"/>
        </w:rPr>
      </w:pPr>
      <w:r w:rsidRPr="00490A77">
        <w:rPr>
          <w:rFonts w:ascii="Calibri" w:eastAsia="Aptos" w:hAnsi="Calibri" w:cs="Calibri"/>
          <w:b/>
          <w:bCs/>
          <w:sz w:val="20"/>
          <w:szCs w:val="20"/>
        </w:rPr>
        <w:t>7) Strony ustalają następujące czasy reakcji i naprawy dla części OT:</w:t>
      </w:r>
    </w:p>
    <w:p w14:paraId="19D899AE" w14:textId="77777777" w:rsidR="00490A77" w:rsidRPr="00490A77" w:rsidRDefault="00490A77" w:rsidP="00490A77">
      <w:pPr>
        <w:jc w:val="both"/>
        <w:rPr>
          <w:rFonts w:ascii="Calibri" w:eastAsia="Aptos" w:hAnsi="Calibri" w:cs="Calibri"/>
          <w:b/>
          <w:bCs/>
          <w:sz w:val="20"/>
          <w:szCs w:val="20"/>
        </w:rPr>
      </w:pPr>
      <w:r w:rsidRPr="00490A77">
        <w:rPr>
          <w:rFonts w:ascii="Calibri" w:eastAsia="Aptos" w:hAnsi="Calibri" w:cs="Calibri"/>
          <w:b/>
          <w:bCs/>
          <w:sz w:val="20"/>
          <w:szCs w:val="20"/>
        </w:rPr>
        <w:t xml:space="preserve">a) Incydent krytyczny – zdarzenie powodujące: </w:t>
      </w:r>
    </w:p>
    <w:p w14:paraId="258C54DF" w14:textId="77777777" w:rsidR="00490A77" w:rsidRPr="00490A77" w:rsidRDefault="00490A77" w:rsidP="00490A77">
      <w:pPr>
        <w:jc w:val="both"/>
        <w:rPr>
          <w:rFonts w:ascii="Calibri" w:eastAsia="Aptos" w:hAnsi="Calibri" w:cs="Calibri"/>
          <w:b/>
          <w:bCs/>
          <w:sz w:val="20"/>
          <w:szCs w:val="20"/>
        </w:rPr>
      </w:pPr>
      <w:r w:rsidRPr="00490A77">
        <w:rPr>
          <w:rFonts w:ascii="Calibri" w:eastAsia="Aptos" w:hAnsi="Calibri" w:cs="Calibri"/>
          <w:b/>
          <w:bCs/>
          <w:sz w:val="20"/>
          <w:szCs w:val="20"/>
        </w:rPr>
        <w:t>- awaria uniemożliwiająca pracę.</w:t>
      </w:r>
    </w:p>
    <w:p w14:paraId="13A0AC62" w14:textId="77777777" w:rsidR="00490A77" w:rsidRPr="00490A77" w:rsidRDefault="00490A77" w:rsidP="00490A77">
      <w:pPr>
        <w:jc w:val="both"/>
        <w:rPr>
          <w:rFonts w:ascii="Calibri" w:eastAsia="Aptos" w:hAnsi="Calibri" w:cs="Calibri"/>
          <w:b/>
          <w:bCs/>
          <w:sz w:val="20"/>
          <w:szCs w:val="20"/>
        </w:rPr>
      </w:pPr>
      <w:r w:rsidRPr="00490A77">
        <w:rPr>
          <w:rFonts w:ascii="Calibri" w:eastAsia="Aptos" w:hAnsi="Calibri" w:cs="Calibri"/>
          <w:b/>
          <w:bCs/>
          <w:sz w:val="20"/>
          <w:szCs w:val="20"/>
        </w:rPr>
        <w:lastRenderedPageBreak/>
        <w:t xml:space="preserve">Czas reakcji: do 4 godzin od zgłoszenia incydentu. Czas usunięcia: do 8 godzin od zgłoszenia incydentu. </w:t>
      </w:r>
    </w:p>
    <w:p w14:paraId="1601D604" w14:textId="77777777" w:rsidR="00490A77" w:rsidRPr="00490A77" w:rsidRDefault="00490A77" w:rsidP="00490A77">
      <w:pPr>
        <w:jc w:val="both"/>
        <w:rPr>
          <w:rFonts w:ascii="Calibri" w:eastAsia="Aptos" w:hAnsi="Calibri" w:cs="Calibri"/>
          <w:b/>
          <w:bCs/>
          <w:sz w:val="20"/>
          <w:szCs w:val="20"/>
        </w:rPr>
      </w:pPr>
      <w:r w:rsidRPr="00490A77">
        <w:rPr>
          <w:rFonts w:ascii="Calibri" w:eastAsia="Aptos" w:hAnsi="Calibri" w:cs="Calibri"/>
          <w:b/>
          <w:bCs/>
          <w:sz w:val="20"/>
          <w:szCs w:val="20"/>
        </w:rPr>
        <w:t xml:space="preserve">b) Incydent wysoki – zdarzenie powodujące: </w:t>
      </w:r>
    </w:p>
    <w:p w14:paraId="5F7C0396" w14:textId="77777777" w:rsidR="00490A77" w:rsidRPr="00490A77" w:rsidRDefault="00490A77" w:rsidP="00490A77">
      <w:pPr>
        <w:jc w:val="both"/>
        <w:rPr>
          <w:rFonts w:ascii="Calibri" w:eastAsia="Aptos" w:hAnsi="Calibri" w:cs="Calibri"/>
          <w:b/>
          <w:bCs/>
          <w:sz w:val="20"/>
          <w:szCs w:val="20"/>
        </w:rPr>
      </w:pPr>
      <w:r w:rsidRPr="00490A77">
        <w:rPr>
          <w:rFonts w:ascii="Calibri" w:eastAsia="Aptos" w:hAnsi="Calibri" w:cs="Calibri"/>
          <w:b/>
          <w:bCs/>
          <w:sz w:val="20"/>
          <w:szCs w:val="20"/>
        </w:rPr>
        <w:t xml:space="preserve">- znaczne ograniczenie funkcjonalności, </w:t>
      </w:r>
    </w:p>
    <w:p w14:paraId="33A26ACF" w14:textId="77777777" w:rsidR="00490A77" w:rsidRPr="00490A77" w:rsidRDefault="00490A77" w:rsidP="00490A77">
      <w:pPr>
        <w:jc w:val="both"/>
        <w:rPr>
          <w:rFonts w:ascii="Calibri" w:eastAsia="Aptos" w:hAnsi="Calibri" w:cs="Calibri"/>
          <w:b/>
          <w:bCs/>
          <w:sz w:val="20"/>
          <w:szCs w:val="20"/>
        </w:rPr>
      </w:pPr>
      <w:r w:rsidRPr="00490A77">
        <w:rPr>
          <w:rFonts w:ascii="Calibri" w:eastAsia="Aptos" w:hAnsi="Calibri" w:cs="Calibri"/>
          <w:b/>
          <w:bCs/>
          <w:sz w:val="20"/>
          <w:szCs w:val="20"/>
        </w:rPr>
        <w:t>- spadek wydajności uniemożliwiający normalną pracę.</w:t>
      </w:r>
    </w:p>
    <w:p w14:paraId="78E84E74" w14:textId="77777777" w:rsidR="00490A77" w:rsidRPr="00490A77" w:rsidRDefault="00490A77" w:rsidP="00490A77">
      <w:pPr>
        <w:jc w:val="both"/>
        <w:rPr>
          <w:rFonts w:ascii="Calibri" w:eastAsia="Aptos" w:hAnsi="Calibri" w:cs="Calibri"/>
          <w:b/>
          <w:bCs/>
          <w:sz w:val="20"/>
          <w:szCs w:val="20"/>
        </w:rPr>
      </w:pPr>
      <w:r w:rsidRPr="00490A77">
        <w:rPr>
          <w:rFonts w:ascii="Calibri" w:eastAsia="Aptos" w:hAnsi="Calibri" w:cs="Calibri"/>
          <w:b/>
          <w:bCs/>
          <w:sz w:val="20"/>
          <w:szCs w:val="20"/>
        </w:rPr>
        <w:t>Czas reakcji: do 8 godzin od zgłoszenia incydentu. Czas usunięcia: do 24 godzin od zgłoszenia incydentu.</w:t>
      </w:r>
    </w:p>
    <w:p w14:paraId="0316AE62" w14:textId="77777777" w:rsidR="00490A77" w:rsidRPr="00490A77" w:rsidRDefault="00490A77" w:rsidP="00490A77">
      <w:pPr>
        <w:jc w:val="both"/>
        <w:rPr>
          <w:rFonts w:ascii="Calibri" w:eastAsia="Aptos" w:hAnsi="Calibri" w:cs="Calibri"/>
          <w:b/>
          <w:bCs/>
          <w:sz w:val="20"/>
          <w:szCs w:val="20"/>
        </w:rPr>
      </w:pPr>
      <w:r w:rsidRPr="00490A77">
        <w:rPr>
          <w:rFonts w:ascii="Calibri" w:eastAsia="Aptos" w:hAnsi="Calibri" w:cs="Calibri"/>
          <w:b/>
          <w:bCs/>
          <w:sz w:val="20"/>
          <w:szCs w:val="20"/>
        </w:rPr>
        <w:t xml:space="preserve">c) Incydent niski – zdarzenie: </w:t>
      </w:r>
    </w:p>
    <w:p w14:paraId="182C8AFE" w14:textId="77777777" w:rsidR="00490A77" w:rsidRPr="00490A77" w:rsidRDefault="00490A77" w:rsidP="00490A77">
      <w:pPr>
        <w:jc w:val="both"/>
        <w:rPr>
          <w:rFonts w:ascii="Calibri" w:eastAsia="Aptos" w:hAnsi="Calibri" w:cs="Calibri"/>
          <w:b/>
          <w:bCs/>
          <w:sz w:val="20"/>
          <w:szCs w:val="20"/>
        </w:rPr>
      </w:pPr>
      <w:r w:rsidRPr="00490A77">
        <w:rPr>
          <w:rFonts w:ascii="Calibri" w:eastAsia="Aptos" w:hAnsi="Calibri" w:cs="Calibri"/>
          <w:b/>
          <w:bCs/>
          <w:sz w:val="20"/>
          <w:szCs w:val="20"/>
        </w:rPr>
        <w:t xml:space="preserve">- usterka niepowodująca istotnego ograniczenia funkcjonalności, </w:t>
      </w:r>
    </w:p>
    <w:p w14:paraId="7FDCFE40" w14:textId="77777777" w:rsidR="00490A77" w:rsidRPr="00490A77" w:rsidRDefault="00490A77" w:rsidP="00490A77">
      <w:pPr>
        <w:jc w:val="both"/>
        <w:rPr>
          <w:rFonts w:ascii="Calibri" w:eastAsia="Aptos" w:hAnsi="Calibri" w:cs="Calibri"/>
          <w:b/>
          <w:bCs/>
          <w:sz w:val="20"/>
          <w:szCs w:val="20"/>
        </w:rPr>
      </w:pPr>
      <w:r w:rsidRPr="00490A77">
        <w:rPr>
          <w:rFonts w:ascii="Calibri" w:eastAsia="Aptos" w:hAnsi="Calibri" w:cs="Calibri"/>
          <w:b/>
          <w:bCs/>
          <w:sz w:val="20"/>
          <w:szCs w:val="20"/>
        </w:rPr>
        <w:t>- mające charakter błędu o niewielkim znaczeniu lub pojedynczej funkcji.</w:t>
      </w:r>
    </w:p>
    <w:p w14:paraId="7C072974" w14:textId="4DE7E39F" w:rsidR="00490A77" w:rsidRPr="00490A77" w:rsidRDefault="00490A77" w:rsidP="00490A77">
      <w:pPr>
        <w:jc w:val="both"/>
        <w:rPr>
          <w:rFonts w:ascii="Calibri" w:eastAsia="Aptos" w:hAnsi="Calibri" w:cs="Calibri"/>
          <w:b/>
          <w:bCs/>
          <w:sz w:val="20"/>
          <w:szCs w:val="20"/>
        </w:rPr>
      </w:pPr>
      <w:r w:rsidRPr="00490A77">
        <w:rPr>
          <w:rFonts w:ascii="Calibri" w:eastAsia="Aptos" w:hAnsi="Calibri" w:cs="Calibri"/>
          <w:b/>
          <w:bCs/>
          <w:sz w:val="20"/>
          <w:szCs w:val="20"/>
        </w:rPr>
        <w:t>Czas reakcji: do 24 godzin od zgłoszenia incydentu. Czas usunięcia: do 5 dni roboczych</w:t>
      </w:r>
      <w:r w:rsidRPr="00490A77">
        <w:rPr>
          <w:rFonts w:ascii="Calibri" w:eastAsia="Times New Roman" w:hAnsi="Calibri" w:cs="Times New Roman"/>
          <w:b/>
          <w:bCs/>
          <w:kern w:val="0"/>
          <w14:ligatures w14:val="none"/>
        </w:rPr>
        <w:t xml:space="preserve"> </w:t>
      </w:r>
      <w:r w:rsidRPr="00490A77">
        <w:rPr>
          <w:rFonts w:ascii="Calibri" w:eastAsia="Aptos" w:hAnsi="Calibri" w:cs="Calibri"/>
          <w:b/>
          <w:bCs/>
          <w:sz w:val="20"/>
          <w:szCs w:val="20"/>
        </w:rPr>
        <w:t>od zgłoszenia incydentu.</w:t>
      </w:r>
      <w:r>
        <w:rPr>
          <w:rFonts w:ascii="Calibri" w:eastAsia="Aptos" w:hAnsi="Calibri" w:cs="Calibri"/>
          <w:b/>
          <w:bCs/>
          <w:sz w:val="20"/>
          <w:szCs w:val="20"/>
        </w:rPr>
        <w:t>”</w:t>
      </w:r>
    </w:p>
    <w:p w14:paraId="25E9614E" w14:textId="77777777" w:rsidR="00490A77" w:rsidRDefault="00490A77" w:rsidP="00490A77">
      <w:pPr>
        <w:jc w:val="both"/>
        <w:rPr>
          <w:rFonts w:ascii="Calibri" w:eastAsia="Aptos" w:hAnsi="Calibri" w:cs="Calibri"/>
          <w:sz w:val="20"/>
          <w:szCs w:val="20"/>
        </w:rPr>
      </w:pPr>
    </w:p>
    <w:p w14:paraId="2C5F8899" w14:textId="2015A320" w:rsidR="00490A77" w:rsidRPr="00490A77" w:rsidRDefault="00CD12D8" w:rsidP="00490A77">
      <w:pPr>
        <w:jc w:val="both"/>
        <w:rPr>
          <w:rFonts w:ascii="Calibri" w:eastAsia="Aptos" w:hAnsi="Calibri" w:cs="Calibri"/>
          <w:b/>
          <w:bCs/>
          <w:sz w:val="20"/>
          <w:szCs w:val="20"/>
        </w:rPr>
      </w:pPr>
      <w:r>
        <w:rPr>
          <w:rFonts w:ascii="Calibri" w:eastAsia="Aptos" w:hAnsi="Calibri" w:cs="Calibri"/>
          <w:sz w:val="20"/>
          <w:szCs w:val="20"/>
        </w:rPr>
        <w:t xml:space="preserve">d) W </w:t>
      </w:r>
      <w:r w:rsidR="00490A77" w:rsidRPr="00490A77">
        <w:rPr>
          <w:rFonts w:ascii="Calibri" w:eastAsia="Aptos" w:hAnsi="Calibri" w:cs="Calibri"/>
          <w:sz w:val="20"/>
          <w:szCs w:val="20"/>
        </w:rPr>
        <w:t xml:space="preserve">§ 10 </w:t>
      </w:r>
      <w:r>
        <w:rPr>
          <w:rFonts w:ascii="Calibri" w:eastAsia="Aptos" w:hAnsi="Calibri" w:cs="Calibri"/>
          <w:sz w:val="20"/>
          <w:szCs w:val="20"/>
        </w:rPr>
        <w:t xml:space="preserve">PPU </w:t>
      </w:r>
      <w:r w:rsidR="00490A77" w:rsidRPr="00490A77">
        <w:rPr>
          <w:rFonts w:ascii="Calibri" w:eastAsia="Aptos" w:hAnsi="Calibri" w:cs="Calibri"/>
          <w:sz w:val="20"/>
          <w:szCs w:val="20"/>
        </w:rPr>
        <w:t xml:space="preserve">ust. 1 pkt. </w:t>
      </w:r>
      <w:r w:rsidR="00490A77" w:rsidRPr="00490A77">
        <w:rPr>
          <w:rFonts w:ascii="Calibri" w:eastAsia="Aptos" w:hAnsi="Calibri" w:cs="Calibri"/>
          <w:sz w:val="20"/>
          <w:szCs w:val="20"/>
        </w:rPr>
        <w:t xml:space="preserve">4) </w:t>
      </w:r>
      <w:r w:rsidR="00490A77" w:rsidRPr="00490A77">
        <w:rPr>
          <w:rFonts w:ascii="Calibri" w:eastAsia="Aptos" w:hAnsi="Calibri" w:cs="Calibri"/>
          <w:sz w:val="20"/>
          <w:szCs w:val="20"/>
        </w:rPr>
        <w:t>zostaje</w:t>
      </w:r>
      <w:r w:rsidR="00490A77" w:rsidRPr="00490A77">
        <w:rPr>
          <w:rFonts w:ascii="Calibri" w:eastAsia="Aptos" w:hAnsi="Calibri" w:cs="Calibri"/>
          <w:b/>
          <w:bCs/>
          <w:sz w:val="20"/>
          <w:szCs w:val="20"/>
        </w:rPr>
        <w:t xml:space="preserve"> </w:t>
      </w:r>
      <w:r w:rsidR="00490A77" w:rsidRPr="00490A77">
        <w:rPr>
          <w:rFonts w:ascii="Calibri" w:eastAsia="Aptos" w:hAnsi="Calibri" w:cs="Calibri"/>
          <w:b/>
          <w:bCs/>
          <w:sz w:val="20"/>
          <w:szCs w:val="20"/>
        </w:rPr>
        <w:t>wykreślon</w:t>
      </w:r>
      <w:r w:rsidR="00490A77" w:rsidRPr="00490A77">
        <w:rPr>
          <w:rFonts w:ascii="Calibri" w:eastAsia="Aptos" w:hAnsi="Calibri" w:cs="Calibri"/>
          <w:b/>
          <w:bCs/>
          <w:sz w:val="20"/>
          <w:szCs w:val="20"/>
        </w:rPr>
        <w:t>y</w:t>
      </w:r>
      <w:r w:rsidR="00490A77" w:rsidRPr="00490A77">
        <w:rPr>
          <w:rFonts w:ascii="Calibri" w:eastAsia="Aptos" w:hAnsi="Calibri" w:cs="Calibri"/>
          <w:b/>
          <w:bCs/>
          <w:sz w:val="20"/>
          <w:szCs w:val="20"/>
        </w:rPr>
        <w:t>;</w:t>
      </w:r>
    </w:p>
    <w:p w14:paraId="062328BB" w14:textId="77777777" w:rsidR="00490A77" w:rsidRDefault="00490A77" w:rsidP="00490A77">
      <w:pPr>
        <w:jc w:val="both"/>
        <w:rPr>
          <w:rFonts w:ascii="Calibri" w:eastAsia="Aptos" w:hAnsi="Calibri" w:cs="Calibri"/>
          <w:sz w:val="20"/>
          <w:szCs w:val="20"/>
        </w:rPr>
      </w:pPr>
    </w:p>
    <w:p w14:paraId="5DB55C88" w14:textId="7CA83164" w:rsidR="00490A77" w:rsidRDefault="00CD12D8" w:rsidP="00490A77">
      <w:pPr>
        <w:jc w:val="both"/>
        <w:rPr>
          <w:rFonts w:ascii="Calibri" w:eastAsia="Aptos" w:hAnsi="Calibri" w:cs="Calibri"/>
          <w:sz w:val="20"/>
          <w:szCs w:val="20"/>
        </w:rPr>
      </w:pPr>
      <w:r>
        <w:rPr>
          <w:rFonts w:ascii="Calibri" w:eastAsia="Aptos" w:hAnsi="Calibri" w:cs="Calibri"/>
          <w:sz w:val="20"/>
          <w:szCs w:val="20"/>
        </w:rPr>
        <w:t xml:space="preserve">e) </w:t>
      </w:r>
      <w:r w:rsidR="00490A77">
        <w:rPr>
          <w:rFonts w:ascii="Calibri" w:eastAsia="Aptos" w:hAnsi="Calibri" w:cs="Calibri"/>
          <w:sz w:val="20"/>
          <w:szCs w:val="20"/>
        </w:rPr>
        <w:t xml:space="preserve">§ 10 ust. 1 pkt. </w:t>
      </w:r>
      <w:r w:rsidR="00490A77" w:rsidRPr="00490A77">
        <w:rPr>
          <w:rFonts w:ascii="Calibri" w:eastAsia="Aptos" w:hAnsi="Calibri" w:cs="Calibri"/>
          <w:sz w:val="20"/>
          <w:szCs w:val="20"/>
        </w:rPr>
        <w:t xml:space="preserve">9) </w:t>
      </w:r>
      <w:r>
        <w:rPr>
          <w:rFonts w:ascii="Calibri" w:eastAsia="Aptos" w:hAnsi="Calibri" w:cs="Calibri"/>
          <w:sz w:val="20"/>
          <w:szCs w:val="20"/>
        </w:rPr>
        <w:t xml:space="preserve">PPU </w:t>
      </w:r>
      <w:r w:rsidR="00490A77">
        <w:rPr>
          <w:rFonts w:ascii="Calibri" w:eastAsia="Aptos" w:hAnsi="Calibri" w:cs="Calibri"/>
          <w:sz w:val="20"/>
          <w:szCs w:val="20"/>
        </w:rPr>
        <w:t>otrzymuje nowe brzmienie:</w:t>
      </w:r>
    </w:p>
    <w:p w14:paraId="5BEB8151" w14:textId="2C221DC3" w:rsidR="00490A77" w:rsidRPr="00490A77" w:rsidRDefault="00490A77" w:rsidP="00490A77">
      <w:pPr>
        <w:jc w:val="both"/>
        <w:rPr>
          <w:rFonts w:ascii="Calibri" w:eastAsia="Aptos" w:hAnsi="Calibri" w:cs="Calibri"/>
          <w:sz w:val="20"/>
          <w:szCs w:val="20"/>
        </w:rPr>
      </w:pPr>
      <w:r>
        <w:rPr>
          <w:rFonts w:ascii="Calibri" w:eastAsia="Aptos" w:hAnsi="Calibri" w:cs="Calibri"/>
          <w:sz w:val="20"/>
          <w:szCs w:val="20"/>
        </w:rPr>
        <w:t>„</w:t>
      </w:r>
      <w:r w:rsidRPr="00490A77">
        <w:rPr>
          <w:rFonts w:ascii="Calibri" w:eastAsia="Aptos" w:hAnsi="Calibri" w:cs="Calibri"/>
          <w:b/>
          <w:bCs/>
          <w:sz w:val="20"/>
          <w:szCs w:val="20"/>
        </w:rPr>
        <w:t>dotyczy części IT:</w:t>
      </w:r>
      <w:r w:rsidRPr="00490A77">
        <w:rPr>
          <w:rFonts w:ascii="Calibri" w:eastAsia="Aptos" w:hAnsi="Calibri" w:cs="Calibri"/>
          <w:sz w:val="20"/>
          <w:szCs w:val="20"/>
        </w:rPr>
        <w:t xml:space="preserve"> za każdy incydent bezpieczeństwa, o którym mowa w § 14 ust. 2, powstały z winy Wykonawcy lub w wyniku niewłaściwego działania dostarczonego rozwiązania, Wykonawca w wysokości 0,5% wynagrodzenia umownego brutto określonego w § 7 ust. 1 Umowy</w:t>
      </w:r>
      <w:r>
        <w:rPr>
          <w:rFonts w:ascii="Calibri" w:eastAsia="Aptos" w:hAnsi="Calibri" w:cs="Calibri"/>
          <w:sz w:val="20"/>
          <w:szCs w:val="20"/>
        </w:rPr>
        <w:t>”</w:t>
      </w:r>
      <w:r w:rsidRPr="00490A77">
        <w:rPr>
          <w:rFonts w:ascii="Calibri" w:eastAsia="Aptos" w:hAnsi="Calibri" w:cs="Calibri"/>
          <w:sz w:val="20"/>
          <w:szCs w:val="20"/>
        </w:rPr>
        <w:t>.</w:t>
      </w:r>
    </w:p>
    <w:p w14:paraId="2846E0F7" w14:textId="77777777" w:rsidR="00490A77" w:rsidRPr="00490A77" w:rsidRDefault="00490A77" w:rsidP="00490A77">
      <w:pPr>
        <w:rPr>
          <w:rFonts w:ascii="Calibri" w:eastAsia="Aptos" w:hAnsi="Calibri" w:cs="Calibri"/>
          <w:sz w:val="20"/>
          <w:szCs w:val="20"/>
        </w:rPr>
      </w:pPr>
    </w:p>
    <w:p w14:paraId="0B935D72" w14:textId="77777777" w:rsidR="00490A77" w:rsidRPr="00490A77" w:rsidRDefault="00490A77" w:rsidP="00490A77">
      <w:pPr>
        <w:rPr>
          <w:rFonts w:ascii="Calibri" w:eastAsia="Aptos" w:hAnsi="Calibri" w:cs="Calibri"/>
          <w:sz w:val="20"/>
          <w:szCs w:val="20"/>
        </w:rPr>
      </w:pPr>
    </w:p>
    <w:p w14:paraId="4E4A4DCF" w14:textId="77777777" w:rsidR="00490A77" w:rsidRPr="00490A77" w:rsidRDefault="00490A77" w:rsidP="00490A77">
      <w:pPr>
        <w:spacing w:before="360" w:after="360" w:line="360" w:lineRule="auto"/>
        <w:rPr>
          <w:rFonts w:ascii="Calibri" w:eastAsia="Times New Roman" w:hAnsi="Calibri" w:cs="Times New Roman"/>
          <w:kern w:val="0"/>
          <w14:ligatures w14:val="none"/>
        </w:rPr>
      </w:pPr>
    </w:p>
    <w:p w14:paraId="16EA85B1" w14:textId="77777777" w:rsidR="005D3A30" w:rsidRDefault="005D3A30"/>
    <w:sectPr w:rsidR="005D3A30" w:rsidSect="00490A77"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 w:code="9"/>
      <w:pgMar w:top="1922" w:right="1134" w:bottom="1446" w:left="1134" w:header="283" w:footer="192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99110D3" w14:textId="77777777" w:rsidR="00490A77" w:rsidRDefault="00490A77" w:rsidP="002B6080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0D3F359D" w14:textId="77777777" w:rsidR="00490A77" w:rsidRDefault="00490A7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3BB415B" w14:textId="77777777" w:rsidR="00490A77" w:rsidRPr="00A1635D" w:rsidRDefault="00490A77" w:rsidP="00CA518A">
    <w:pPr>
      <w:pStyle w:val="Stopka"/>
      <w:tabs>
        <w:tab w:val="right" w:pos="9720"/>
      </w:tabs>
      <w:jc w:val="center"/>
      <w:rPr>
        <w:rFonts w:ascii="Aptos" w:hAnsi="Aptos" w:cs="Aptos"/>
        <w:color w:val="646464"/>
        <w:sz w:val="10"/>
        <w:szCs w:val="10"/>
      </w:rPr>
    </w:pPr>
    <w:r w:rsidRPr="00A1635D">
      <w:rPr>
        <w:rFonts w:ascii="Aptos" w:hAnsi="Aptos" w:cs="Aptos"/>
        <w:noProof/>
        <w:color w:val="474747"/>
        <w:sz w:val="10"/>
        <w:szCs w:val="10"/>
        <w:lang w:eastAsia="pl-PL"/>
      </w:rPr>
      <w:drawing>
        <wp:inline distT="0" distB="0" distL="0" distR="0" wp14:anchorId="7F952E93" wp14:editId="1928BD4F">
          <wp:extent cx="4434840" cy="335280"/>
          <wp:effectExtent l="0" t="0" r="0" b="7620"/>
          <wp:docPr id="845243343" name="Obraz 1">
            <a:extLst xmlns:a="http://schemas.openxmlformats.org/drawingml/2006/main">
              <a:ext uri="{FF2B5EF4-FFF2-40B4-BE49-F238E27FC236}">
                <a16:creationId xmlns:a16="http://schemas.microsoft.com/office/drawing/2014/main" id="{01ADB201-49D4-4D86-89D4-F0BC6D04D92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3016" b="2222"/>
                  <a:stretch>
                    <a:fillRect/>
                  </a:stretch>
                </pic:blipFill>
                <pic:spPr bwMode="auto">
                  <a:xfrm>
                    <a:off x="0" y="0"/>
                    <a:ext cx="4434840" cy="3352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3F030B6" w14:textId="77777777" w:rsidR="00490A77" w:rsidRPr="00A1635D" w:rsidRDefault="00490A77" w:rsidP="00A25198">
    <w:pPr>
      <w:pStyle w:val="Stopka"/>
      <w:tabs>
        <w:tab w:val="right" w:pos="9720"/>
      </w:tabs>
      <w:rPr>
        <w:rFonts w:ascii="Aptos" w:hAnsi="Aptos" w:cs="Aptos"/>
        <w:color w:val="646464"/>
        <w:sz w:val="10"/>
        <w:szCs w:val="10"/>
      </w:rPr>
    </w:pPr>
    <w:r w:rsidRPr="00A1635D">
      <w:rPr>
        <w:rFonts w:ascii="Aptos" w:hAnsi="Aptos" w:cs="Aptos"/>
        <w:noProof/>
        <w:color w:val="474747"/>
        <w:sz w:val="10"/>
        <w:szCs w:val="10"/>
        <w:lang w:eastAsia="pl-PL"/>
      </w:rPr>
      <w:drawing>
        <wp:anchor distT="0" distB="0" distL="114300" distR="114300" simplePos="0" relativeHeight="251659264" behindDoc="0" locked="0" layoutInCell="1" allowOverlap="1" wp14:anchorId="32B5FD1E" wp14:editId="0ABC2891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1103463517" name="Picture 3">
            <a:extLst xmlns:a="http://schemas.openxmlformats.org/drawingml/2006/main">
              <a:ext uri="{FF2B5EF4-FFF2-40B4-BE49-F238E27FC236}">
                <a16:creationId xmlns:a16="http://schemas.microsoft.com/office/drawing/2014/main" id="{CF4660A5-13BA-440C-ACFE-AD4C85CC48CB}"/>
              </a:ex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1635D">
      <w:rPr>
        <w:rFonts w:ascii="Aptos" w:hAnsi="Aptos" w:cs="Aptos"/>
        <w:color w:val="646464"/>
        <w:sz w:val="10"/>
        <w:szCs w:val="10"/>
      </w:rPr>
      <w:t xml:space="preserve">CENTRUM PROJEKTÓW POLSKA CYFROWA </w:t>
    </w:r>
    <w:r w:rsidRPr="00A1635D">
      <w:rPr>
        <w:rFonts w:ascii="Aptos" w:hAnsi="Aptos" w:cs="Aptos"/>
        <w:color w:val="646464"/>
        <w:sz w:val="10"/>
        <w:szCs w:val="10"/>
      </w:rPr>
      <w:br/>
      <w:t>ul. Spokojna 13A, 01-044 Warszawa | infolinia: +48 223152340 | e-mail: cppc@cppc.gov.pl</w:t>
    </w:r>
    <w:r w:rsidRPr="00A1635D">
      <w:rPr>
        <w:rFonts w:ascii="Aptos" w:hAnsi="Aptos" w:cs="Aptos"/>
        <w:noProof/>
        <w:sz w:val="10"/>
        <w:szCs w:val="10"/>
      </w:rPr>
      <w:drawing>
        <wp:anchor distT="0" distB="0" distL="114300" distR="114300" simplePos="0" relativeHeight="251660288" behindDoc="1" locked="0" layoutInCell="0" allowOverlap="1" wp14:anchorId="6F6CF849" wp14:editId="427DF427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7614920" cy="3333115"/>
          <wp:effectExtent l="0" t="0" r="5080" b="0"/>
          <wp:wrapNone/>
          <wp:docPr id="3" name="Obraz 1">
            <a:extLst xmlns:a="http://schemas.openxmlformats.org/drawingml/2006/main">
              <a:ext uri="{FF2B5EF4-FFF2-40B4-BE49-F238E27FC236}">
                <a16:creationId xmlns:a16="http://schemas.microsoft.com/office/drawing/2014/main" id="{9877E47B-AE55-4810-BBA6-C03371301459}"/>
              </a:ext>
            </a:extLst>
          </wp:docPr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4920" cy="3333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397DF9C" w14:textId="77777777" w:rsidR="00490A77" w:rsidRDefault="00490A77">
    <w:pPr>
      <w:pStyle w:val="Nagwek"/>
    </w:pPr>
    <w:r w:rsidRPr="00A1635D">
      <w:rPr>
        <w:rFonts w:ascii="Aptos" w:hAnsi="Aptos" w:cs="Aptos"/>
        <w:noProof/>
        <w:color w:val="646464"/>
        <w:sz w:val="10"/>
        <w:szCs w:val="10"/>
      </w:rPr>
      <w:drawing>
        <wp:anchor distT="0" distB="0" distL="114300" distR="114300" simplePos="0" relativeHeight="251659264" behindDoc="1" locked="0" layoutInCell="1" allowOverlap="1" wp14:anchorId="35CA55AF" wp14:editId="2E45E847">
          <wp:simplePos x="0" y="0"/>
          <wp:positionH relativeFrom="margin">
            <wp:align>center</wp:align>
          </wp:positionH>
          <wp:positionV relativeFrom="margin">
            <wp:posOffset>4107815</wp:posOffset>
          </wp:positionV>
          <wp:extent cx="7513200" cy="4305600"/>
          <wp:effectExtent l="0" t="0" r="0" b="0"/>
          <wp:wrapNone/>
          <wp:docPr id="1097487058" name="Obraz 2" descr="Obraz zawierający Czcionka, Grafika, design&#10;&#10;Zawartość wygenerowana przez AI może być niepoprawna.">
            <a:extLst xmlns:a="http://schemas.openxmlformats.org/drawingml/2006/main">
              <a:ext uri="{FF2B5EF4-FFF2-40B4-BE49-F238E27FC236}">
                <a16:creationId xmlns:a16="http://schemas.microsoft.com/office/drawing/2014/main" id="{4B256951-FFBA-4284-B117-DF2596AF9DE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7487058" name="Obraz 2" descr="Obraz zawierający Czcionka, Grafika, design&#10;&#10;Zawartość wygenerowana przez AI może być niepoprawna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alphaModFix am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26" t="7757" r="71865" b="41400"/>
                  <a:stretch>
                    <a:fillRect/>
                  </a:stretch>
                </pic:blipFill>
                <pic:spPr bwMode="auto">
                  <a:xfrm>
                    <a:off x="0" y="0"/>
                    <a:ext cx="7513200" cy="4305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4AECAD21" wp14:editId="74BAB3CF">
          <wp:extent cx="1928267" cy="557100"/>
          <wp:effectExtent l="0" t="0" r="0" b="0"/>
          <wp:docPr id="1547000015" name="Obraz 3">
            <a:extLst xmlns:a="http://schemas.openxmlformats.org/drawingml/2006/main">
              <a:ext uri="{FF2B5EF4-FFF2-40B4-BE49-F238E27FC236}">
                <a16:creationId xmlns:a16="http://schemas.microsoft.com/office/drawing/2014/main" id="{AA205CEA-7D34-44F8-9559-21078F01B94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7000015" name="Obraz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69" b="1669"/>
                  <a:stretch>
                    <a:fillRect/>
                  </a:stretch>
                </pic:blipFill>
                <pic:spPr bwMode="auto">
                  <a:xfrm>
                    <a:off x="0" y="0"/>
                    <a:ext cx="1928267" cy="5571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AF33593" w14:textId="77777777" w:rsidR="00490A77" w:rsidRDefault="00490A77" w:rsidP="002B6080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8264E78A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6146134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start w:val="1"/>
      <w:numFmt w:val="ideographDigital"/>
      <w:lvlText w:val="."/>
      <w:lvlJc w:val="left"/>
    </w:lvl>
    <w:lvl w:ilvl="2" w:tplc="FFFFFFFF">
      <w:start w:val="1"/>
      <w:numFmt w:val="lowerLetter"/>
      <w:lvlText w:val=".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8EAC0732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AF1B925A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D9C2CCE0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FCE12006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18F7BE9B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3687DE5C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370F6C44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111390887">
    <w:abstractNumId w:val="0"/>
  </w:num>
  <w:num w:numId="2" w16cid:durableId="1290084912">
    <w:abstractNumId w:val="6"/>
  </w:num>
  <w:num w:numId="3" w16cid:durableId="1290670429">
    <w:abstractNumId w:val="1"/>
  </w:num>
  <w:num w:numId="4" w16cid:durableId="1363244580">
    <w:abstractNumId w:val="3"/>
  </w:num>
  <w:num w:numId="5" w16cid:durableId="1444642750">
    <w:abstractNumId w:val="4"/>
  </w:num>
  <w:num w:numId="6" w16cid:durableId="145363896">
    <w:abstractNumId w:val="8"/>
  </w:num>
  <w:num w:numId="7" w16cid:durableId="1863589618">
    <w:abstractNumId w:val="2"/>
  </w:num>
  <w:num w:numId="8" w16cid:durableId="455635718">
    <w:abstractNumId w:val="5"/>
  </w:num>
  <w:num w:numId="9" w16cid:durableId="975334952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A77"/>
    <w:rsid w:val="00490A77"/>
    <w:rsid w:val="005D3A30"/>
    <w:rsid w:val="006322F3"/>
    <w:rsid w:val="00A06738"/>
    <w:rsid w:val="00CD1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86CB5A6"/>
  <w15:chartTrackingRefBased/>
  <w15:docId w15:val="{2ECC4D34-533A-D746-AC9B-0E95C4114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90A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90A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90A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90A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90A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90A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90A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90A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90A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90A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90A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90A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90A7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90A7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90A7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90A7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90A7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90A7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90A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90A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90A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90A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90A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90A7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90A7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90A7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90A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90A7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90A77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semiHidden/>
    <w:unhideWhenUsed/>
    <w:rsid w:val="00490A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90A77"/>
  </w:style>
  <w:style w:type="paragraph" w:styleId="Stopka">
    <w:name w:val="footer"/>
    <w:basedOn w:val="Normalny"/>
    <w:link w:val="StopkaZnak"/>
    <w:uiPriority w:val="99"/>
    <w:semiHidden/>
    <w:unhideWhenUsed/>
    <w:rsid w:val="00490A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490A77"/>
  </w:style>
  <w:style w:type="character" w:styleId="Numerstrony">
    <w:name w:val="page number"/>
    <w:basedOn w:val="Domylnaczcionkaakapitu"/>
    <w:rsid w:val="00490A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722</Words>
  <Characters>4332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 Jezierska</dc:creator>
  <cp:keywords/>
  <dc:description/>
  <cp:lastModifiedBy>Martyna Jezierska</cp:lastModifiedBy>
  <cp:revision>1</cp:revision>
  <dcterms:created xsi:type="dcterms:W3CDTF">2026-09-18T12:28:00Z</dcterms:created>
  <dcterms:modified xsi:type="dcterms:W3CDTF">2026-09-18T12:44:00Z</dcterms:modified>
</cp:coreProperties>
</file>