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jc w:val="end"/>
        <w:rPr>
          <w:b/>
          <w:bCs/>
          <w:color w:val="FF4000"/>
          <w:sz w:val="26"/>
          <w:szCs w:val="26"/>
        </w:rPr>
      </w:pPr>
      <w:r>
        <w:rPr>
          <w:b/>
          <w:bCs/>
          <w:color w:val="FF4000"/>
          <w:sz w:val="26"/>
          <w:szCs w:val="26"/>
        </w:rPr>
        <w:t xml:space="preserve">                                                                                              </w:t>
      </w:r>
    </w:p>
    <w:p>
      <w:pPr>
        <w:pStyle w:val="BodyText"/>
        <w:jc w:val="center"/>
        <w:rPr>
          <w:sz w:val="26"/>
          <w:szCs w:val="26"/>
        </w:rPr>
      </w:pPr>
      <w:r>
        <w:rPr>
          <w:sz w:val="26"/>
          <w:szCs w:val="26"/>
        </w:rPr>
        <w:t xml:space="preserve"> </w:t>
      </w:r>
      <w:r>
        <w:rPr>
          <w:rFonts w:eastAsia="Calibri"/>
          <w:sz w:val="26"/>
          <w:szCs w:val="26"/>
        </w:rPr>
        <w:t>OPIS PRZEDMIOTU ZAMÓWIENIA</w:t>
      </w:r>
    </w:p>
    <w:p>
      <w:pPr>
        <w:pStyle w:val="Heading2"/>
        <w:spacing w:lineRule="auto" w:line="276" w:before="0" w:after="140"/>
        <w:rPr>
          <w:rFonts w:ascii="Calibri" w:hAnsi="Calibri" w:eastAsia="Calibri"/>
          <w:sz w:val="26"/>
          <w:szCs w:val="26"/>
        </w:rPr>
      </w:pPr>
      <w:r>
        <w:rPr>
          <w:rFonts w:eastAsia="Calibri" w:ascii="Calibri" w:hAnsi="Calibri"/>
          <w:sz w:val="26"/>
          <w:szCs w:val="26"/>
        </w:rPr>
        <w:t>Dostawa i montaż instalacji fotowoltaicznej o mocy 20 kWp wraz z magazynem energii o pojemności 24 kWh – montaż balastowy na dachu płaskim</w:t>
      </w:r>
    </w:p>
    <w:p>
      <w:pPr>
        <w:pStyle w:val="Heading3"/>
        <w:spacing w:lineRule="auto" w:line="276" w:before="0" w:after="140"/>
        <w:rPr>
          <w:rFonts w:ascii="Calibri" w:hAnsi="Calibri" w:eastAsia="Calibri"/>
          <w:sz w:val="26"/>
          <w:szCs w:val="26"/>
        </w:rPr>
      </w:pPr>
      <w:r>
        <w:rPr>
          <w:rFonts w:eastAsia="Calibri" w:ascii="Calibri" w:hAnsi="Calibri"/>
          <w:sz w:val="26"/>
          <w:szCs w:val="26"/>
        </w:rPr>
        <w:t>1. Przedmiot zamówienia</w:t>
      </w:r>
    </w:p>
    <w:p>
      <w:pPr>
        <w:pStyle w:val="BodyText"/>
        <w:jc w:val="both"/>
        <w:rPr>
          <w:sz w:val="26"/>
          <w:szCs w:val="26"/>
        </w:rPr>
      </w:pPr>
      <w:r>
        <w:rPr>
          <w:sz w:val="26"/>
          <w:szCs w:val="26"/>
        </w:rPr>
        <w:t>Przedmiotem zamówienia jest kompleksowa realizacja zadania obejmującego dostawę, montaż, uruchomienie oraz przekazanie do użytkowania kompletnej instalacji fotowoltaicznej o mocy znamionowej 20 kWp wraz z magazynem energii elektrycznej o pojemności użytkowej nie mniejszej niż 24 kWh, przeznaczonej do współpracy z instalacją fotowoltaiczną.</w:t>
      </w:r>
    </w:p>
    <w:p>
      <w:pPr>
        <w:pStyle w:val="BodyText"/>
        <w:jc w:val="both"/>
        <w:rPr>
          <w:b/>
          <w:bCs/>
          <w:sz w:val="26"/>
          <w:szCs w:val="26"/>
        </w:rPr>
      </w:pPr>
      <w:r>
        <w:rPr>
          <w:b/>
          <w:bCs/>
          <w:sz w:val="26"/>
          <w:szCs w:val="26"/>
        </w:rPr>
        <w:t>Wykonawca obowiązany będzie do przygotowania dokumentacji związanej ze złożeniem wniosku do operatora sieci dystrybucyjnej o przyłączenie mikroinstalacji fotowoltaicznej z magazynem energii, a także zgłoszeniem instalacji do Państwowej Straży Pożarnej oraz</w:t>
      </w:r>
      <w:r>
        <w:rPr>
          <w:b/>
          <w:bCs/>
          <w:color w:val="000000"/>
          <w:sz w:val="26"/>
          <w:szCs w:val="26"/>
        </w:rPr>
        <w:t xml:space="preserve"> obsługi wszystkich innych procesów administracyjnych, jeśli są wymagane prawem.</w:t>
      </w:r>
    </w:p>
    <w:p>
      <w:pPr>
        <w:pStyle w:val="BodyText"/>
        <w:jc w:val="both"/>
        <w:rPr>
          <w:sz w:val="26"/>
          <w:szCs w:val="26"/>
        </w:rPr>
      </w:pPr>
      <w:r>
        <w:rPr>
          <w:sz w:val="26"/>
          <w:szCs w:val="26"/>
        </w:rPr>
        <w:t>Instalacja zostanie wykonana na dachu budynku hali H2 w technologii montażu balastowego, bez ingerencji w szczelność pokrycia dachowego.</w:t>
      </w:r>
    </w:p>
    <w:p>
      <w:pPr>
        <w:pStyle w:val="BodyText"/>
        <w:jc w:val="both"/>
        <w:rPr>
          <w:sz w:val="26"/>
          <w:szCs w:val="26"/>
        </w:rPr>
      </w:pPr>
      <w:r>
        <w:rPr>
          <w:sz w:val="26"/>
          <w:szCs w:val="26"/>
        </w:rPr>
        <w:t>Zakres zamówienia obejmuje również wykonanie wszystkich niezbędnych prac projektowych, montażowych, elektrycznych, pomiarowych, uruchomieniowych oraz przekazanie kompletnej dokumentacji powykonawczej.</w:t>
      </w:r>
    </w:p>
    <w:p>
      <w:pPr>
        <w:pStyle w:val="Liniapoziomauser"/>
        <w:spacing w:lineRule="auto" w:line="276" w:before="0" w:after="140"/>
        <w:jc w:val="both"/>
        <w:rPr>
          <w:sz w:val="26"/>
          <w:szCs w:val="26"/>
        </w:rPr>
      </w:pPr>
      <w:r>
        <w:rPr>
          <w:sz w:val="26"/>
          <w:szCs w:val="26"/>
        </w:rPr>
        <w:t xml:space="preserve">Magazyn energii oraz falownik należy wykonać jako zewnętrzny, </w:t>
      </w:r>
      <w:r>
        <w:rPr>
          <w:b/>
          <w:bCs/>
          <w:color w:val="FF0000"/>
          <w:sz w:val="26"/>
          <w:szCs w:val="26"/>
          <w:u w:val="single"/>
        </w:rPr>
        <w:t xml:space="preserve">zabudowany w kontenerze/szafie </w:t>
      </w:r>
      <w:r>
        <w:rPr>
          <w:sz w:val="26"/>
          <w:szCs w:val="26"/>
        </w:rPr>
        <w:t xml:space="preserve">dedykowanej dla tego typu infrastruktury (spełniającej wymagania ppoż, klimatyczne oraz wszystkie wymagane prawem). Kontener/szafa  ma posiadać rezerwę miejsca dla dalszej rozbudowy infrastruktury. Lokalizacja kontenera/szafy w północno-wschodnim narożniku terenu inwestycji przy stacji transformatorowej. </w:t>
      </w:r>
      <w:r>
        <w:rPr>
          <w:b/>
          <w:bCs/>
          <w:sz w:val="26"/>
          <w:szCs w:val="26"/>
        </w:rPr>
        <w:t xml:space="preserve">Lokalizacja magazynu energii  </w:t>
      </w:r>
      <w:r>
        <w:rPr>
          <w:b/>
          <w:bCs/>
          <w:color w:val="000000"/>
          <w:sz w:val="26"/>
          <w:szCs w:val="26"/>
        </w:rPr>
        <w:t>powinna być uzgodniona</w:t>
      </w:r>
      <w:r>
        <w:rPr>
          <w:b/>
          <w:bCs/>
          <w:color w:val="7030A0"/>
          <w:sz w:val="26"/>
          <w:szCs w:val="26"/>
        </w:rPr>
        <w:t xml:space="preserve"> </w:t>
      </w:r>
      <w:r>
        <w:rPr>
          <w:b/>
          <w:bCs/>
          <w:strike w:val="false"/>
          <w:dstrike w:val="false"/>
          <w:color w:val="000000"/>
          <w:sz w:val="26"/>
          <w:szCs w:val="26"/>
        </w:rPr>
        <w:t xml:space="preserve">z </w:t>
      </w:r>
      <w:r>
        <w:rPr>
          <w:b/>
          <w:bCs/>
          <w:sz w:val="26"/>
          <w:szCs w:val="26"/>
        </w:rPr>
        <w:t>rzeczoznawcą ds. ppoż.</w:t>
      </w:r>
    </w:p>
    <w:p>
      <w:pPr>
        <w:pStyle w:val="Liniapoziomauser"/>
        <w:spacing w:lineRule="auto" w:line="276" w:before="0" w:after="140"/>
        <w:jc w:val="both"/>
        <w:rPr>
          <w:sz w:val="26"/>
          <w:szCs w:val="26"/>
        </w:rPr>
      </w:pPr>
      <w:r>
        <w:rPr>
          <w:sz w:val="26"/>
          <w:szCs w:val="26"/>
        </w:rPr>
        <w:t xml:space="preserve">Kolorystyka powinna być spójna z kolorystyką istniejącej już zabudowy (kolor szary, antracyt, grafit). Zamawiający, w ramach przygotowania do instalacji fotowoltaicznej wykonał infrastrukturę techniczną obejmującą wykonanie zewnętrznych peszli DVR 110 mm, pod terenami utwardzonymi. Przewody zasilające należy poprowadzić wyłącznie istniejącymi peszlami DVR 110 mm oraz nowopoprowadzonymi przewodami po ścianach budynku, zgodnie z załączonym planem, do głównych rozdzielni w budynku biurowym. </w:t>
      </w:r>
    </w:p>
    <w:p>
      <w:pPr>
        <w:pStyle w:val="Heading2"/>
        <w:spacing w:lineRule="auto" w:line="276" w:before="0" w:after="140"/>
        <w:rPr>
          <w:sz w:val="26"/>
          <w:szCs w:val="26"/>
        </w:rPr>
      </w:pPr>
      <w:r>
        <w:rPr>
          <w:rFonts w:eastAsia="Calibri" w:ascii="Calibri" w:hAnsi="Calibri"/>
          <w:sz w:val="26"/>
          <w:szCs w:val="26"/>
        </w:rPr>
        <w:t>2. Zakres zamówienia</w:t>
      </w:r>
    </w:p>
    <w:p>
      <w:pPr>
        <w:pStyle w:val="BodyText"/>
        <w:rPr>
          <w:sz w:val="26"/>
          <w:szCs w:val="26"/>
        </w:rPr>
      </w:pPr>
      <w:r>
        <w:rPr>
          <w:sz w:val="26"/>
          <w:szCs w:val="26"/>
        </w:rPr>
        <w:t>W ramach zamówienia Wykonawca zobowiązany jest do:</w:t>
      </w:r>
    </w:p>
    <w:p>
      <w:pPr>
        <w:pStyle w:val="BodyText"/>
        <w:numPr>
          <w:ilvl w:val="0"/>
          <w:numId w:val="2"/>
        </w:numPr>
        <w:tabs>
          <w:tab w:val="clear" w:pos="708"/>
          <w:tab w:val="left" w:pos="0" w:leader="none"/>
        </w:tabs>
        <w:spacing w:before="0" w:after="0"/>
        <w:rPr>
          <w:sz w:val="26"/>
          <w:szCs w:val="26"/>
        </w:rPr>
      </w:pPr>
      <w:r>
        <w:rPr>
          <w:sz w:val="26"/>
          <w:szCs w:val="26"/>
        </w:rPr>
        <w:t>wykonania wizji lokalnej oraz weryfikacji możliwości montażu instalacji;</w:t>
      </w:r>
    </w:p>
    <w:p>
      <w:pPr>
        <w:pStyle w:val="BodyText"/>
        <w:numPr>
          <w:ilvl w:val="0"/>
          <w:numId w:val="2"/>
        </w:numPr>
        <w:tabs>
          <w:tab w:val="clear" w:pos="708"/>
          <w:tab w:val="left" w:pos="0" w:leader="none"/>
        </w:tabs>
        <w:spacing w:before="0" w:after="0"/>
        <w:rPr>
          <w:sz w:val="26"/>
          <w:szCs w:val="26"/>
        </w:rPr>
      </w:pPr>
      <w:r>
        <w:rPr>
          <w:sz w:val="26"/>
          <w:szCs w:val="26"/>
        </w:rPr>
        <w:t xml:space="preserve">opracowania projektu wykonawczego instalacji </w:t>
      </w:r>
      <w:r>
        <w:rPr>
          <w:color w:val="000000"/>
          <w:sz w:val="26"/>
          <w:szCs w:val="26"/>
        </w:rPr>
        <w:t>uzgodnionego z rzeczoznawcą ppoż.; (składowa dokumentacji powykonawczej)</w:t>
      </w:r>
    </w:p>
    <w:p>
      <w:pPr>
        <w:pStyle w:val="BodyText"/>
        <w:numPr>
          <w:ilvl w:val="0"/>
          <w:numId w:val="2"/>
        </w:numPr>
        <w:tabs>
          <w:tab w:val="clear" w:pos="708"/>
          <w:tab w:val="left" w:pos="0" w:leader="none"/>
        </w:tabs>
        <w:spacing w:before="0" w:after="0"/>
        <w:jc w:val="both"/>
        <w:rPr>
          <w:sz w:val="26"/>
          <w:szCs w:val="26"/>
        </w:rPr>
      </w:pPr>
      <w:r>
        <w:rPr>
          <w:sz w:val="26"/>
          <w:szCs w:val="26"/>
        </w:rPr>
        <w:t>dostawy wszystkich urządzeń i materiałów niezbędnych do wykonania instalacji;</w:t>
      </w:r>
    </w:p>
    <w:p>
      <w:pPr>
        <w:pStyle w:val="BodyText"/>
        <w:numPr>
          <w:ilvl w:val="0"/>
          <w:numId w:val="2"/>
        </w:numPr>
        <w:tabs>
          <w:tab w:val="clear" w:pos="708"/>
          <w:tab w:val="left" w:pos="0" w:leader="none"/>
        </w:tabs>
        <w:spacing w:before="0" w:after="0"/>
        <w:rPr>
          <w:sz w:val="26"/>
          <w:szCs w:val="26"/>
        </w:rPr>
      </w:pPr>
      <w:r>
        <w:rPr>
          <w:sz w:val="26"/>
          <w:szCs w:val="26"/>
        </w:rPr>
        <w:t>dostawy i montażu modułów fotowoltaicznych;</w:t>
      </w:r>
    </w:p>
    <w:p>
      <w:pPr>
        <w:pStyle w:val="BodyText"/>
        <w:numPr>
          <w:ilvl w:val="0"/>
          <w:numId w:val="2"/>
        </w:numPr>
        <w:tabs>
          <w:tab w:val="clear" w:pos="708"/>
          <w:tab w:val="left" w:pos="0" w:leader="none"/>
        </w:tabs>
        <w:spacing w:before="0" w:after="0"/>
        <w:jc w:val="both"/>
        <w:rPr>
          <w:sz w:val="26"/>
          <w:szCs w:val="26"/>
        </w:rPr>
      </w:pPr>
      <w:r>
        <w:rPr>
          <w:sz w:val="26"/>
          <w:szCs w:val="26"/>
        </w:rPr>
        <w:t>dostawy i montażu konstrukcji wsporczej w systemie balastowym przeznaczonej do dachów płaskich;</w:t>
      </w:r>
    </w:p>
    <w:p>
      <w:pPr>
        <w:pStyle w:val="BodyText"/>
        <w:numPr>
          <w:ilvl w:val="0"/>
          <w:numId w:val="2"/>
        </w:numPr>
        <w:tabs>
          <w:tab w:val="clear" w:pos="708"/>
          <w:tab w:val="left" w:pos="0" w:leader="none"/>
        </w:tabs>
        <w:spacing w:before="0" w:after="0"/>
        <w:rPr>
          <w:sz w:val="26"/>
          <w:szCs w:val="26"/>
        </w:rPr>
      </w:pPr>
      <w:r>
        <w:rPr>
          <w:sz w:val="26"/>
          <w:szCs w:val="26"/>
        </w:rPr>
        <w:t>dostawy i montażu falownika hybrydowego;</w:t>
      </w:r>
    </w:p>
    <w:p>
      <w:pPr>
        <w:pStyle w:val="BodyText"/>
        <w:numPr>
          <w:ilvl w:val="0"/>
          <w:numId w:val="2"/>
        </w:numPr>
        <w:tabs>
          <w:tab w:val="clear" w:pos="708"/>
          <w:tab w:val="left" w:pos="0" w:leader="none"/>
        </w:tabs>
        <w:spacing w:before="0" w:after="0"/>
        <w:rPr>
          <w:sz w:val="26"/>
          <w:szCs w:val="26"/>
        </w:rPr>
      </w:pPr>
      <w:r>
        <w:rPr>
          <w:sz w:val="26"/>
          <w:szCs w:val="26"/>
        </w:rPr>
        <w:t>dostawy i montażu magazynu energii;</w:t>
      </w:r>
    </w:p>
    <w:p>
      <w:pPr>
        <w:pStyle w:val="BodyText"/>
        <w:numPr>
          <w:ilvl w:val="0"/>
          <w:numId w:val="2"/>
        </w:numPr>
        <w:tabs>
          <w:tab w:val="clear" w:pos="708"/>
          <w:tab w:val="left" w:pos="0" w:leader="none"/>
        </w:tabs>
        <w:spacing w:before="0" w:after="0"/>
        <w:rPr>
          <w:sz w:val="26"/>
          <w:szCs w:val="26"/>
        </w:rPr>
      </w:pPr>
      <w:r>
        <w:rPr>
          <w:sz w:val="26"/>
          <w:szCs w:val="26"/>
        </w:rPr>
        <w:t>wykonania kompletnego okablowania strony DC i AC;</w:t>
      </w:r>
    </w:p>
    <w:p>
      <w:pPr>
        <w:pStyle w:val="BodyText"/>
        <w:numPr>
          <w:ilvl w:val="0"/>
          <w:numId w:val="2"/>
        </w:numPr>
        <w:tabs>
          <w:tab w:val="clear" w:pos="708"/>
          <w:tab w:val="left" w:pos="0" w:leader="none"/>
        </w:tabs>
        <w:spacing w:before="0" w:after="0"/>
        <w:rPr>
          <w:sz w:val="26"/>
          <w:szCs w:val="26"/>
        </w:rPr>
      </w:pPr>
      <w:r>
        <w:rPr>
          <w:sz w:val="26"/>
          <w:szCs w:val="26"/>
        </w:rPr>
        <w:t>wykonania zabezpieczeń przeciwprzepięciowych i przeciwporażeniowych;</w:t>
      </w:r>
    </w:p>
    <w:p>
      <w:pPr>
        <w:pStyle w:val="BodyText"/>
        <w:numPr>
          <w:ilvl w:val="0"/>
          <w:numId w:val="2"/>
        </w:numPr>
        <w:tabs>
          <w:tab w:val="clear" w:pos="708"/>
          <w:tab w:val="left" w:pos="853" w:leader="none"/>
        </w:tabs>
        <w:spacing w:before="0" w:after="0"/>
        <w:rPr>
          <w:sz w:val="26"/>
          <w:szCs w:val="26"/>
        </w:rPr>
      </w:pPr>
      <w:r>
        <w:rPr>
          <w:color w:val="000000"/>
          <w:sz w:val="26"/>
          <w:szCs w:val="26"/>
        </w:rPr>
        <w:t>wykonanie instalacji odgromowej</w:t>
      </w:r>
      <w:r>
        <w:rPr>
          <w:color w:val="388600"/>
          <w:sz w:val="26"/>
          <w:szCs w:val="26"/>
        </w:rPr>
        <w:t xml:space="preserve"> ;</w:t>
      </w:r>
    </w:p>
    <w:p>
      <w:pPr>
        <w:pStyle w:val="BodyText"/>
        <w:numPr>
          <w:ilvl w:val="0"/>
          <w:numId w:val="2"/>
        </w:numPr>
        <w:tabs>
          <w:tab w:val="clear" w:pos="708"/>
          <w:tab w:val="left" w:pos="909" w:leader="none"/>
        </w:tabs>
        <w:spacing w:before="0" w:after="0"/>
        <w:rPr>
          <w:sz w:val="26"/>
          <w:szCs w:val="26"/>
        </w:rPr>
      </w:pPr>
      <w:r>
        <w:rPr>
          <w:sz w:val="26"/>
          <w:szCs w:val="26"/>
        </w:rPr>
        <w:t>wykonania pomiarów elektrycznych;</w:t>
      </w:r>
    </w:p>
    <w:p>
      <w:pPr>
        <w:pStyle w:val="BodyText"/>
        <w:numPr>
          <w:ilvl w:val="0"/>
          <w:numId w:val="2"/>
        </w:numPr>
        <w:tabs>
          <w:tab w:val="clear" w:pos="708"/>
          <w:tab w:val="left" w:pos="909" w:leader="none"/>
        </w:tabs>
        <w:spacing w:before="0" w:after="0"/>
        <w:rPr>
          <w:sz w:val="26"/>
          <w:szCs w:val="26"/>
        </w:rPr>
      </w:pPr>
      <w:r>
        <w:rPr>
          <w:sz w:val="26"/>
          <w:szCs w:val="26"/>
        </w:rPr>
        <w:t>uruchomienia instalacji;</w:t>
      </w:r>
    </w:p>
    <w:p>
      <w:pPr>
        <w:pStyle w:val="BodyText"/>
        <w:numPr>
          <w:ilvl w:val="0"/>
          <w:numId w:val="2"/>
        </w:numPr>
        <w:tabs>
          <w:tab w:val="clear" w:pos="708"/>
          <w:tab w:val="left" w:pos="909" w:leader="none"/>
        </w:tabs>
        <w:spacing w:before="0" w:after="0"/>
        <w:rPr>
          <w:sz w:val="26"/>
          <w:szCs w:val="26"/>
        </w:rPr>
      </w:pPr>
      <w:r>
        <w:rPr>
          <w:sz w:val="26"/>
          <w:szCs w:val="26"/>
        </w:rPr>
        <w:t>konfiguracji systemu monitoringu;</w:t>
      </w:r>
    </w:p>
    <w:p>
      <w:pPr>
        <w:pStyle w:val="BodyText"/>
        <w:numPr>
          <w:ilvl w:val="0"/>
          <w:numId w:val="2"/>
        </w:numPr>
        <w:tabs>
          <w:tab w:val="clear" w:pos="708"/>
          <w:tab w:val="left" w:pos="909" w:leader="none"/>
        </w:tabs>
        <w:spacing w:before="0" w:after="0"/>
        <w:rPr>
          <w:sz w:val="26"/>
          <w:szCs w:val="26"/>
        </w:rPr>
      </w:pPr>
      <w:r>
        <w:rPr>
          <w:sz w:val="26"/>
          <w:szCs w:val="26"/>
        </w:rPr>
        <w:t xml:space="preserve">przeszkolenia użytkownika </w:t>
      </w:r>
      <w:r>
        <w:rPr>
          <w:rFonts w:eastAsia="Microsoft Sans Serif" w:cs="Calibri" w:cstheme="minorHAnsi"/>
          <w:sz w:val="24"/>
          <w:szCs w:val="24"/>
        </w:rPr>
        <w:t>w zakresie obsługi i konserwacji;</w:t>
      </w:r>
    </w:p>
    <w:p>
      <w:pPr>
        <w:pStyle w:val="BodyText"/>
        <w:numPr>
          <w:ilvl w:val="0"/>
          <w:numId w:val="2"/>
        </w:numPr>
        <w:tabs>
          <w:tab w:val="clear" w:pos="708"/>
          <w:tab w:val="left" w:pos="909" w:leader="none"/>
        </w:tabs>
        <w:spacing w:before="0" w:after="0"/>
        <w:rPr>
          <w:sz w:val="26"/>
          <w:szCs w:val="26"/>
        </w:rPr>
      </w:pPr>
      <w:r>
        <w:rPr>
          <w:sz w:val="26"/>
          <w:szCs w:val="26"/>
        </w:rPr>
        <w:t xml:space="preserve">przekazania dokumentacji powykonawczej </w:t>
      </w:r>
      <w:r>
        <w:rPr>
          <w:color w:val="780373"/>
          <w:sz w:val="26"/>
          <w:szCs w:val="26"/>
        </w:rPr>
        <w:t>oraz kart gwarancyjnych.</w:t>
      </w:r>
    </w:p>
    <w:p>
      <w:pPr>
        <w:pStyle w:val="Liniapoziomauser"/>
        <w:spacing w:lineRule="auto" w:line="276" w:before="0" w:after="140"/>
        <w:rPr>
          <w:sz w:val="26"/>
          <w:szCs w:val="26"/>
        </w:rPr>
      </w:pPr>
      <w:r>
        <w:rPr>
          <w:sz w:val="26"/>
          <w:szCs w:val="26"/>
        </w:rPr>
      </w:r>
    </w:p>
    <w:p>
      <w:pPr>
        <w:pStyle w:val="Heading2"/>
        <w:spacing w:lineRule="auto" w:line="276" w:before="0" w:after="140"/>
        <w:rPr>
          <w:rFonts w:ascii="Calibri" w:hAnsi="Calibri" w:eastAsia="Calibri"/>
          <w:sz w:val="26"/>
          <w:szCs w:val="26"/>
        </w:rPr>
      </w:pPr>
      <w:r>
        <w:rPr>
          <w:rFonts w:eastAsia="Calibri" w:ascii="Calibri" w:hAnsi="Calibri"/>
          <w:sz w:val="26"/>
          <w:szCs w:val="26"/>
        </w:rPr>
        <w:t>3. Wymagania techniczne</w:t>
      </w:r>
    </w:p>
    <w:p>
      <w:pPr>
        <w:pStyle w:val="Heading3"/>
        <w:spacing w:lineRule="auto" w:line="276" w:before="0" w:after="140"/>
        <w:rPr>
          <w:rFonts w:ascii="Calibri" w:hAnsi="Calibri" w:eastAsia="Calibri"/>
          <w:sz w:val="26"/>
          <w:szCs w:val="26"/>
        </w:rPr>
      </w:pPr>
      <w:r>
        <w:rPr>
          <w:rFonts w:eastAsia="Calibri" w:ascii="Calibri" w:hAnsi="Calibri"/>
          <w:sz w:val="26"/>
          <w:szCs w:val="26"/>
        </w:rPr>
        <w:t>Instalacja fotowoltaiczna</w:t>
      </w:r>
    </w:p>
    <w:p>
      <w:pPr>
        <w:pStyle w:val="BodyText"/>
        <w:rPr>
          <w:sz w:val="26"/>
          <w:szCs w:val="26"/>
        </w:rPr>
      </w:pPr>
      <w:r>
        <w:rPr>
          <w:sz w:val="26"/>
          <w:szCs w:val="26"/>
        </w:rPr>
        <w:t>Moc zainstalowana:</w:t>
      </w:r>
    </w:p>
    <w:p>
      <w:pPr>
        <w:pStyle w:val="BodyText"/>
        <w:numPr>
          <w:ilvl w:val="0"/>
          <w:numId w:val="3"/>
        </w:numPr>
        <w:tabs>
          <w:tab w:val="clear" w:pos="708"/>
          <w:tab w:val="left" w:pos="0" w:leader="none"/>
        </w:tabs>
        <w:rPr>
          <w:sz w:val="26"/>
          <w:szCs w:val="26"/>
        </w:rPr>
      </w:pPr>
      <w:r>
        <w:rPr>
          <w:sz w:val="26"/>
          <w:szCs w:val="26"/>
        </w:rPr>
        <w:t>nie mniejsza niż 20 kWp.</w:t>
      </w:r>
    </w:p>
    <w:p>
      <w:pPr>
        <w:pStyle w:val="BodyText"/>
        <w:rPr>
          <w:sz w:val="26"/>
          <w:szCs w:val="26"/>
        </w:rPr>
      </w:pPr>
      <w:r>
        <w:rPr>
          <w:sz w:val="26"/>
          <w:szCs w:val="26"/>
        </w:rPr>
        <w:t>Moduły fotowoltaiczne:</w:t>
      </w:r>
    </w:p>
    <w:p>
      <w:pPr>
        <w:pStyle w:val="BodyText"/>
        <w:numPr>
          <w:ilvl w:val="0"/>
          <w:numId w:val="4"/>
        </w:numPr>
        <w:tabs>
          <w:tab w:val="clear" w:pos="708"/>
          <w:tab w:val="left" w:pos="0" w:leader="none"/>
        </w:tabs>
        <w:spacing w:before="0" w:after="0"/>
        <w:rPr>
          <w:sz w:val="26"/>
          <w:szCs w:val="26"/>
        </w:rPr>
      </w:pPr>
      <w:r>
        <w:rPr>
          <w:sz w:val="26"/>
          <w:szCs w:val="26"/>
        </w:rPr>
        <w:t>monokrystaliczne typu N-Type,</w:t>
      </w:r>
    </w:p>
    <w:p>
      <w:pPr>
        <w:pStyle w:val="BodyText"/>
        <w:numPr>
          <w:ilvl w:val="0"/>
          <w:numId w:val="4"/>
        </w:numPr>
        <w:tabs>
          <w:tab w:val="clear" w:pos="708"/>
          <w:tab w:val="left" w:pos="0" w:leader="none"/>
        </w:tabs>
        <w:spacing w:before="0" w:after="0"/>
        <w:rPr>
          <w:sz w:val="26"/>
          <w:szCs w:val="26"/>
        </w:rPr>
      </w:pPr>
      <w:r>
        <w:rPr>
          <w:sz w:val="26"/>
          <w:szCs w:val="26"/>
        </w:rPr>
        <w:t>moc pojedynczego modułu minimum 500 Wp,</w:t>
      </w:r>
    </w:p>
    <w:p>
      <w:pPr>
        <w:pStyle w:val="BodyText"/>
        <w:numPr>
          <w:ilvl w:val="0"/>
          <w:numId w:val="4"/>
        </w:numPr>
        <w:tabs>
          <w:tab w:val="clear" w:pos="708"/>
          <w:tab w:val="left" w:pos="0" w:leader="none"/>
        </w:tabs>
        <w:spacing w:before="0" w:after="0"/>
        <w:rPr>
          <w:sz w:val="26"/>
          <w:szCs w:val="26"/>
        </w:rPr>
      </w:pPr>
      <w:r>
        <w:rPr>
          <w:sz w:val="26"/>
          <w:szCs w:val="26"/>
        </w:rPr>
        <w:t>sprawność minimum 22,5%,</w:t>
      </w:r>
    </w:p>
    <w:p>
      <w:pPr>
        <w:pStyle w:val="BodyText"/>
        <w:numPr>
          <w:ilvl w:val="0"/>
          <w:numId w:val="4"/>
        </w:numPr>
        <w:tabs>
          <w:tab w:val="clear" w:pos="708"/>
          <w:tab w:val="left" w:pos="0" w:leader="none"/>
        </w:tabs>
        <w:spacing w:before="0" w:after="0"/>
        <w:rPr>
          <w:sz w:val="26"/>
          <w:szCs w:val="26"/>
        </w:rPr>
      </w:pPr>
      <w:r>
        <w:rPr>
          <w:sz w:val="26"/>
          <w:szCs w:val="26"/>
        </w:rPr>
        <w:t xml:space="preserve">szkło hartowane, półhartowane lub częściowo hartowane, grubość </w:t>
      </w:r>
      <w:r>
        <w:rPr>
          <w:sz w:val="26"/>
          <w:szCs w:val="26"/>
          <w:u w:val="single"/>
        </w:rPr>
        <w:t xml:space="preserve">&gt; </w:t>
      </w:r>
      <w:r>
        <w:rPr>
          <w:sz w:val="26"/>
          <w:szCs w:val="26"/>
        </w:rPr>
        <w:t>2 mm</w:t>
      </w:r>
    </w:p>
    <w:p>
      <w:pPr>
        <w:pStyle w:val="BodyText"/>
        <w:numPr>
          <w:ilvl w:val="0"/>
          <w:numId w:val="4"/>
        </w:numPr>
        <w:tabs>
          <w:tab w:val="clear" w:pos="708"/>
          <w:tab w:val="left" w:pos="0" w:leader="none"/>
        </w:tabs>
        <w:spacing w:before="0" w:after="0"/>
        <w:rPr>
          <w:sz w:val="26"/>
          <w:szCs w:val="26"/>
        </w:rPr>
      </w:pPr>
      <w:r>
        <w:rPr>
          <w:sz w:val="26"/>
          <w:szCs w:val="26"/>
        </w:rPr>
        <w:t>rama oksydowana lub anodowana,</w:t>
      </w:r>
    </w:p>
    <w:p>
      <w:pPr>
        <w:pStyle w:val="BodyText"/>
        <w:numPr>
          <w:ilvl w:val="0"/>
          <w:numId w:val="4"/>
        </w:numPr>
        <w:tabs>
          <w:tab w:val="clear" w:pos="708"/>
          <w:tab w:val="left" w:pos="0" w:leader="none"/>
        </w:tabs>
        <w:spacing w:before="0" w:after="0"/>
        <w:rPr>
          <w:sz w:val="26"/>
          <w:szCs w:val="26"/>
        </w:rPr>
      </w:pPr>
      <w:r>
        <w:rPr>
          <w:sz w:val="26"/>
          <w:szCs w:val="26"/>
        </w:rPr>
        <w:t>puszka przyłączeniowa min. IP67,</w:t>
      </w:r>
    </w:p>
    <w:p>
      <w:pPr>
        <w:pStyle w:val="BodyText"/>
        <w:numPr>
          <w:ilvl w:val="0"/>
          <w:numId w:val="4"/>
        </w:numPr>
        <w:tabs>
          <w:tab w:val="clear" w:pos="708"/>
          <w:tab w:val="left" w:pos="0" w:leader="none"/>
        </w:tabs>
        <w:spacing w:before="0" w:after="0"/>
        <w:rPr>
          <w:sz w:val="26"/>
          <w:szCs w:val="26"/>
        </w:rPr>
      </w:pPr>
      <w:r>
        <w:rPr>
          <w:sz w:val="26"/>
          <w:szCs w:val="26"/>
        </w:rPr>
        <w:t xml:space="preserve">max obciążenie statyczne przód </w:t>
      </w:r>
      <w:r>
        <w:rPr>
          <w:sz w:val="26"/>
          <w:szCs w:val="26"/>
          <w:u w:val="single"/>
        </w:rPr>
        <w:t>&gt;</w:t>
      </w:r>
      <w:r>
        <w:rPr>
          <w:sz w:val="26"/>
          <w:szCs w:val="26"/>
        </w:rPr>
        <w:t xml:space="preserve"> 5400Pa, tył </w:t>
      </w:r>
      <w:r>
        <w:rPr>
          <w:sz w:val="26"/>
          <w:szCs w:val="26"/>
          <w:u w:val="single"/>
        </w:rPr>
        <w:t xml:space="preserve">&gt; </w:t>
      </w:r>
      <w:r>
        <w:rPr>
          <w:sz w:val="26"/>
          <w:szCs w:val="26"/>
        </w:rPr>
        <w:t>2400 Pa,</w:t>
      </w:r>
    </w:p>
    <w:p>
      <w:pPr>
        <w:pStyle w:val="BodyText"/>
        <w:numPr>
          <w:ilvl w:val="0"/>
          <w:numId w:val="4"/>
        </w:numPr>
        <w:tabs>
          <w:tab w:val="clear" w:pos="708"/>
          <w:tab w:val="left" w:pos="0" w:leader="none"/>
        </w:tabs>
        <w:spacing w:before="0" w:after="0"/>
        <w:rPr>
          <w:sz w:val="26"/>
          <w:szCs w:val="26"/>
        </w:rPr>
      </w:pPr>
      <w:r>
        <w:rPr>
          <w:sz w:val="26"/>
          <w:szCs w:val="26"/>
        </w:rPr>
        <w:t>temperatura robocza -40</w:t>
      </w:r>
      <w:r>
        <w:rPr>
          <w:sz w:val="26"/>
          <w:szCs w:val="26"/>
          <w:vertAlign w:val="superscript"/>
        </w:rPr>
        <w:t xml:space="preserve">o </w:t>
      </w:r>
      <w:r>
        <w:rPr>
          <w:sz w:val="26"/>
          <w:szCs w:val="26"/>
        </w:rPr>
        <w:t>C -  +85</w:t>
      </w:r>
      <w:r>
        <w:rPr>
          <w:sz w:val="26"/>
          <w:szCs w:val="26"/>
          <w:vertAlign w:val="superscript"/>
        </w:rPr>
        <w:t xml:space="preserve">o </w:t>
      </w:r>
      <w:r>
        <w:rPr>
          <w:sz w:val="26"/>
          <w:szCs w:val="26"/>
        </w:rPr>
        <w:t>C,,</w:t>
      </w:r>
    </w:p>
    <w:p>
      <w:pPr>
        <w:pStyle w:val="BodyText"/>
        <w:numPr>
          <w:ilvl w:val="0"/>
          <w:numId w:val="4"/>
        </w:numPr>
        <w:tabs>
          <w:tab w:val="clear" w:pos="708"/>
          <w:tab w:val="left" w:pos="0" w:leader="none"/>
        </w:tabs>
        <w:spacing w:before="0" w:after="0"/>
        <w:rPr>
          <w:sz w:val="26"/>
          <w:szCs w:val="26"/>
        </w:rPr>
      </w:pPr>
      <w:r>
        <w:rPr>
          <w:sz w:val="26"/>
          <w:szCs w:val="26"/>
        </w:rPr>
        <w:t>max. napięcie pracy (VDC) min. 1100 V</w:t>
      </w:r>
    </w:p>
    <w:p>
      <w:pPr>
        <w:pStyle w:val="BodyText"/>
        <w:numPr>
          <w:ilvl w:val="0"/>
          <w:numId w:val="4"/>
        </w:numPr>
        <w:tabs>
          <w:tab w:val="clear" w:pos="708"/>
          <w:tab w:val="left" w:pos="0" w:leader="none"/>
        </w:tabs>
        <w:spacing w:before="0" w:after="0"/>
        <w:rPr>
          <w:sz w:val="26"/>
          <w:szCs w:val="26"/>
        </w:rPr>
      </w:pPr>
      <w:r>
        <w:rPr>
          <w:sz w:val="26"/>
          <w:szCs w:val="26"/>
        </w:rPr>
        <w:t xml:space="preserve">spadek wydajności </w:t>
      </w:r>
      <w:r>
        <w:rPr>
          <w:sz w:val="26"/>
          <w:szCs w:val="26"/>
          <w:u w:val="single"/>
        </w:rPr>
        <w:t>&gt;</w:t>
      </w:r>
      <w:r>
        <w:rPr>
          <w:sz w:val="26"/>
          <w:szCs w:val="26"/>
        </w:rPr>
        <w:t xml:space="preserve">  89% po 25 latach,</w:t>
      </w:r>
    </w:p>
    <w:p>
      <w:pPr>
        <w:pStyle w:val="BodyText"/>
        <w:numPr>
          <w:ilvl w:val="0"/>
          <w:numId w:val="4"/>
        </w:numPr>
        <w:tabs>
          <w:tab w:val="clear" w:pos="708"/>
          <w:tab w:val="left" w:pos="0" w:leader="none"/>
        </w:tabs>
        <w:spacing w:before="0" w:after="0"/>
        <w:rPr>
          <w:color w:val="000000"/>
        </w:rPr>
      </w:pPr>
      <w:r>
        <w:rPr>
          <w:color w:val="000000"/>
          <w:sz w:val="26"/>
          <w:szCs w:val="26"/>
        </w:rPr>
        <w:t xml:space="preserve"> </w:t>
      </w:r>
      <w:r>
        <w:rPr>
          <w:color w:val="000000"/>
          <w:sz w:val="26"/>
          <w:szCs w:val="26"/>
        </w:rPr>
        <w:t>zgodnoś</w:t>
      </w:r>
      <w:r>
        <w:rPr>
          <w:color w:val="000000"/>
          <w:sz w:val="26"/>
          <w:szCs w:val="26"/>
        </w:rPr>
        <w:t xml:space="preserve">ć </w:t>
      </w:r>
      <w:r>
        <w:rPr>
          <w:color w:val="000000"/>
          <w:sz w:val="26"/>
          <w:szCs w:val="26"/>
        </w:rPr>
        <w:t>z normami IEC 61215-1/2:2021 oraz IEC 61730-1/2:2023,</w:t>
      </w:r>
    </w:p>
    <w:p>
      <w:pPr>
        <w:pStyle w:val="BodyText"/>
        <w:numPr>
          <w:ilvl w:val="0"/>
          <w:numId w:val="4"/>
        </w:numPr>
        <w:tabs>
          <w:tab w:val="clear" w:pos="708"/>
          <w:tab w:val="left" w:pos="0" w:leader="none"/>
        </w:tabs>
        <w:spacing w:before="0" w:after="0"/>
        <w:rPr>
          <w:sz w:val="26"/>
          <w:szCs w:val="26"/>
        </w:rPr>
      </w:pPr>
      <w:r>
        <w:rPr>
          <w:sz w:val="26"/>
          <w:szCs w:val="26"/>
        </w:rPr>
        <w:t>gwarancja produktowa minimum 25 lat,</w:t>
      </w:r>
    </w:p>
    <w:p>
      <w:pPr>
        <w:pStyle w:val="BodyText"/>
        <w:numPr>
          <w:ilvl w:val="0"/>
          <w:numId w:val="4"/>
        </w:numPr>
        <w:tabs>
          <w:tab w:val="clear" w:pos="708"/>
          <w:tab w:val="left" w:pos="0" w:leader="none"/>
        </w:tabs>
        <w:rPr>
          <w:sz w:val="26"/>
          <w:szCs w:val="26"/>
        </w:rPr>
      </w:pPr>
      <w:r>
        <w:rPr>
          <w:sz w:val="26"/>
          <w:szCs w:val="26"/>
        </w:rPr>
        <w:t>gwarancja uzysku liniowego minimum 30 lat.</w:t>
      </w:r>
    </w:p>
    <w:p>
      <w:pPr>
        <w:pStyle w:val="Liniapoziomauser"/>
        <w:spacing w:lineRule="auto" w:line="276" w:before="0" w:after="140"/>
        <w:rPr>
          <w:sz w:val="26"/>
          <w:szCs w:val="26"/>
        </w:rPr>
      </w:pPr>
      <w:r>
        <w:rPr>
          <w:sz w:val="26"/>
          <w:szCs w:val="26"/>
        </w:rPr>
      </w:r>
    </w:p>
    <w:p>
      <w:pPr>
        <w:pStyle w:val="Heading3"/>
        <w:spacing w:lineRule="auto" w:line="276" w:before="0" w:after="140"/>
        <w:rPr>
          <w:rFonts w:ascii="Calibri" w:hAnsi="Calibri" w:eastAsia="Calibri"/>
          <w:sz w:val="26"/>
          <w:szCs w:val="26"/>
        </w:rPr>
      </w:pPr>
      <w:r>
        <w:rPr>
          <w:rFonts w:eastAsia="Calibri" w:ascii="Calibri" w:hAnsi="Calibri"/>
          <w:sz w:val="26"/>
          <w:szCs w:val="26"/>
        </w:rPr>
        <w:t>Falownik</w:t>
      </w:r>
    </w:p>
    <w:p>
      <w:pPr>
        <w:pStyle w:val="BodyText"/>
        <w:rPr>
          <w:sz w:val="26"/>
          <w:szCs w:val="26"/>
        </w:rPr>
      </w:pPr>
      <w:r>
        <w:rPr>
          <w:sz w:val="26"/>
          <w:szCs w:val="26"/>
        </w:rPr>
        <w:t>Falownik hybrydowy powinien:</w:t>
      </w:r>
    </w:p>
    <w:p>
      <w:pPr>
        <w:pStyle w:val="BodyText"/>
        <w:numPr>
          <w:ilvl w:val="0"/>
          <w:numId w:val="5"/>
        </w:numPr>
        <w:tabs>
          <w:tab w:val="clear" w:pos="708"/>
          <w:tab w:val="left" w:pos="0" w:leader="none"/>
        </w:tabs>
        <w:spacing w:before="0" w:after="0"/>
        <w:rPr>
          <w:sz w:val="26"/>
          <w:szCs w:val="26"/>
        </w:rPr>
      </w:pPr>
      <w:r>
        <w:rPr>
          <w:sz w:val="26"/>
          <w:szCs w:val="26"/>
        </w:rPr>
        <w:t>trójfazowy,</w:t>
      </w:r>
    </w:p>
    <w:p>
      <w:pPr>
        <w:pStyle w:val="BodyText"/>
        <w:numPr>
          <w:ilvl w:val="0"/>
          <w:numId w:val="5"/>
        </w:numPr>
        <w:tabs>
          <w:tab w:val="clear" w:pos="708"/>
          <w:tab w:val="left" w:pos="0" w:leader="none"/>
        </w:tabs>
        <w:spacing w:before="0" w:after="0"/>
        <w:rPr>
          <w:sz w:val="26"/>
          <w:szCs w:val="26"/>
        </w:rPr>
      </w:pPr>
      <w:r>
        <w:rPr>
          <w:sz w:val="26"/>
          <w:szCs w:val="26"/>
        </w:rPr>
        <w:t>współpracować z magazynem energii,</w:t>
      </w:r>
    </w:p>
    <w:p>
      <w:pPr>
        <w:pStyle w:val="BodyText"/>
        <w:numPr>
          <w:ilvl w:val="0"/>
          <w:numId w:val="5"/>
        </w:numPr>
        <w:tabs>
          <w:tab w:val="clear" w:pos="708"/>
          <w:tab w:val="left" w:pos="0" w:leader="none"/>
        </w:tabs>
        <w:spacing w:before="0" w:after="0"/>
        <w:rPr>
          <w:sz w:val="26"/>
          <w:szCs w:val="26"/>
        </w:rPr>
      </w:pPr>
      <w:r>
        <w:rPr>
          <w:sz w:val="26"/>
          <w:szCs w:val="26"/>
        </w:rPr>
        <w:t>posiadać moc znamionową dostosowaną do mocy instalacji,</w:t>
      </w:r>
    </w:p>
    <w:p>
      <w:pPr>
        <w:pStyle w:val="BodyText"/>
        <w:numPr>
          <w:ilvl w:val="0"/>
          <w:numId w:val="5"/>
        </w:numPr>
        <w:tabs>
          <w:tab w:val="clear" w:pos="708"/>
          <w:tab w:val="left" w:pos="0" w:leader="none"/>
        </w:tabs>
        <w:spacing w:before="0" w:after="0"/>
        <w:rPr>
          <w:sz w:val="26"/>
          <w:szCs w:val="26"/>
        </w:rPr>
      </w:pPr>
      <w:r>
        <w:rPr>
          <w:sz w:val="26"/>
          <w:szCs w:val="26"/>
        </w:rPr>
        <w:t>posiadać minimum dwa niezależne układy MPPT,</w:t>
      </w:r>
    </w:p>
    <w:p>
      <w:pPr>
        <w:pStyle w:val="BodyText"/>
        <w:numPr>
          <w:ilvl w:val="0"/>
          <w:numId w:val="5"/>
        </w:numPr>
        <w:tabs>
          <w:tab w:val="clear" w:pos="708"/>
          <w:tab w:val="left" w:pos="0" w:leader="none"/>
        </w:tabs>
        <w:spacing w:before="0" w:after="0"/>
        <w:rPr>
          <w:sz w:val="26"/>
          <w:szCs w:val="26"/>
        </w:rPr>
      </w:pPr>
      <w:r>
        <w:rPr>
          <w:sz w:val="26"/>
          <w:szCs w:val="26"/>
        </w:rPr>
        <w:t>posiadać sprawność europejską minimum 97,5%,</w:t>
      </w:r>
    </w:p>
    <w:p>
      <w:pPr>
        <w:pStyle w:val="BodyText"/>
        <w:numPr>
          <w:ilvl w:val="0"/>
          <w:numId w:val="5"/>
        </w:numPr>
        <w:tabs>
          <w:tab w:val="clear" w:pos="708"/>
          <w:tab w:val="left" w:pos="0" w:leader="none"/>
        </w:tabs>
        <w:spacing w:before="0" w:after="0"/>
        <w:rPr>
          <w:sz w:val="26"/>
          <w:szCs w:val="26"/>
        </w:rPr>
      </w:pPr>
      <w:r>
        <w:rPr>
          <w:sz w:val="26"/>
          <w:szCs w:val="26"/>
        </w:rPr>
        <w:t>posiadać komunikację  Wi-Fi, RS485,GPRS lub równoważne,,</w:t>
      </w:r>
    </w:p>
    <w:p>
      <w:pPr>
        <w:pStyle w:val="BodyText"/>
        <w:numPr>
          <w:ilvl w:val="0"/>
          <w:numId w:val="5"/>
        </w:numPr>
        <w:tabs>
          <w:tab w:val="clear" w:pos="708"/>
          <w:tab w:val="left" w:pos="0" w:leader="none"/>
        </w:tabs>
        <w:spacing w:before="0" w:after="0"/>
        <w:rPr>
          <w:sz w:val="26"/>
          <w:szCs w:val="26"/>
        </w:rPr>
      </w:pPr>
      <w:r>
        <w:rPr>
          <w:sz w:val="26"/>
          <w:szCs w:val="26"/>
        </w:rPr>
        <w:t>zakres napięcia MPP 180 - 960</w:t>
      </w:r>
    </w:p>
    <w:p>
      <w:pPr>
        <w:pStyle w:val="BodyText"/>
        <w:numPr>
          <w:ilvl w:val="0"/>
          <w:numId w:val="5"/>
        </w:numPr>
        <w:tabs>
          <w:tab w:val="clear" w:pos="708"/>
          <w:tab w:val="left" w:pos="0" w:leader="none"/>
        </w:tabs>
        <w:spacing w:before="0" w:after="0"/>
        <w:rPr>
          <w:sz w:val="26"/>
          <w:szCs w:val="26"/>
        </w:rPr>
      </w:pPr>
      <w:r>
        <w:rPr>
          <w:sz w:val="26"/>
          <w:szCs w:val="26"/>
        </w:rPr>
        <w:t>posiadać stopień ochrony minimum IP65,</w:t>
      </w:r>
    </w:p>
    <w:p>
      <w:pPr>
        <w:pStyle w:val="BodyText"/>
        <w:numPr>
          <w:ilvl w:val="0"/>
          <w:numId w:val="5"/>
        </w:numPr>
        <w:tabs>
          <w:tab w:val="clear" w:pos="708"/>
          <w:tab w:val="left" w:pos="0" w:leader="none"/>
        </w:tabs>
        <w:spacing w:before="0" w:after="0"/>
        <w:rPr>
          <w:sz w:val="26"/>
          <w:szCs w:val="26"/>
        </w:rPr>
      </w:pPr>
      <w:r>
        <w:rPr>
          <w:sz w:val="26"/>
          <w:szCs w:val="26"/>
        </w:rPr>
        <w:t>ochrona przepięciowa  typu II,</w:t>
      </w:r>
    </w:p>
    <w:p>
      <w:pPr>
        <w:pStyle w:val="BodyText"/>
        <w:numPr>
          <w:ilvl w:val="0"/>
          <w:numId w:val="5"/>
        </w:numPr>
        <w:tabs>
          <w:tab w:val="clear" w:pos="708"/>
          <w:tab w:val="left" w:pos="0" w:leader="none"/>
        </w:tabs>
        <w:spacing w:before="0" w:after="0"/>
        <w:rPr>
          <w:sz w:val="26"/>
          <w:szCs w:val="26"/>
        </w:rPr>
      </w:pPr>
      <w:r>
        <w:rPr>
          <w:sz w:val="26"/>
          <w:szCs w:val="26"/>
        </w:rPr>
        <w:t xml:space="preserve">czas przełączenia  na zasilanie awaryjne </w:t>
      </w:r>
      <w:r>
        <w:rPr>
          <w:sz w:val="26"/>
          <w:szCs w:val="26"/>
          <w:u w:val="single"/>
        </w:rPr>
        <w:t xml:space="preserve">&lt; </w:t>
      </w:r>
      <w:r>
        <w:rPr>
          <w:sz w:val="26"/>
          <w:szCs w:val="26"/>
        </w:rPr>
        <w:t xml:space="preserve"> 20 ms</w:t>
      </w:r>
    </w:p>
    <w:p>
      <w:pPr>
        <w:pStyle w:val="BodyText"/>
        <w:numPr>
          <w:ilvl w:val="0"/>
          <w:numId w:val="5"/>
        </w:numPr>
        <w:tabs>
          <w:tab w:val="clear" w:pos="708"/>
          <w:tab w:val="left" w:pos="0" w:leader="none"/>
        </w:tabs>
        <w:spacing w:before="0" w:after="0"/>
        <w:rPr>
          <w:color w:val="000000"/>
        </w:rPr>
      </w:pPr>
      <w:r>
        <w:rPr>
          <w:color w:val="000000"/>
          <w:sz w:val="24"/>
          <w:szCs w:val="24"/>
        </w:rPr>
        <w:t>zgodność z normami:  IEC 62109-1/2 , IEC 62116,  IEC 60068, IEC 61683</w:t>
      </w:r>
      <w:r>
        <w:rPr>
          <w:rFonts w:eastAsia="MS Gothic"/>
          <w:color w:val="000000"/>
          <w:sz w:val="24"/>
          <w:szCs w:val="24"/>
          <w:lang w:val="en-US"/>
        </w:rPr>
        <w:t>，</w:t>
      </w:r>
      <w:r>
        <w:rPr>
          <w:color w:val="000000"/>
          <w:sz w:val="24"/>
          <w:szCs w:val="24"/>
        </w:rPr>
        <w:t>IEC 61727, VDE 0126-1-1, VDE-AR-N 4105</w:t>
      </w:r>
    </w:p>
    <w:p>
      <w:pPr>
        <w:pStyle w:val="BodyText"/>
        <w:numPr>
          <w:ilvl w:val="0"/>
          <w:numId w:val="5"/>
        </w:numPr>
        <w:tabs>
          <w:tab w:val="clear" w:pos="708"/>
          <w:tab w:val="left" w:pos="0" w:leader="none"/>
        </w:tabs>
        <w:rPr>
          <w:sz w:val="26"/>
          <w:szCs w:val="26"/>
        </w:rPr>
      </w:pPr>
      <w:r>
        <w:rPr>
          <w:sz w:val="26"/>
          <w:szCs w:val="26"/>
        </w:rPr>
        <w:t>gwarancja  10 lat.</w:t>
      </w:r>
    </w:p>
    <w:p>
      <w:pPr>
        <w:pStyle w:val="Heading3"/>
        <w:spacing w:lineRule="auto" w:line="276" w:before="0" w:after="140"/>
        <w:rPr>
          <w:rFonts w:ascii="Calibri" w:hAnsi="Calibri" w:eastAsia="Calibri"/>
          <w:sz w:val="26"/>
          <w:szCs w:val="26"/>
        </w:rPr>
      </w:pPr>
      <w:r>
        <w:rPr>
          <w:rFonts w:eastAsia="Calibri" w:ascii="Calibri" w:hAnsi="Calibri"/>
          <w:sz w:val="26"/>
          <w:szCs w:val="26"/>
        </w:rPr>
        <w:t>Magazyn energii</w:t>
      </w:r>
    </w:p>
    <w:p>
      <w:pPr>
        <w:pStyle w:val="BodyText"/>
        <w:rPr>
          <w:sz w:val="26"/>
          <w:szCs w:val="26"/>
        </w:rPr>
      </w:pPr>
      <w:r>
        <w:rPr>
          <w:sz w:val="26"/>
          <w:szCs w:val="26"/>
        </w:rPr>
        <w:t>Magazyn energii powinien spełniać następujące wymagania:</w:t>
      </w:r>
    </w:p>
    <w:p>
      <w:pPr>
        <w:pStyle w:val="BodyText"/>
        <w:numPr>
          <w:ilvl w:val="0"/>
          <w:numId w:val="6"/>
        </w:numPr>
        <w:tabs>
          <w:tab w:val="clear" w:pos="708"/>
          <w:tab w:val="left" w:pos="0" w:leader="none"/>
        </w:tabs>
        <w:spacing w:before="0" w:after="0"/>
        <w:rPr>
          <w:sz w:val="26"/>
          <w:szCs w:val="26"/>
        </w:rPr>
      </w:pPr>
      <w:r>
        <w:rPr>
          <w:sz w:val="26"/>
          <w:szCs w:val="26"/>
        </w:rPr>
        <w:t>pojemność użytkowa nie mniejsza niż 24 kWh,</w:t>
      </w:r>
    </w:p>
    <w:p>
      <w:pPr>
        <w:pStyle w:val="BodyText"/>
        <w:numPr>
          <w:ilvl w:val="0"/>
          <w:numId w:val="6"/>
        </w:numPr>
        <w:tabs>
          <w:tab w:val="clear" w:pos="708"/>
          <w:tab w:val="left" w:pos="0" w:leader="none"/>
        </w:tabs>
        <w:spacing w:before="0" w:after="0"/>
        <w:rPr>
          <w:sz w:val="26"/>
          <w:szCs w:val="26"/>
        </w:rPr>
      </w:pPr>
      <w:r>
        <w:rPr>
          <w:sz w:val="26"/>
          <w:szCs w:val="26"/>
        </w:rPr>
        <w:t>technologia ogniw LiFePO4 lub równoważna o podwyższonym poziomie bezpieczeństwa,</w:t>
      </w:r>
    </w:p>
    <w:p>
      <w:pPr>
        <w:pStyle w:val="BodyText"/>
        <w:numPr>
          <w:ilvl w:val="0"/>
          <w:numId w:val="6"/>
        </w:numPr>
        <w:tabs>
          <w:tab w:val="clear" w:pos="708"/>
          <w:tab w:val="left" w:pos="0" w:leader="none"/>
        </w:tabs>
        <w:spacing w:before="0" w:after="0"/>
        <w:rPr>
          <w:sz w:val="26"/>
          <w:szCs w:val="26"/>
        </w:rPr>
      </w:pPr>
      <w:r>
        <w:rPr>
          <w:sz w:val="26"/>
          <w:szCs w:val="26"/>
        </w:rPr>
        <w:t>możliwość rozbudowy do 240 kWh,</w:t>
      </w:r>
    </w:p>
    <w:p>
      <w:pPr>
        <w:pStyle w:val="BodyText"/>
        <w:numPr>
          <w:ilvl w:val="0"/>
          <w:numId w:val="6"/>
        </w:numPr>
        <w:tabs>
          <w:tab w:val="clear" w:pos="708"/>
          <w:tab w:val="left" w:pos="0" w:leader="none"/>
        </w:tabs>
        <w:spacing w:before="0" w:after="0"/>
        <w:rPr>
          <w:sz w:val="26"/>
          <w:szCs w:val="26"/>
        </w:rPr>
      </w:pPr>
      <w:r>
        <w:rPr>
          <w:sz w:val="26"/>
          <w:szCs w:val="26"/>
        </w:rPr>
        <w:t>minimum 6000 cykli pracy przy zachowaniu co najmniej 80% pojemności,</w:t>
      </w:r>
    </w:p>
    <w:p>
      <w:pPr>
        <w:pStyle w:val="BodyText"/>
        <w:numPr>
          <w:ilvl w:val="0"/>
          <w:numId w:val="6"/>
        </w:numPr>
        <w:tabs>
          <w:tab w:val="clear" w:pos="708"/>
          <w:tab w:val="left" w:pos="0" w:leader="none"/>
        </w:tabs>
        <w:spacing w:before="0" w:after="0"/>
        <w:rPr>
          <w:color w:val="000000"/>
        </w:rPr>
      </w:pPr>
      <w:r>
        <w:rPr>
          <w:color w:val="000000"/>
          <w:sz w:val="26"/>
          <w:szCs w:val="26"/>
        </w:rPr>
        <w:t>system zarządzania baterią (BMS),</w:t>
      </w:r>
    </w:p>
    <w:p>
      <w:pPr>
        <w:pStyle w:val="BodyText"/>
        <w:numPr>
          <w:ilvl w:val="0"/>
          <w:numId w:val="6"/>
        </w:numPr>
        <w:tabs>
          <w:tab w:val="clear" w:pos="708"/>
          <w:tab w:val="left" w:pos="0" w:leader="none"/>
        </w:tabs>
        <w:spacing w:before="0" w:after="0"/>
        <w:rPr>
          <w:sz w:val="26"/>
          <w:szCs w:val="26"/>
        </w:rPr>
      </w:pPr>
      <w:r>
        <w:rPr>
          <w:sz w:val="26"/>
          <w:szCs w:val="26"/>
        </w:rPr>
        <w:t>komunikacja z falownikiem,</w:t>
      </w:r>
    </w:p>
    <w:p>
      <w:pPr>
        <w:pStyle w:val="BodyText"/>
        <w:numPr>
          <w:ilvl w:val="0"/>
          <w:numId w:val="6"/>
        </w:numPr>
        <w:tabs>
          <w:tab w:val="clear" w:pos="708"/>
          <w:tab w:val="left" w:pos="0" w:leader="none"/>
        </w:tabs>
        <w:spacing w:before="0" w:after="0"/>
        <w:rPr>
          <w:sz w:val="26"/>
          <w:szCs w:val="26"/>
        </w:rPr>
      </w:pPr>
      <w:r>
        <w:rPr>
          <w:sz w:val="26"/>
          <w:szCs w:val="26"/>
        </w:rPr>
        <w:t xml:space="preserve">stopień ochrony minimum IP65, </w:t>
      </w:r>
    </w:p>
    <w:p>
      <w:pPr>
        <w:pStyle w:val="BodyText"/>
        <w:numPr>
          <w:ilvl w:val="0"/>
          <w:numId w:val="6"/>
        </w:numPr>
        <w:tabs>
          <w:tab w:val="clear" w:pos="708"/>
          <w:tab w:val="left" w:pos="0" w:leader="none"/>
        </w:tabs>
        <w:spacing w:before="0" w:after="0"/>
        <w:rPr>
          <w:sz w:val="26"/>
          <w:szCs w:val="26"/>
        </w:rPr>
      </w:pPr>
      <w:r>
        <w:rPr>
          <w:sz w:val="26"/>
          <w:szCs w:val="26"/>
        </w:rPr>
        <w:t xml:space="preserve">zakres temperatury pracy – 20 </w:t>
      </w:r>
      <w:r>
        <w:rPr>
          <w:sz w:val="26"/>
          <w:szCs w:val="26"/>
          <w:vertAlign w:val="superscript"/>
        </w:rPr>
        <w:t>o</w:t>
      </w:r>
      <w:r>
        <w:rPr>
          <w:sz w:val="26"/>
          <w:szCs w:val="26"/>
        </w:rPr>
        <w:t xml:space="preserve"> C   + 50</w:t>
      </w:r>
      <w:r>
        <w:rPr>
          <w:sz w:val="26"/>
          <w:szCs w:val="26"/>
          <w:vertAlign w:val="superscript"/>
        </w:rPr>
        <w:t xml:space="preserve">o </w:t>
      </w:r>
      <w:r>
        <w:rPr>
          <w:sz w:val="26"/>
          <w:szCs w:val="26"/>
        </w:rPr>
        <w:t>C</w:t>
      </w:r>
    </w:p>
    <w:p>
      <w:pPr>
        <w:pStyle w:val="BodyText"/>
        <w:numPr>
          <w:ilvl w:val="0"/>
          <w:numId w:val="6"/>
        </w:numPr>
        <w:tabs>
          <w:tab w:val="clear" w:pos="708"/>
          <w:tab w:val="left" w:pos="0" w:leader="none"/>
        </w:tabs>
        <w:spacing w:before="0" w:after="0"/>
        <w:rPr>
          <w:sz w:val="26"/>
          <w:szCs w:val="26"/>
        </w:rPr>
      </w:pPr>
      <w:r>
        <w:rPr>
          <w:sz w:val="26"/>
          <w:szCs w:val="26"/>
        </w:rPr>
        <w:t>wilgotność</w:t>
      </w:r>
      <w:r>
        <w:rPr>
          <w:sz w:val="26"/>
          <w:szCs w:val="26"/>
          <w:vertAlign w:val="superscript"/>
        </w:rPr>
        <w:t xml:space="preserve">   </w:t>
      </w:r>
      <w:r>
        <w:rPr>
          <w:sz w:val="26"/>
          <w:szCs w:val="26"/>
        </w:rPr>
        <w:t>5% - 95 %,</w:t>
      </w:r>
    </w:p>
    <w:p>
      <w:pPr>
        <w:pStyle w:val="BodyText"/>
        <w:numPr>
          <w:ilvl w:val="0"/>
          <w:numId w:val="6"/>
        </w:numPr>
        <w:tabs>
          <w:tab w:val="clear" w:pos="708"/>
          <w:tab w:val="left" w:pos="0" w:leader="none"/>
        </w:tabs>
        <w:rPr>
          <w:sz w:val="26"/>
          <w:szCs w:val="26"/>
        </w:rPr>
      </w:pPr>
      <w:r>
        <w:rPr>
          <w:sz w:val="26"/>
          <w:szCs w:val="26"/>
        </w:rPr>
        <w:t>gwarancja minimum 10 lat.</w:t>
      </w:r>
    </w:p>
    <w:p>
      <w:pPr>
        <w:pStyle w:val="Liniapoziomauser"/>
        <w:spacing w:lineRule="auto" w:line="276" w:before="0" w:after="140"/>
        <w:rPr>
          <w:sz w:val="26"/>
          <w:szCs w:val="26"/>
        </w:rPr>
      </w:pPr>
      <w:r>
        <w:rPr>
          <w:sz w:val="26"/>
          <w:szCs w:val="26"/>
        </w:rPr>
        <w:t>Magazyn energii powinien dawać możliwość pracy wyspowej dla wybranych obwodów krytycznych.</w:t>
      </w:r>
    </w:p>
    <w:p>
      <w:pPr>
        <w:pStyle w:val="Heading2"/>
        <w:spacing w:lineRule="auto" w:line="276" w:before="0" w:after="140"/>
        <w:rPr>
          <w:rFonts w:ascii="Calibri" w:hAnsi="Calibri" w:eastAsia="Calibri"/>
          <w:sz w:val="26"/>
          <w:szCs w:val="26"/>
        </w:rPr>
      </w:pPr>
      <w:r>
        <w:rPr>
          <w:rFonts w:eastAsia="Calibri" w:ascii="Calibri" w:hAnsi="Calibri"/>
          <w:sz w:val="26"/>
          <w:szCs w:val="26"/>
        </w:rPr>
        <w:t>4. Konstrukcja montażowa</w:t>
      </w:r>
    </w:p>
    <w:p>
      <w:pPr>
        <w:pStyle w:val="BodyText"/>
        <w:rPr>
          <w:sz w:val="26"/>
          <w:szCs w:val="26"/>
        </w:rPr>
      </w:pPr>
      <w:r>
        <w:rPr>
          <w:sz w:val="26"/>
          <w:szCs w:val="26"/>
        </w:rPr>
        <w:t>Konstrukcja wsporcza powinna:</w:t>
      </w:r>
    </w:p>
    <w:p>
      <w:pPr>
        <w:pStyle w:val="BodyText"/>
        <w:numPr>
          <w:ilvl w:val="0"/>
          <w:numId w:val="7"/>
        </w:numPr>
        <w:tabs>
          <w:tab w:val="clear" w:pos="708"/>
          <w:tab w:val="left" w:pos="0" w:leader="none"/>
        </w:tabs>
        <w:spacing w:before="0" w:after="0"/>
        <w:rPr>
          <w:sz w:val="26"/>
          <w:szCs w:val="26"/>
        </w:rPr>
      </w:pPr>
      <w:r>
        <w:rPr>
          <w:sz w:val="26"/>
          <w:szCs w:val="26"/>
        </w:rPr>
        <w:t>być przeznaczona do dachów płaskich,</w:t>
      </w:r>
    </w:p>
    <w:p>
      <w:pPr>
        <w:pStyle w:val="BodyText"/>
        <w:numPr>
          <w:ilvl w:val="0"/>
          <w:numId w:val="7"/>
        </w:numPr>
        <w:tabs>
          <w:tab w:val="clear" w:pos="708"/>
          <w:tab w:val="left" w:pos="0" w:leader="none"/>
        </w:tabs>
        <w:spacing w:before="0" w:after="0"/>
        <w:rPr>
          <w:sz w:val="26"/>
          <w:szCs w:val="26"/>
        </w:rPr>
      </w:pPr>
      <w:r>
        <w:rPr>
          <w:sz w:val="26"/>
          <w:szCs w:val="26"/>
        </w:rPr>
        <w:t>być wykonana z aluminium i stali nierdzewnej,</w:t>
      </w:r>
    </w:p>
    <w:p>
      <w:pPr>
        <w:pStyle w:val="BodyText"/>
        <w:numPr>
          <w:ilvl w:val="0"/>
          <w:numId w:val="7"/>
        </w:numPr>
        <w:tabs>
          <w:tab w:val="clear" w:pos="708"/>
          <w:tab w:val="left" w:pos="0" w:leader="none"/>
        </w:tabs>
        <w:spacing w:before="0" w:after="0"/>
        <w:rPr>
          <w:sz w:val="26"/>
          <w:szCs w:val="26"/>
        </w:rPr>
      </w:pPr>
      <w:r>
        <w:rPr>
          <w:sz w:val="26"/>
          <w:szCs w:val="26"/>
        </w:rPr>
        <w:t>być montowana w technologii balastowej bez naruszania pokrycia dachowego,</w:t>
      </w:r>
    </w:p>
    <w:p>
      <w:pPr>
        <w:pStyle w:val="BodyText"/>
        <w:numPr>
          <w:ilvl w:val="0"/>
          <w:numId w:val="7"/>
        </w:numPr>
        <w:tabs>
          <w:tab w:val="clear" w:pos="708"/>
          <w:tab w:val="left" w:pos="0" w:leader="none"/>
        </w:tabs>
        <w:spacing w:before="0" w:after="0"/>
        <w:rPr>
          <w:sz w:val="26"/>
          <w:szCs w:val="26"/>
        </w:rPr>
      </w:pPr>
      <w:r>
        <w:rPr>
          <w:sz w:val="26"/>
          <w:szCs w:val="26"/>
        </w:rPr>
        <w:t>posiadać odpowiednią odporność na obciążenie śniegiem i wiatrem zgodnie z obowiązującymi normami,</w:t>
      </w:r>
    </w:p>
    <w:p>
      <w:pPr>
        <w:pStyle w:val="BodyText"/>
        <w:numPr>
          <w:ilvl w:val="0"/>
          <w:numId w:val="7"/>
        </w:numPr>
        <w:tabs>
          <w:tab w:val="clear" w:pos="708"/>
          <w:tab w:val="left" w:pos="0" w:leader="none"/>
        </w:tabs>
        <w:spacing w:before="0" w:after="0"/>
        <w:rPr>
          <w:sz w:val="26"/>
          <w:szCs w:val="26"/>
        </w:rPr>
      </w:pPr>
      <w:r>
        <w:rPr>
          <w:sz w:val="26"/>
          <w:szCs w:val="26"/>
        </w:rPr>
        <w:t>zapewniać odpowiednią wentylację modułów,</w:t>
      </w:r>
    </w:p>
    <w:p>
      <w:pPr>
        <w:pStyle w:val="BodyText"/>
        <w:numPr>
          <w:ilvl w:val="0"/>
          <w:numId w:val="7"/>
        </w:numPr>
        <w:tabs>
          <w:tab w:val="clear" w:pos="708"/>
          <w:tab w:val="left" w:pos="0" w:leader="none"/>
        </w:tabs>
        <w:rPr>
          <w:sz w:val="26"/>
          <w:szCs w:val="26"/>
        </w:rPr>
      </w:pPr>
      <w:r>
        <w:rPr>
          <w:sz w:val="26"/>
          <w:szCs w:val="26"/>
        </w:rPr>
        <w:t>posiadać certyfikat TUV lub równoważny</w:t>
      </w:r>
    </w:p>
    <w:p>
      <w:pPr>
        <w:pStyle w:val="BodyText"/>
        <w:numPr>
          <w:ilvl w:val="0"/>
          <w:numId w:val="7"/>
        </w:numPr>
        <w:tabs>
          <w:tab w:val="clear" w:pos="708"/>
          <w:tab w:val="left" w:pos="0" w:leader="none"/>
        </w:tabs>
        <w:rPr>
          <w:sz w:val="26"/>
          <w:szCs w:val="26"/>
        </w:rPr>
      </w:pPr>
      <w:r>
        <w:rPr>
          <w:sz w:val="26"/>
          <w:szCs w:val="26"/>
        </w:rPr>
        <w:t>gwarancja  na elementy konstrukcji min 10 lat</w:t>
      </w:r>
    </w:p>
    <w:p>
      <w:pPr>
        <w:pStyle w:val="BodyText"/>
        <w:rPr>
          <w:sz w:val="26"/>
          <w:szCs w:val="26"/>
        </w:rPr>
      </w:pPr>
      <w:r>
        <w:rPr>
          <w:sz w:val="26"/>
          <w:szCs w:val="26"/>
        </w:rPr>
        <w:t>Dobór obciążenia balastowego należy wykonać napodstawie obowiązujących norm oraz lokalnych warunków obciążenia wiatrem i śniegiem.</w:t>
      </w:r>
    </w:p>
    <w:p>
      <w:pPr>
        <w:pStyle w:val="Liniapoziomauser"/>
        <w:spacing w:lineRule="auto" w:line="276" w:before="0" w:after="140"/>
        <w:rPr>
          <w:sz w:val="26"/>
          <w:szCs w:val="26"/>
        </w:rPr>
      </w:pPr>
      <w:r>
        <w:rPr>
          <w:sz w:val="26"/>
          <w:szCs w:val="26"/>
        </w:rPr>
      </w:r>
    </w:p>
    <w:p>
      <w:pPr>
        <w:pStyle w:val="Heading2"/>
        <w:spacing w:lineRule="auto" w:line="276" w:before="0" w:after="140"/>
        <w:rPr>
          <w:rFonts w:ascii="Calibri" w:hAnsi="Calibri" w:eastAsia="Calibri"/>
          <w:sz w:val="26"/>
          <w:szCs w:val="26"/>
        </w:rPr>
      </w:pPr>
      <w:r>
        <w:rPr>
          <w:rFonts w:eastAsia="Calibri" w:ascii="Calibri" w:hAnsi="Calibri"/>
          <w:sz w:val="26"/>
          <w:szCs w:val="26"/>
        </w:rPr>
        <w:t>5. Instalacja elektryczna</w:t>
      </w:r>
    </w:p>
    <w:p>
      <w:pPr>
        <w:pStyle w:val="BodyText"/>
        <w:rPr>
          <w:sz w:val="26"/>
          <w:szCs w:val="26"/>
        </w:rPr>
      </w:pPr>
      <w:r>
        <w:rPr>
          <w:sz w:val="26"/>
          <w:szCs w:val="26"/>
        </w:rPr>
        <w:t>Wykonawca wykona:</w:t>
      </w:r>
    </w:p>
    <w:p>
      <w:pPr>
        <w:pStyle w:val="BodyText"/>
        <w:numPr>
          <w:ilvl w:val="0"/>
          <w:numId w:val="8"/>
        </w:numPr>
        <w:tabs>
          <w:tab w:val="clear" w:pos="708"/>
          <w:tab w:val="left" w:pos="0" w:leader="none"/>
        </w:tabs>
        <w:spacing w:before="0" w:after="0"/>
        <w:rPr>
          <w:sz w:val="26"/>
          <w:szCs w:val="26"/>
        </w:rPr>
      </w:pPr>
      <w:r>
        <w:rPr>
          <w:sz w:val="26"/>
          <w:szCs w:val="26"/>
        </w:rPr>
        <w:t>okablowanie solarne odporne na promieniowanie UV,</w:t>
      </w:r>
    </w:p>
    <w:p>
      <w:pPr>
        <w:pStyle w:val="BodyText"/>
        <w:numPr>
          <w:ilvl w:val="0"/>
          <w:numId w:val="8"/>
        </w:numPr>
        <w:tabs>
          <w:tab w:val="clear" w:pos="708"/>
          <w:tab w:val="left" w:pos="0" w:leader="none"/>
        </w:tabs>
        <w:spacing w:before="0" w:after="0"/>
        <w:rPr>
          <w:sz w:val="26"/>
          <w:szCs w:val="26"/>
        </w:rPr>
      </w:pPr>
      <w:r>
        <w:rPr>
          <w:sz w:val="26"/>
          <w:szCs w:val="26"/>
        </w:rPr>
        <w:t>przewody AC zgodnie z obowiązującymi normami,</w:t>
      </w:r>
    </w:p>
    <w:p>
      <w:pPr>
        <w:pStyle w:val="BodyText"/>
        <w:numPr>
          <w:ilvl w:val="0"/>
          <w:numId w:val="8"/>
        </w:numPr>
        <w:tabs>
          <w:tab w:val="clear" w:pos="708"/>
          <w:tab w:val="left" w:pos="0" w:leader="none"/>
        </w:tabs>
        <w:spacing w:before="0" w:after="0"/>
        <w:rPr>
          <w:sz w:val="26"/>
          <w:szCs w:val="26"/>
        </w:rPr>
      </w:pPr>
      <w:r>
        <w:rPr>
          <w:sz w:val="26"/>
          <w:szCs w:val="26"/>
        </w:rPr>
        <w:t>rozdzielnice DC i AC,</w:t>
      </w:r>
    </w:p>
    <w:p>
      <w:pPr>
        <w:pStyle w:val="BodyText"/>
        <w:numPr>
          <w:ilvl w:val="0"/>
          <w:numId w:val="8"/>
        </w:numPr>
        <w:tabs>
          <w:tab w:val="clear" w:pos="708"/>
          <w:tab w:val="left" w:pos="0" w:leader="none"/>
        </w:tabs>
        <w:spacing w:before="0" w:after="0"/>
        <w:rPr>
          <w:sz w:val="26"/>
          <w:szCs w:val="26"/>
        </w:rPr>
      </w:pPr>
      <w:r>
        <w:rPr>
          <w:sz w:val="26"/>
          <w:szCs w:val="26"/>
        </w:rPr>
        <w:t>zabezpieczenia nadprądowe,</w:t>
      </w:r>
    </w:p>
    <w:p>
      <w:pPr>
        <w:pStyle w:val="BodyText"/>
        <w:numPr>
          <w:ilvl w:val="0"/>
          <w:numId w:val="8"/>
        </w:numPr>
        <w:tabs>
          <w:tab w:val="clear" w:pos="708"/>
          <w:tab w:val="left" w:pos="0" w:leader="none"/>
        </w:tabs>
        <w:spacing w:before="0" w:after="0"/>
        <w:rPr>
          <w:color w:val="000000"/>
        </w:rPr>
      </w:pPr>
      <w:r>
        <w:rPr>
          <w:color w:val="000000"/>
          <w:sz w:val="26"/>
          <w:szCs w:val="26"/>
        </w:rPr>
        <w:t>nie dopuszcza się zastawania tylko zabezpieczeń wbudowanych w falownik,</w:t>
      </w:r>
    </w:p>
    <w:p>
      <w:pPr>
        <w:pStyle w:val="BodyText"/>
        <w:numPr>
          <w:ilvl w:val="0"/>
          <w:numId w:val="8"/>
        </w:numPr>
        <w:tabs>
          <w:tab w:val="clear" w:pos="708"/>
          <w:tab w:val="left" w:pos="0" w:leader="none"/>
        </w:tabs>
        <w:spacing w:before="0" w:after="0"/>
        <w:rPr>
          <w:sz w:val="26"/>
          <w:szCs w:val="26"/>
        </w:rPr>
      </w:pPr>
      <w:r>
        <w:rPr>
          <w:sz w:val="26"/>
          <w:szCs w:val="26"/>
        </w:rPr>
        <w:t>zabezpieczenia przeciwprzepięciowe typu II po stronie DC i AC (lub zgodnie z projektem),</w:t>
      </w:r>
    </w:p>
    <w:p>
      <w:pPr>
        <w:pStyle w:val="BodyText"/>
        <w:numPr>
          <w:ilvl w:val="0"/>
          <w:numId w:val="8"/>
        </w:numPr>
        <w:tabs>
          <w:tab w:val="clear" w:pos="708"/>
          <w:tab w:val="left" w:pos="0" w:leader="none"/>
        </w:tabs>
        <w:spacing w:before="0" w:after="0"/>
        <w:rPr>
          <w:sz w:val="26"/>
          <w:szCs w:val="26"/>
        </w:rPr>
      </w:pPr>
      <w:r>
        <w:rPr>
          <w:sz w:val="26"/>
          <w:szCs w:val="26"/>
        </w:rPr>
        <w:t>zbiorcze trasy kablowe należy wykonać w korytach elektroinstalacyjnych,</w:t>
      </w:r>
    </w:p>
    <w:p>
      <w:pPr>
        <w:pStyle w:val="BodyText"/>
        <w:numPr>
          <w:ilvl w:val="0"/>
          <w:numId w:val="8"/>
        </w:numPr>
        <w:tabs>
          <w:tab w:val="clear" w:pos="708"/>
          <w:tab w:val="left" w:pos="0" w:leader="none"/>
        </w:tabs>
        <w:spacing w:before="0" w:after="0"/>
        <w:rPr>
          <w:sz w:val="26"/>
          <w:szCs w:val="26"/>
        </w:rPr>
      </w:pPr>
      <w:r>
        <w:rPr>
          <w:sz w:val="26"/>
          <w:szCs w:val="26"/>
        </w:rPr>
        <w:t>wyłącznik przeciwpożarowy, jeżeli wymagają tego przepisy,</w:t>
      </w:r>
    </w:p>
    <w:p>
      <w:pPr>
        <w:pStyle w:val="Normal"/>
        <w:widowControl w:val="false"/>
        <w:numPr>
          <w:ilvl w:val="0"/>
          <w:numId w:val="8"/>
        </w:numPr>
        <w:tabs>
          <w:tab w:val="clear" w:pos="708"/>
          <w:tab w:val="left" w:pos="8647" w:leader="none"/>
        </w:tabs>
        <w:spacing w:lineRule="auto" w:line="276" w:before="0" w:after="120"/>
        <w:ind w:hanging="283" w:start="709" w:end="-20"/>
        <w:jc w:val="both"/>
        <w:rPr>
          <w:color w:val="000000"/>
        </w:rPr>
      </w:pPr>
      <w:r>
        <w:rPr>
          <w:rFonts w:eastAsia="Microsoft Sans Serif" w:cs="Calibri" w:cstheme="minorHAnsi"/>
          <w:color w:val="000000"/>
          <w:sz w:val="24"/>
          <w:szCs w:val="24"/>
        </w:rPr>
        <w:t>Ochronnik</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przepięciowy</w:t>
      </w:r>
      <w:r>
        <w:rPr>
          <w:rFonts w:eastAsia="Microsoft Sans Serif" w:cs="Calibri" w:cstheme="minorHAnsi"/>
          <w:color w:val="000000"/>
          <w:spacing w:val="36"/>
          <w:sz w:val="24"/>
          <w:szCs w:val="24"/>
        </w:rPr>
        <w:t xml:space="preserve"> </w:t>
      </w:r>
      <w:r>
        <w:rPr>
          <w:rFonts w:eastAsia="Microsoft Sans Serif" w:cs="Calibri" w:cstheme="minorHAnsi"/>
          <w:color w:val="000000"/>
          <w:sz w:val="24"/>
          <w:szCs w:val="24"/>
        </w:rPr>
        <w:t>DC</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instalacji</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fotowoltaicznej</w:t>
      </w:r>
      <w:r>
        <w:rPr>
          <w:rFonts w:eastAsia="Microsoft Sans Serif" w:cs="Calibri" w:cstheme="minorHAnsi"/>
          <w:color w:val="000000"/>
          <w:spacing w:val="36"/>
          <w:sz w:val="24"/>
          <w:szCs w:val="24"/>
        </w:rPr>
        <w:t xml:space="preserve"> </w:t>
      </w:r>
      <w:r>
        <w:rPr>
          <w:rFonts w:eastAsia="Microsoft Sans Serif" w:cs="Calibri" w:cstheme="minorHAnsi"/>
          <w:color w:val="000000"/>
          <w:sz w:val="24"/>
          <w:szCs w:val="24"/>
        </w:rPr>
        <w:t>zostanie</w:t>
      </w:r>
      <w:r>
        <w:rPr>
          <w:rFonts w:eastAsia="Microsoft Sans Serif" w:cs="Calibri" w:cstheme="minorHAnsi"/>
          <w:color w:val="000000"/>
          <w:spacing w:val="40"/>
          <w:sz w:val="24"/>
          <w:szCs w:val="24"/>
        </w:rPr>
        <w:t xml:space="preserve"> </w:t>
      </w:r>
      <w:r>
        <w:rPr>
          <w:rFonts w:eastAsia="Microsoft Sans Serif" w:cs="Calibri" w:cstheme="minorHAnsi"/>
          <w:color w:val="000000"/>
          <w:sz w:val="24"/>
          <w:szCs w:val="24"/>
        </w:rPr>
        <w:t>zabudowany w</w:t>
      </w:r>
      <w:r>
        <w:rPr>
          <w:rFonts w:eastAsia="Microsoft Sans Serif" w:cs="Calibri" w:cstheme="minorHAnsi"/>
          <w:color w:val="000000"/>
          <w:spacing w:val="77"/>
          <w:sz w:val="24"/>
          <w:szCs w:val="24"/>
        </w:rPr>
        <w:t xml:space="preserve"> </w:t>
      </w:r>
      <w:r>
        <w:rPr>
          <w:rFonts w:eastAsia="Microsoft Sans Serif" w:cs="Calibri" w:cstheme="minorHAnsi"/>
          <w:color w:val="000000"/>
          <w:sz w:val="24"/>
          <w:szCs w:val="24"/>
        </w:rPr>
        <w:t>pomieszczeniu</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w</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rozdzielnicy</w:t>
      </w:r>
      <w:r>
        <w:rPr>
          <w:rFonts w:eastAsia="Microsoft Sans Serif" w:cs="Calibri" w:cstheme="minorHAnsi"/>
          <w:color w:val="000000"/>
          <w:spacing w:val="79"/>
          <w:sz w:val="24"/>
          <w:szCs w:val="24"/>
        </w:rPr>
        <w:t xml:space="preserve"> </w:t>
      </w:r>
      <w:r>
        <w:rPr>
          <w:rFonts w:eastAsia="Microsoft Sans Serif" w:cs="Calibri" w:cstheme="minorHAnsi"/>
          <w:color w:val="000000"/>
          <w:sz w:val="24"/>
          <w:szCs w:val="24"/>
        </w:rPr>
        <w:t>naściennej</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dedykowanej</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do</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części</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stałoprądowej w wykonaniu min 1000V.</w:t>
      </w:r>
    </w:p>
    <w:p>
      <w:pPr>
        <w:pStyle w:val="Normal"/>
        <w:widowControl w:val="false"/>
        <w:numPr>
          <w:ilvl w:val="0"/>
          <w:numId w:val="8"/>
        </w:numPr>
        <w:tabs>
          <w:tab w:val="clear" w:pos="708"/>
          <w:tab w:val="left" w:pos="8647" w:leader="none"/>
        </w:tabs>
        <w:spacing w:lineRule="auto" w:line="276" w:before="0" w:after="120"/>
        <w:ind w:hanging="283" w:start="709" w:end="-20"/>
        <w:jc w:val="both"/>
        <w:rPr>
          <w:color w:val="000000"/>
        </w:rPr>
      </w:pPr>
      <w:r>
        <w:rPr>
          <w:rFonts w:eastAsia="Microsoft Sans Serif" w:cs="Calibri" w:cstheme="minorHAnsi"/>
          <w:color w:val="000000"/>
          <w:sz w:val="24"/>
          <w:szCs w:val="24"/>
        </w:rPr>
        <w:t>Ochronnik</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przepięciowy</w:t>
      </w:r>
      <w:r>
        <w:rPr>
          <w:rFonts w:eastAsia="Microsoft Sans Serif" w:cs="Calibri" w:cstheme="minorHAnsi"/>
          <w:color w:val="000000"/>
          <w:spacing w:val="38"/>
          <w:sz w:val="24"/>
          <w:szCs w:val="24"/>
        </w:rPr>
        <w:t xml:space="preserve"> </w:t>
      </w:r>
      <w:r>
        <w:rPr>
          <w:rFonts w:eastAsia="Microsoft Sans Serif" w:cs="Calibri" w:cstheme="minorHAnsi"/>
          <w:color w:val="000000"/>
          <w:sz w:val="24"/>
          <w:szCs w:val="24"/>
        </w:rPr>
        <w:t>AC</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instalacji</w:t>
      </w:r>
      <w:r>
        <w:rPr>
          <w:rFonts w:eastAsia="Microsoft Sans Serif" w:cs="Calibri" w:cstheme="minorHAnsi"/>
          <w:color w:val="000000"/>
          <w:spacing w:val="80"/>
          <w:sz w:val="24"/>
          <w:szCs w:val="24"/>
        </w:rPr>
        <w:t xml:space="preserve"> </w:t>
      </w:r>
      <w:r>
        <w:rPr>
          <w:rFonts w:eastAsia="Microsoft Sans Serif" w:cs="Calibri" w:cstheme="minorHAnsi"/>
          <w:color w:val="000000"/>
          <w:sz w:val="24"/>
          <w:szCs w:val="24"/>
        </w:rPr>
        <w:t>fotowoltaicznej</w:t>
      </w:r>
      <w:r>
        <w:rPr>
          <w:rFonts w:eastAsia="Microsoft Sans Serif" w:cs="Calibri" w:cstheme="minorHAnsi"/>
          <w:color w:val="000000"/>
          <w:spacing w:val="38"/>
          <w:sz w:val="24"/>
          <w:szCs w:val="24"/>
        </w:rPr>
        <w:t xml:space="preserve"> </w:t>
      </w:r>
      <w:r>
        <w:rPr>
          <w:rFonts w:eastAsia="Microsoft Sans Serif" w:cs="Calibri" w:cstheme="minorHAnsi"/>
          <w:color w:val="000000"/>
          <w:sz w:val="24"/>
          <w:szCs w:val="24"/>
        </w:rPr>
        <w:t>zostanie</w:t>
      </w:r>
      <w:r>
        <w:rPr>
          <w:rFonts w:eastAsia="Microsoft Sans Serif" w:cs="Calibri" w:cstheme="minorHAnsi"/>
          <w:color w:val="000000"/>
          <w:spacing w:val="40"/>
          <w:sz w:val="24"/>
          <w:szCs w:val="24"/>
        </w:rPr>
        <w:t xml:space="preserve"> </w:t>
      </w:r>
      <w:r>
        <w:rPr>
          <w:rFonts w:eastAsia="Microsoft Sans Serif" w:cs="Calibri" w:cstheme="minorHAnsi"/>
          <w:color w:val="000000"/>
          <w:sz w:val="24"/>
          <w:szCs w:val="24"/>
        </w:rPr>
        <w:t>zabudowany w</w:t>
      </w:r>
      <w:r>
        <w:rPr>
          <w:rFonts w:eastAsia="Microsoft Sans Serif" w:cs="Calibri" w:cstheme="minorHAnsi"/>
          <w:color w:val="000000"/>
          <w:spacing w:val="-16"/>
          <w:sz w:val="24"/>
          <w:szCs w:val="24"/>
        </w:rPr>
        <w:t xml:space="preserve"> </w:t>
      </w:r>
      <w:r>
        <w:rPr>
          <w:rFonts w:eastAsia="Microsoft Sans Serif" w:cs="Calibri" w:cstheme="minorHAnsi"/>
          <w:color w:val="000000"/>
          <w:sz w:val="24"/>
          <w:szCs w:val="24"/>
        </w:rPr>
        <w:t>pomieszczeniu</w:t>
      </w:r>
      <w:r>
        <w:rPr>
          <w:rFonts w:eastAsia="Microsoft Sans Serif" w:cs="Calibri" w:cstheme="minorHAnsi"/>
          <w:color w:val="000000"/>
          <w:spacing w:val="-11"/>
          <w:sz w:val="24"/>
          <w:szCs w:val="24"/>
        </w:rPr>
        <w:t xml:space="preserve"> </w:t>
      </w:r>
      <w:r>
        <w:rPr>
          <w:rFonts w:eastAsia="Microsoft Sans Serif" w:cs="Calibri" w:cstheme="minorHAnsi"/>
          <w:color w:val="000000"/>
          <w:sz w:val="24"/>
          <w:szCs w:val="24"/>
        </w:rPr>
        <w:t>w</w:t>
      </w:r>
      <w:r>
        <w:rPr>
          <w:rFonts w:eastAsia="Microsoft Sans Serif" w:cs="Calibri" w:cstheme="minorHAnsi"/>
          <w:color w:val="000000"/>
          <w:spacing w:val="-13"/>
          <w:sz w:val="24"/>
          <w:szCs w:val="24"/>
        </w:rPr>
        <w:t xml:space="preserve"> </w:t>
      </w:r>
      <w:r>
        <w:rPr>
          <w:rFonts w:eastAsia="Microsoft Sans Serif" w:cs="Calibri" w:cstheme="minorHAnsi"/>
          <w:color w:val="000000"/>
          <w:sz w:val="24"/>
          <w:szCs w:val="24"/>
        </w:rPr>
        <w:t>rozdzielnicy</w:t>
      </w:r>
      <w:r>
        <w:rPr>
          <w:rFonts w:eastAsia="Microsoft Sans Serif" w:cs="Calibri" w:cstheme="minorHAnsi"/>
          <w:color w:val="000000"/>
          <w:spacing w:val="-14"/>
          <w:sz w:val="24"/>
          <w:szCs w:val="24"/>
        </w:rPr>
        <w:t xml:space="preserve"> </w:t>
      </w:r>
      <w:r>
        <w:rPr>
          <w:rFonts w:eastAsia="Microsoft Sans Serif" w:cs="Calibri" w:cstheme="minorHAnsi"/>
          <w:color w:val="000000"/>
          <w:sz w:val="24"/>
          <w:szCs w:val="24"/>
        </w:rPr>
        <w:t>naściennej</w:t>
      </w:r>
      <w:r>
        <w:rPr>
          <w:rFonts w:eastAsia="Microsoft Sans Serif" w:cs="Calibri" w:cstheme="minorHAnsi"/>
          <w:color w:val="000000"/>
          <w:spacing w:val="-13"/>
          <w:sz w:val="24"/>
          <w:szCs w:val="24"/>
        </w:rPr>
        <w:t xml:space="preserve"> </w:t>
      </w:r>
      <w:r>
        <w:rPr>
          <w:rFonts w:eastAsia="Microsoft Sans Serif" w:cs="Calibri" w:cstheme="minorHAnsi"/>
          <w:color w:val="000000"/>
          <w:sz w:val="24"/>
          <w:szCs w:val="24"/>
        </w:rPr>
        <w:t>dedykowanej</w:t>
      </w:r>
      <w:r>
        <w:rPr>
          <w:rFonts w:eastAsia="Microsoft Sans Serif" w:cs="Calibri" w:cstheme="minorHAnsi"/>
          <w:color w:val="000000"/>
          <w:spacing w:val="-13"/>
          <w:sz w:val="24"/>
          <w:szCs w:val="24"/>
        </w:rPr>
        <w:t xml:space="preserve"> </w:t>
      </w:r>
      <w:r>
        <w:rPr>
          <w:rFonts w:eastAsia="Microsoft Sans Serif" w:cs="Calibri" w:cstheme="minorHAnsi"/>
          <w:color w:val="000000"/>
          <w:sz w:val="24"/>
          <w:szCs w:val="24"/>
        </w:rPr>
        <w:t>do</w:t>
      </w:r>
      <w:r>
        <w:rPr>
          <w:rFonts w:eastAsia="Microsoft Sans Serif" w:cs="Calibri" w:cstheme="minorHAnsi"/>
          <w:color w:val="000000"/>
          <w:spacing w:val="-11"/>
          <w:sz w:val="24"/>
          <w:szCs w:val="24"/>
        </w:rPr>
        <w:t xml:space="preserve"> </w:t>
      </w:r>
      <w:r>
        <w:rPr>
          <w:rFonts w:eastAsia="Microsoft Sans Serif" w:cs="Calibri" w:cstheme="minorHAnsi"/>
          <w:color w:val="000000"/>
          <w:sz w:val="24"/>
          <w:szCs w:val="24"/>
        </w:rPr>
        <w:t>części</w:t>
      </w:r>
      <w:r>
        <w:rPr>
          <w:rFonts w:eastAsia="Microsoft Sans Serif" w:cs="Calibri" w:cstheme="minorHAnsi"/>
          <w:color w:val="000000"/>
          <w:spacing w:val="-13"/>
          <w:sz w:val="24"/>
          <w:szCs w:val="24"/>
        </w:rPr>
        <w:t xml:space="preserve"> </w:t>
      </w:r>
      <w:r>
        <w:rPr>
          <w:rFonts w:eastAsia="Microsoft Sans Serif" w:cs="Calibri" w:cstheme="minorHAnsi"/>
          <w:color w:val="000000"/>
          <w:sz w:val="24"/>
          <w:szCs w:val="24"/>
        </w:rPr>
        <w:t>przemiennoprądowej w wykonaniu min 400V.</w:t>
      </w:r>
    </w:p>
    <w:p>
      <w:pPr>
        <w:pStyle w:val="BodyText"/>
        <w:numPr>
          <w:ilvl w:val="0"/>
          <w:numId w:val="8"/>
        </w:numPr>
        <w:tabs>
          <w:tab w:val="clear" w:pos="708"/>
          <w:tab w:val="left" w:pos="0" w:leader="none"/>
        </w:tabs>
        <w:rPr>
          <w:sz w:val="26"/>
          <w:szCs w:val="26"/>
        </w:rPr>
      </w:pPr>
      <w:r>
        <w:rPr>
          <w:sz w:val="26"/>
          <w:szCs w:val="26"/>
        </w:rPr>
        <w:t>oznakowanie instalacji.</w:t>
      </w:r>
    </w:p>
    <w:p>
      <w:pPr>
        <w:pStyle w:val="Liniapoziomauser"/>
        <w:spacing w:lineRule="auto" w:line="276" w:before="0" w:after="140"/>
        <w:rPr>
          <w:sz w:val="26"/>
          <w:szCs w:val="26"/>
        </w:rPr>
      </w:pPr>
      <w:r>
        <w:rPr>
          <w:sz w:val="26"/>
          <w:szCs w:val="26"/>
        </w:rPr>
      </w:r>
    </w:p>
    <w:p>
      <w:pPr>
        <w:pStyle w:val="Heading2"/>
        <w:spacing w:lineRule="auto" w:line="276" w:before="0" w:after="140"/>
        <w:rPr>
          <w:rFonts w:ascii="Calibri" w:hAnsi="Calibri" w:eastAsia="Calibri"/>
          <w:sz w:val="26"/>
          <w:szCs w:val="26"/>
        </w:rPr>
      </w:pPr>
      <w:r>
        <w:rPr>
          <w:rFonts w:eastAsia="Calibri" w:ascii="Calibri" w:hAnsi="Calibri"/>
          <w:sz w:val="26"/>
          <w:szCs w:val="26"/>
        </w:rPr>
        <w:t>6. Monitoring</w:t>
      </w:r>
    </w:p>
    <w:p>
      <w:pPr>
        <w:pStyle w:val="BodyText"/>
        <w:rPr>
          <w:sz w:val="26"/>
          <w:szCs w:val="26"/>
        </w:rPr>
      </w:pPr>
      <w:r>
        <w:rPr>
          <w:sz w:val="26"/>
          <w:szCs w:val="26"/>
        </w:rPr>
        <w:t>System powinien umożliwiać:</w:t>
      </w:r>
    </w:p>
    <w:p>
      <w:pPr>
        <w:pStyle w:val="BodyText"/>
        <w:numPr>
          <w:ilvl w:val="0"/>
          <w:numId w:val="9"/>
        </w:numPr>
        <w:tabs>
          <w:tab w:val="clear" w:pos="708"/>
          <w:tab w:val="left" w:pos="0" w:leader="none"/>
        </w:tabs>
        <w:spacing w:before="0" w:after="0"/>
        <w:rPr>
          <w:sz w:val="26"/>
          <w:szCs w:val="26"/>
        </w:rPr>
      </w:pPr>
      <w:r>
        <w:rPr>
          <w:sz w:val="26"/>
          <w:szCs w:val="26"/>
        </w:rPr>
        <w:t>podgląd produkcji energii,</w:t>
      </w:r>
    </w:p>
    <w:p>
      <w:pPr>
        <w:pStyle w:val="BodyText"/>
        <w:numPr>
          <w:ilvl w:val="0"/>
          <w:numId w:val="9"/>
        </w:numPr>
        <w:tabs>
          <w:tab w:val="clear" w:pos="708"/>
          <w:tab w:val="left" w:pos="0" w:leader="none"/>
        </w:tabs>
        <w:spacing w:before="0" w:after="0"/>
        <w:rPr>
          <w:sz w:val="26"/>
          <w:szCs w:val="26"/>
        </w:rPr>
      </w:pPr>
      <w:r>
        <w:rPr>
          <w:sz w:val="26"/>
          <w:szCs w:val="26"/>
        </w:rPr>
        <w:t>podgląd zużycia energii,</w:t>
      </w:r>
    </w:p>
    <w:p>
      <w:pPr>
        <w:pStyle w:val="BodyText"/>
        <w:numPr>
          <w:ilvl w:val="0"/>
          <w:numId w:val="9"/>
        </w:numPr>
        <w:tabs>
          <w:tab w:val="clear" w:pos="708"/>
          <w:tab w:val="left" w:pos="0" w:leader="none"/>
        </w:tabs>
        <w:spacing w:before="0" w:after="0"/>
        <w:rPr>
          <w:sz w:val="26"/>
          <w:szCs w:val="26"/>
        </w:rPr>
      </w:pPr>
      <w:r>
        <w:rPr>
          <w:sz w:val="26"/>
          <w:szCs w:val="26"/>
        </w:rPr>
        <w:t>kontrolę pracy magazynu energii,</w:t>
      </w:r>
    </w:p>
    <w:p>
      <w:pPr>
        <w:pStyle w:val="BodyText"/>
        <w:numPr>
          <w:ilvl w:val="0"/>
          <w:numId w:val="9"/>
        </w:numPr>
        <w:tabs>
          <w:tab w:val="clear" w:pos="708"/>
          <w:tab w:val="left" w:pos="0" w:leader="none"/>
        </w:tabs>
        <w:spacing w:before="0" w:after="0"/>
        <w:rPr>
          <w:sz w:val="26"/>
          <w:szCs w:val="26"/>
        </w:rPr>
      </w:pPr>
      <w:r>
        <w:rPr>
          <w:sz w:val="26"/>
          <w:szCs w:val="26"/>
        </w:rPr>
        <w:t>dostęp przez przeglądarkę internetową,</w:t>
      </w:r>
    </w:p>
    <w:p>
      <w:pPr>
        <w:pStyle w:val="BodyText"/>
        <w:numPr>
          <w:ilvl w:val="0"/>
          <w:numId w:val="9"/>
        </w:numPr>
        <w:tabs>
          <w:tab w:val="clear" w:pos="708"/>
          <w:tab w:val="left" w:pos="0" w:leader="none"/>
        </w:tabs>
        <w:rPr>
          <w:sz w:val="26"/>
          <w:szCs w:val="26"/>
        </w:rPr>
      </w:pPr>
      <w:r>
        <w:rPr>
          <w:sz w:val="26"/>
          <w:szCs w:val="26"/>
        </w:rPr>
        <w:t>dostęp poprzez aplikację mobilną.</w:t>
      </w:r>
    </w:p>
    <w:p>
      <w:pPr>
        <w:pStyle w:val="Liniapoziomauser"/>
        <w:spacing w:lineRule="auto" w:line="276" w:before="0" w:after="140"/>
        <w:rPr>
          <w:sz w:val="26"/>
          <w:szCs w:val="26"/>
        </w:rPr>
      </w:pPr>
      <w:r>
        <w:rPr>
          <w:sz w:val="26"/>
          <w:szCs w:val="26"/>
        </w:rPr>
      </w:r>
    </w:p>
    <w:p>
      <w:pPr>
        <w:pStyle w:val="Heading2"/>
        <w:spacing w:lineRule="auto" w:line="276" w:before="0" w:after="140"/>
        <w:rPr>
          <w:rFonts w:ascii="Calibri" w:hAnsi="Calibri" w:eastAsia="Calibri"/>
          <w:sz w:val="26"/>
          <w:szCs w:val="26"/>
        </w:rPr>
      </w:pPr>
      <w:r>
        <w:rPr>
          <w:rFonts w:eastAsia="Calibri" w:ascii="Calibri" w:hAnsi="Calibri"/>
          <w:sz w:val="26"/>
          <w:szCs w:val="26"/>
        </w:rPr>
        <w:t>7. Dokumentacja</w:t>
      </w:r>
    </w:p>
    <w:p>
      <w:pPr>
        <w:pStyle w:val="BodyText"/>
        <w:rPr>
          <w:sz w:val="26"/>
          <w:szCs w:val="26"/>
        </w:rPr>
      </w:pPr>
      <w:r>
        <w:rPr>
          <w:sz w:val="26"/>
          <w:szCs w:val="26"/>
        </w:rPr>
        <w:t>Po zakończeniu prac Wykonawca przekaże:</w:t>
      </w:r>
    </w:p>
    <w:p>
      <w:pPr>
        <w:pStyle w:val="BodyText"/>
        <w:numPr>
          <w:ilvl w:val="0"/>
          <w:numId w:val="10"/>
        </w:numPr>
        <w:tabs>
          <w:tab w:val="clear" w:pos="708"/>
          <w:tab w:val="left" w:pos="0" w:leader="none"/>
        </w:tabs>
        <w:spacing w:before="0" w:after="0"/>
        <w:rPr>
          <w:color w:val="000000"/>
        </w:rPr>
      </w:pPr>
      <w:r>
        <w:rPr>
          <w:color w:val="000000"/>
          <w:sz w:val="26"/>
          <w:szCs w:val="26"/>
        </w:rPr>
        <w:t>kompletną dokumentację powykonawczą wraz z projektem wykonawczym,</w:t>
      </w:r>
    </w:p>
    <w:p>
      <w:pPr>
        <w:pStyle w:val="BodyText"/>
        <w:numPr>
          <w:ilvl w:val="0"/>
          <w:numId w:val="10"/>
        </w:numPr>
        <w:tabs>
          <w:tab w:val="clear" w:pos="708"/>
          <w:tab w:val="left" w:pos="0" w:leader="none"/>
        </w:tabs>
        <w:spacing w:before="0" w:after="0"/>
        <w:rPr>
          <w:sz w:val="26"/>
          <w:szCs w:val="26"/>
        </w:rPr>
      </w:pPr>
      <w:r>
        <w:rPr>
          <w:sz w:val="26"/>
          <w:szCs w:val="26"/>
        </w:rPr>
        <w:t>szkice sytuacyjne obiektu przedstawiające sposób podłączenia mikroinstalacji zgodnie z wymaganiami operatora sieci dystrybucyjnej(Tauron Dystrybucja S.A.)</w:t>
      </w:r>
    </w:p>
    <w:p>
      <w:pPr>
        <w:pStyle w:val="BodyText"/>
        <w:numPr>
          <w:ilvl w:val="0"/>
          <w:numId w:val="10"/>
        </w:numPr>
        <w:tabs>
          <w:tab w:val="clear" w:pos="708"/>
          <w:tab w:val="left" w:pos="0" w:leader="none"/>
        </w:tabs>
        <w:spacing w:before="0" w:after="0"/>
        <w:rPr>
          <w:sz w:val="26"/>
          <w:szCs w:val="26"/>
        </w:rPr>
      </w:pPr>
      <w:r>
        <w:rPr>
          <w:sz w:val="26"/>
          <w:szCs w:val="26"/>
        </w:rPr>
        <w:t>schemat elektryczny,</w:t>
      </w:r>
    </w:p>
    <w:p>
      <w:pPr>
        <w:pStyle w:val="BodyText"/>
        <w:numPr>
          <w:ilvl w:val="0"/>
          <w:numId w:val="10"/>
        </w:numPr>
        <w:tabs>
          <w:tab w:val="clear" w:pos="708"/>
          <w:tab w:val="left" w:pos="0" w:leader="none"/>
        </w:tabs>
        <w:spacing w:before="0" w:after="0"/>
        <w:rPr>
          <w:sz w:val="26"/>
          <w:szCs w:val="26"/>
        </w:rPr>
      </w:pPr>
      <w:r>
        <w:rPr>
          <w:sz w:val="26"/>
          <w:szCs w:val="26"/>
        </w:rPr>
        <w:t>protokoły pomiarów elektrycznych,</w:t>
      </w:r>
    </w:p>
    <w:p>
      <w:pPr>
        <w:pStyle w:val="BodyText"/>
        <w:numPr>
          <w:ilvl w:val="0"/>
          <w:numId w:val="10"/>
        </w:numPr>
        <w:tabs>
          <w:tab w:val="clear" w:pos="708"/>
          <w:tab w:val="left" w:pos="0" w:leader="none"/>
        </w:tabs>
        <w:spacing w:before="0" w:after="0"/>
        <w:rPr>
          <w:sz w:val="26"/>
          <w:szCs w:val="26"/>
        </w:rPr>
      </w:pPr>
      <w:r>
        <w:rPr>
          <w:sz w:val="26"/>
          <w:szCs w:val="26"/>
        </w:rPr>
        <w:t>instrukcję użytkowania,</w:t>
      </w:r>
    </w:p>
    <w:p>
      <w:pPr>
        <w:pStyle w:val="BodyText"/>
        <w:numPr>
          <w:ilvl w:val="0"/>
          <w:numId w:val="10"/>
        </w:numPr>
        <w:tabs>
          <w:tab w:val="clear" w:pos="708"/>
          <w:tab w:val="left" w:pos="0" w:leader="none"/>
        </w:tabs>
        <w:spacing w:before="0" w:after="0"/>
        <w:rPr>
          <w:sz w:val="26"/>
          <w:szCs w:val="26"/>
        </w:rPr>
      </w:pPr>
      <w:r>
        <w:rPr>
          <w:sz w:val="26"/>
          <w:szCs w:val="26"/>
        </w:rPr>
        <w:t>instrukcję eksploatacji,</w:t>
      </w:r>
    </w:p>
    <w:p>
      <w:pPr>
        <w:pStyle w:val="BodyText"/>
        <w:numPr>
          <w:ilvl w:val="0"/>
          <w:numId w:val="10"/>
        </w:numPr>
        <w:tabs>
          <w:tab w:val="clear" w:pos="708"/>
          <w:tab w:val="left" w:pos="0" w:leader="none"/>
        </w:tabs>
        <w:spacing w:before="0" w:after="0"/>
        <w:rPr>
          <w:sz w:val="26"/>
          <w:szCs w:val="26"/>
        </w:rPr>
      </w:pPr>
      <w:r>
        <w:rPr>
          <w:sz w:val="26"/>
          <w:szCs w:val="26"/>
        </w:rPr>
        <w:t>karty gwarancyjne,</w:t>
      </w:r>
    </w:p>
    <w:p>
      <w:pPr>
        <w:pStyle w:val="BodyText"/>
        <w:numPr>
          <w:ilvl w:val="0"/>
          <w:numId w:val="10"/>
        </w:numPr>
        <w:tabs>
          <w:tab w:val="clear" w:pos="708"/>
          <w:tab w:val="left" w:pos="0" w:leader="none"/>
        </w:tabs>
        <w:rPr>
          <w:sz w:val="26"/>
          <w:szCs w:val="26"/>
        </w:rPr>
      </w:pPr>
      <w:r>
        <w:rPr>
          <w:sz w:val="26"/>
          <w:szCs w:val="26"/>
        </w:rPr>
        <w:t>protokół uruchomienia instalacji.</w:t>
      </w:r>
    </w:p>
    <w:p>
      <w:pPr>
        <w:pStyle w:val="Liniapoziomauser"/>
        <w:spacing w:lineRule="auto" w:line="276" w:before="0" w:after="140"/>
        <w:rPr>
          <w:sz w:val="26"/>
          <w:szCs w:val="26"/>
        </w:rPr>
      </w:pPr>
      <w:r>
        <w:rPr>
          <w:sz w:val="26"/>
          <w:szCs w:val="26"/>
        </w:rPr>
      </w:r>
    </w:p>
    <w:p>
      <w:pPr>
        <w:pStyle w:val="Heading2"/>
        <w:spacing w:lineRule="auto" w:line="276" w:before="0" w:after="140"/>
        <w:rPr>
          <w:rFonts w:ascii="Calibri" w:hAnsi="Calibri" w:eastAsia="Calibri"/>
          <w:sz w:val="26"/>
          <w:szCs w:val="26"/>
        </w:rPr>
      </w:pPr>
      <w:r>
        <w:rPr>
          <w:rFonts w:eastAsia="Calibri" w:ascii="Calibri" w:hAnsi="Calibri"/>
          <w:sz w:val="26"/>
          <w:szCs w:val="26"/>
        </w:rPr>
        <w:t>8. Gwarancja</w:t>
      </w:r>
    </w:p>
    <w:p>
      <w:pPr>
        <w:pStyle w:val="BodyText"/>
        <w:rPr>
          <w:sz w:val="26"/>
          <w:szCs w:val="26"/>
        </w:rPr>
      </w:pPr>
      <w:r>
        <w:rPr>
          <w:sz w:val="26"/>
          <w:szCs w:val="26"/>
        </w:rPr>
        <w:t>Wymaga się udzielenia:</w:t>
      </w:r>
    </w:p>
    <w:p>
      <w:pPr>
        <w:pStyle w:val="BodyText"/>
        <w:numPr>
          <w:ilvl w:val="0"/>
          <w:numId w:val="11"/>
        </w:numPr>
        <w:tabs>
          <w:tab w:val="clear" w:pos="708"/>
          <w:tab w:val="left" w:pos="0" w:leader="none"/>
        </w:tabs>
        <w:spacing w:before="0" w:after="0"/>
        <w:rPr>
          <w:sz w:val="26"/>
          <w:szCs w:val="26"/>
        </w:rPr>
      </w:pPr>
      <w:r>
        <w:rPr>
          <w:sz w:val="26"/>
          <w:szCs w:val="26"/>
        </w:rPr>
        <w:t>minimum 60 miesięcy gwarancji na wykonane roboty montażowe,</w:t>
      </w:r>
    </w:p>
    <w:p>
      <w:pPr>
        <w:pStyle w:val="BodyText"/>
        <w:numPr>
          <w:ilvl w:val="0"/>
          <w:numId w:val="11"/>
        </w:numPr>
        <w:tabs>
          <w:tab w:val="clear" w:pos="708"/>
          <w:tab w:val="left" w:pos="0" w:leader="none"/>
        </w:tabs>
        <w:spacing w:before="0" w:after="0"/>
        <w:rPr>
          <w:sz w:val="26"/>
          <w:szCs w:val="26"/>
        </w:rPr>
      </w:pPr>
      <w:r>
        <w:rPr>
          <w:sz w:val="26"/>
          <w:szCs w:val="26"/>
        </w:rPr>
        <w:t>minimum 10 lat gwarancji na falownik,</w:t>
      </w:r>
    </w:p>
    <w:p>
      <w:pPr>
        <w:pStyle w:val="BodyText"/>
        <w:numPr>
          <w:ilvl w:val="0"/>
          <w:numId w:val="11"/>
        </w:numPr>
        <w:tabs>
          <w:tab w:val="clear" w:pos="708"/>
          <w:tab w:val="left" w:pos="0" w:leader="none"/>
        </w:tabs>
        <w:spacing w:before="0" w:after="0"/>
        <w:rPr>
          <w:sz w:val="26"/>
          <w:szCs w:val="26"/>
        </w:rPr>
      </w:pPr>
      <w:r>
        <w:rPr>
          <w:sz w:val="26"/>
          <w:szCs w:val="26"/>
        </w:rPr>
        <w:t>minimum 10 lat gwarancji na magazyn energii,</w:t>
      </w:r>
    </w:p>
    <w:p>
      <w:pPr>
        <w:pStyle w:val="BodyText"/>
        <w:numPr>
          <w:ilvl w:val="0"/>
          <w:numId w:val="11"/>
        </w:numPr>
        <w:tabs>
          <w:tab w:val="clear" w:pos="708"/>
          <w:tab w:val="left" w:pos="0" w:leader="none"/>
        </w:tabs>
        <w:spacing w:before="0" w:after="0"/>
        <w:rPr>
          <w:sz w:val="26"/>
          <w:szCs w:val="26"/>
        </w:rPr>
      </w:pPr>
      <w:r>
        <w:rPr>
          <w:sz w:val="26"/>
          <w:szCs w:val="26"/>
        </w:rPr>
        <w:t>minimum 25 lat gwarancji produktowej na moduły PV,</w:t>
      </w:r>
    </w:p>
    <w:p>
      <w:pPr>
        <w:pStyle w:val="BodyText"/>
        <w:numPr>
          <w:ilvl w:val="0"/>
          <w:numId w:val="11"/>
        </w:numPr>
        <w:tabs>
          <w:tab w:val="clear" w:pos="708"/>
          <w:tab w:val="left" w:pos="0" w:leader="none"/>
        </w:tabs>
        <w:rPr>
          <w:sz w:val="26"/>
          <w:szCs w:val="26"/>
        </w:rPr>
      </w:pPr>
      <w:r>
        <w:rPr>
          <w:sz w:val="26"/>
          <w:szCs w:val="26"/>
        </w:rPr>
        <w:t>minimum 30 lat gwarancji liniowej na uzysk mocy modułów.</w:t>
      </w:r>
    </w:p>
    <w:p>
      <w:pPr>
        <w:pStyle w:val="BodyText"/>
        <w:numPr>
          <w:ilvl w:val="0"/>
          <w:numId w:val="11"/>
        </w:numPr>
        <w:tabs>
          <w:tab w:val="clear" w:pos="708"/>
          <w:tab w:val="left" w:pos="0" w:leader="none"/>
        </w:tabs>
        <w:rPr>
          <w:sz w:val="26"/>
          <w:szCs w:val="26"/>
        </w:rPr>
      </w:pPr>
      <w:r>
        <w:rPr>
          <w:sz w:val="26"/>
          <w:szCs w:val="26"/>
        </w:rPr>
        <w:t>Minimum 10 lat gwarancji na elementy konstrukcji</w:t>
      </w:r>
    </w:p>
    <w:p>
      <w:pPr>
        <w:pStyle w:val="Liniapoziomauser"/>
        <w:spacing w:lineRule="auto" w:line="276" w:before="0" w:after="140"/>
        <w:rPr>
          <w:sz w:val="26"/>
          <w:szCs w:val="26"/>
        </w:rPr>
      </w:pPr>
      <w:r>
        <w:rPr>
          <w:sz w:val="26"/>
          <w:szCs w:val="26"/>
        </w:rPr>
      </w:r>
    </w:p>
    <w:p>
      <w:pPr>
        <w:pStyle w:val="Heading2"/>
        <w:spacing w:lineRule="auto" w:line="276" w:before="0" w:after="140"/>
        <w:rPr>
          <w:rFonts w:ascii="Calibri" w:hAnsi="Calibri" w:eastAsia="Calibri"/>
          <w:sz w:val="26"/>
          <w:szCs w:val="26"/>
        </w:rPr>
      </w:pPr>
      <w:r>
        <w:rPr>
          <w:rFonts w:eastAsia="Calibri" w:ascii="Calibri" w:hAnsi="Calibri"/>
          <w:sz w:val="26"/>
          <w:szCs w:val="26"/>
        </w:rPr>
        <w:t>9. Odbiór robót</w:t>
      </w:r>
    </w:p>
    <w:p>
      <w:pPr>
        <w:pStyle w:val="BodyText"/>
        <w:rPr>
          <w:sz w:val="26"/>
          <w:szCs w:val="26"/>
        </w:rPr>
      </w:pPr>
      <w:r>
        <w:rPr>
          <w:sz w:val="26"/>
          <w:szCs w:val="26"/>
        </w:rPr>
        <w:t>Warunkiem odbioru będzie:</w:t>
      </w:r>
    </w:p>
    <w:p>
      <w:pPr>
        <w:pStyle w:val="BodyText"/>
        <w:numPr>
          <w:ilvl w:val="0"/>
          <w:numId w:val="12"/>
        </w:numPr>
        <w:tabs>
          <w:tab w:val="clear" w:pos="708"/>
          <w:tab w:val="left" w:pos="0" w:leader="none"/>
        </w:tabs>
        <w:spacing w:before="0" w:after="0"/>
        <w:rPr>
          <w:sz w:val="26"/>
          <w:szCs w:val="26"/>
        </w:rPr>
      </w:pPr>
      <w:r>
        <w:rPr>
          <w:sz w:val="26"/>
          <w:szCs w:val="26"/>
        </w:rPr>
        <w:t>wykonanie instalacji zgodnie z dokumentacją,</w:t>
      </w:r>
    </w:p>
    <w:p>
      <w:pPr>
        <w:pStyle w:val="BodyText"/>
        <w:numPr>
          <w:ilvl w:val="0"/>
          <w:numId w:val="12"/>
        </w:numPr>
        <w:tabs>
          <w:tab w:val="clear" w:pos="708"/>
          <w:tab w:val="left" w:pos="0" w:leader="none"/>
        </w:tabs>
        <w:spacing w:before="0" w:after="0"/>
        <w:rPr>
          <w:sz w:val="26"/>
          <w:szCs w:val="26"/>
        </w:rPr>
      </w:pPr>
      <w:r>
        <w:rPr>
          <w:sz w:val="26"/>
          <w:szCs w:val="26"/>
        </w:rPr>
        <w:t>pozytywne wyniki pomiarów elektrycznych,</w:t>
      </w:r>
    </w:p>
    <w:p>
      <w:pPr>
        <w:pStyle w:val="BodyText"/>
        <w:numPr>
          <w:ilvl w:val="0"/>
          <w:numId w:val="12"/>
        </w:numPr>
        <w:tabs>
          <w:tab w:val="clear" w:pos="708"/>
          <w:tab w:val="left" w:pos="0" w:leader="none"/>
        </w:tabs>
        <w:spacing w:before="0" w:after="0"/>
        <w:rPr>
          <w:sz w:val="26"/>
          <w:szCs w:val="26"/>
        </w:rPr>
      </w:pPr>
      <w:r>
        <w:rPr>
          <w:sz w:val="26"/>
          <w:szCs w:val="26"/>
        </w:rPr>
        <w:t>uruchomienie instalacji,</w:t>
      </w:r>
    </w:p>
    <w:p>
      <w:pPr>
        <w:pStyle w:val="BodyText"/>
        <w:numPr>
          <w:ilvl w:val="0"/>
          <w:numId w:val="12"/>
        </w:numPr>
        <w:tabs>
          <w:tab w:val="clear" w:pos="708"/>
          <w:tab w:val="left" w:pos="0" w:leader="none"/>
        </w:tabs>
        <w:spacing w:before="0" w:after="0"/>
        <w:rPr>
          <w:sz w:val="26"/>
          <w:szCs w:val="26"/>
        </w:rPr>
      </w:pPr>
      <w:r>
        <w:rPr>
          <w:sz w:val="26"/>
          <w:szCs w:val="26"/>
        </w:rPr>
        <w:t>poprawna współpraca z magazynem energii,</w:t>
      </w:r>
    </w:p>
    <w:p>
      <w:pPr>
        <w:pStyle w:val="BodyText"/>
        <w:numPr>
          <w:ilvl w:val="0"/>
          <w:numId w:val="12"/>
        </w:numPr>
        <w:tabs>
          <w:tab w:val="clear" w:pos="708"/>
          <w:tab w:val="left" w:pos="0" w:leader="none"/>
        </w:tabs>
        <w:spacing w:before="0" w:after="0"/>
        <w:rPr>
          <w:sz w:val="26"/>
          <w:szCs w:val="26"/>
        </w:rPr>
      </w:pPr>
      <w:r>
        <w:rPr>
          <w:sz w:val="26"/>
          <w:szCs w:val="26"/>
        </w:rPr>
        <w:t>działający system monitoringu,</w:t>
      </w:r>
    </w:p>
    <w:p>
      <w:pPr>
        <w:pStyle w:val="BodyText"/>
        <w:numPr>
          <w:ilvl w:val="0"/>
          <w:numId w:val="12"/>
        </w:numPr>
        <w:tabs>
          <w:tab w:val="clear" w:pos="708"/>
          <w:tab w:val="left" w:pos="0" w:leader="none"/>
        </w:tabs>
        <w:rPr>
          <w:sz w:val="26"/>
          <w:szCs w:val="26"/>
        </w:rPr>
      </w:pPr>
      <w:r>
        <w:rPr>
          <w:sz w:val="26"/>
          <w:szCs w:val="26"/>
        </w:rPr>
        <w:t>przekazanie pełnej dokumentacji.</w:t>
      </w:r>
    </w:p>
    <w:p>
      <w:pPr>
        <w:pStyle w:val="Liniapoziomauser"/>
        <w:spacing w:lineRule="auto" w:line="276" w:before="0" w:after="140"/>
        <w:rPr>
          <w:sz w:val="26"/>
          <w:szCs w:val="26"/>
        </w:rPr>
      </w:pPr>
      <w:r>
        <w:rPr>
          <w:sz w:val="26"/>
          <w:szCs w:val="26"/>
        </w:rPr>
      </w:r>
    </w:p>
    <w:p>
      <w:pPr>
        <w:pStyle w:val="Heading2"/>
        <w:spacing w:lineRule="auto" w:line="276" w:before="0" w:after="140"/>
        <w:rPr>
          <w:rFonts w:ascii="Calibri" w:hAnsi="Calibri" w:eastAsia="Calibri"/>
          <w:sz w:val="26"/>
          <w:szCs w:val="26"/>
        </w:rPr>
      </w:pPr>
      <w:r>
        <w:rPr>
          <w:rFonts w:eastAsia="Calibri" w:ascii="Calibri" w:hAnsi="Calibri"/>
          <w:sz w:val="26"/>
          <w:szCs w:val="26"/>
        </w:rPr>
        <w:t>10. Wymagania jakościowe</w:t>
      </w:r>
    </w:p>
    <w:p>
      <w:pPr>
        <w:pStyle w:val="BodyText"/>
        <w:rPr>
          <w:sz w:val="26"/>
          <w:szCs w:val="26"/>
        </w:rPr>
      </w:pPr>
      <w:r>
        <w:rPr>
          <w:sz w:val="26"/>
          <w:szCs w:val="26"/>
        </w:rPr>
        <w:t>Wszystkie zastosowane urządzenia muszą:</w:t>
      </w:r>
    </w:p>
    <w:p>
      <w:pPr>
        <w:pStyle w:val="BodyText"/>
        <w:numPr>
          <w:ilvl w:val="0"/>
          <w:numId w:val="13"/>
        </w:numPr>
        <w:tabs>
          <w:tab w:val="clear" w:pos="708"/>
          <w:tab w:val="left" w:pos="0" w:leader="none"/>
        </w:tabs>
        <w:spacing w:before="0" w:after="0"/>
        <w:rPr>
          <w:sz w:val="26"/>
          <w:szCs w:val="26"/>
        </w:rPr>
      </w:pPr>
      <w:r>
        <w:rPr>
          <w:sz w:val="26"/>
          <w:szCs w:val="26"/>
        </w:rPr>
        <w:t>być fabrycznie nowe,</w:t>
      </w:r>
    </w:p>
    <w:p>
      <w:pPr>
        <w:pStyle w:val="BodyText"/>
        <w:numPr>
          <w:ilvl w:val="0"/>
          <w:numId w:val="13"/>
        </w:numPr>
        <w:tabs>
          <w:tab w:val="clear" w:pos="708"/>
          <w:tab w:val="left" w:pos="0" w:leader="none"/>
        </w:tabs>
        <w:spacing w:before="0" w:after="0"/>
        <w:rPr>
          <w:sz w:val="26"/>
          <w:szCs w:val="26"/>
        </w:rPr>
      </w:pPr>
      <w:r>
        <w:rPr>
          <w:sz w:val="26"/>
          <w:szCs w:val="26"/>
        </w:rPr>
        <w:t>pochodzić z oficjalnego kanału dystrybucji,</w:t>
      </w:r>
    </w:p>
    <w:p>
      <w:pPr>
        <w:pStyle w:val="BodyText"/>
        <w:numPr>
          <w:ilvl w:val="0"/>
          <w:numId w:val="13"/>
        </w:numPr>
        <w:tabs>
          <w:tab w:val="clear" w:pos="708"/>
          <w:tab w:val="left" w:pos="0" w:leader="none"/>
        </w:tabs>
        <w:spacing w:before="0" w:after="0"/>
        <w:rPr>
          <w:sz w:val="26"/>
          <w:szCs w:val="26"/>
        </w:rPr>
      </w:pPr>
      <w:r>
        <w:rPr>
          <w:sz w:val="26"/>
          <w:szCs w:val="26"/>
        </w:rPr>
        <w:t>posiadać oznakowanie CE,</w:t>
      </w:r>
    </w:p>
    <w:p>
      <w:pPr>
        <w:pStyle w:val="BodyText"/>
        <w:numPr>
          <w:ilvl w:val="0"/>
          <w:numId w:val="13"/>
        </w:numPr>
        <w:tabs>
          <w:tab w:val="clear" w:pos="708"/>
          <w:tab w:val="left" w:pos="0" w:leader="none"/>
        </w:tabs>
        <w:spacing w:before="0" w:after="0"/>
        <w:rPr>
          <w:sz w:val="26"/>
          <w:szCs w:val="26"/>
        </w:rPr>
      </w:pPr>
      <w:r>
        <w:rPr>
          <w:sz w:val="26"/>
          <w:szCs w:val="26"/>
        </w:rPr>
        <w:t>spełniać wymagania obowiązujących norm PN-EN i IEC,</w:t>
      </w:r>
    </w:p>
    <w:p>
      <w:pPr>
        <w:pStyle w:val="BodyText"/>
        <w:numPr>
          <w:ilvl w:val="0"/>
          <w:numId w:val="13"/>
        </w:numPr>
        <w:tabs>
          <w:tab w:val="clear" w:pos="708"/>
          <w:tab w:val="left" w:pos="0" w:leader="none"/>
        </w:tabs>
        <w:rPr>
          <w:sz w:val="26"/>
          <w:szCs w:val="26"/>
        </w:rPr>
      </w:pPr>
      <w:r>
        <w:rPr>
          <w:sz w:val="26"/>
          <w:szCs w:val="26"/>
        </w:rPr>
        <w:t>być dopuszczone do stosowania na terenie Unii Europejskiej.</w:t>
      </w:r>
    </w:p>
    <w:p>
      <w:pPr>
        <w:pStyle w:val="BodyText"/>
        <w:rPr>
          <w:sz w:val="26"/>
          <w:szCs w:val="26"/>
        </w:rPr>
      </w:pPr>
      <w:r>
        <w:rPr>
          <w:sz w:val="26"/>
          <w:szCs w:val="26"/>
        </w:rPr>
      </w:r>
    </w:p>
    <w:p>
      <w:pPr>
        <w:pStyle w:val="BodyText"/>
        <w:jc w:val="both"/>
        <w:rPr>
          <w:sz w:val="26"/>
          <w:szCs w:val="26"/>
        </w:rPr>
      </w:pPr>
      <w:r>
        <w:rPr>
          <w:sz w:val="26"/>
          <w:szCs w:val="26"/>
        </w:rPr>
        <w:t>Wszystkie roboty należy wykonać zgodnie z obowiązującymi przepisami prawa budowlanego, przepisami BHP, przepisami przeciwpożarowymi, warunkami technicznymi oraz zasadami wiedzy technicznej.</w:t>
      </w:r>
    </w:p>
    <w:p>
      <w:pPr>
        <w:pStyle w:val="BodyText"/>
        <w:jc w:val="both"/>
        <w:rPr>
          <w:sz w:val="26"/>
          <w:szCs w:val="26"/>
        </w:rPr>
      </w:pPr>
      <w:r>
        <w:rPr>
          <w:sz w:val="26"/>
          <w:szCs w:val="26"/>
        </w:rPr>
      </w:r>
    </w:p>
    <w:p>
      <w:pPr>
        <w:pStyle w:val="BodyText"/>
        <w:jc w:val="both"/>
        <w:rPr>
          <w:sz w:val="26"/>
          <w:szCs w:val="26"/>
        </w:rPr>
      </w:pPr>
      <w:r>
        <w:rPr>
          <w:color w:val="FF4000"/>
          <w:sz w:val="26"/>
          <w:szCs w:val="26"/>
        </w:rPr>
        <w:t xml:space="preserve">Wykonawca ma obowiązek poinformować Zamawiającego o planowanym rozpoczęciu robót oraz o zamiarze wejścia na dach </w:t>
      </w:r>
      <w:r>
        <w:rPr>
          <w:rStyle w:val="Strong"/>
          <w:color w:val="FF4000"/>
          <w:sz w:val="26"/>
          <w:szCs w:val="26"/>
        </w:rPr>
        <w:t>z co najmniej 2-dniowym wyprzedzeniem</w:t>
      </w:r>
      <w:r>
        <w:rPr>
          <w:color w:val="FF4000"/>
          <w:sz w:val="26"/>
          <w:szCs w:val="26"/>
        </w:rPr>
        <w:t xml:space="preserve">. </w:t>
      </w:r>
    </w:p>
    <w:p>
      <w:pPr>
        <w:pStyle w:val="BodyText"/>
        <w:spacing w:before="0" w:after="140"/>
        <w:rPr>
          <w:color w:val="FF4000"/>
        </w:rPr>
      </w:pPr>
      <w:r>
        <w:rPr>
          <w:color w:val="FF4000"/>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284" w:top="1417" w:footer="255" w:bottom="1417"/>
      <w:pgNumType w:fmt="none"/>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Consolas">
    <w:charset w:val="ee" w:characterSet="windows-1250"/>
    <w:family w:val="roman"/>
    <w:pitch w:val="variable"/>
  </w:font>
  <w:font w:name="OpenSymbol">
    <w:altName w:val="Arial Unicode MS"/>
    <w:charset w:val="02"/>
    <w:family w:val="roman"/>
    <w:pitch w:val="variable"/>
  </w:font>
  <w:font w:name="Liberation Sans">
    <w:altName w:val="Arial"/>
    <w:charset w:val="ee" w:characterSet="windows-1250"/>
    <w:family w:val="swiss"/>
    <w:pitch w:val="variable"/>
  </w:font>
  <w:font w:name="Times New Roman">
    <w:charset w:val="ee" w:characterSet="windows-125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BodyText"/>
      <w:spacing w:lineRule="auto" w:line="276" w:before="0" w:after="140"/>
      <w:rPr/>
    </w:pPr>
    <w:r>
      <w:rPr/>
      <w:drawing>
        <wp:inline distT="0" distB="0" distL="0" distR="0">
          <wp:extent cx="5759450" cy="540385"/>
          <wp:effectExtent l="0" t="0" r="0" b="0"/>
          <wp:docPr id="1"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3"/>
                  <pic:cNvPicPr>
                    <a:picLocks noChangeAspect="1" noChangeArrowheads="1"/>
                  </pic:cNvPicPr>
                </pic:nvPicPr>
                <pic:blipFill>
                  <a:blip r:embed="rId1"/>
                  <a:stretch>
                    <a:fillRect/>
                  </a:stretch>
                </pic:blipFill>
                <pic:spPr bwMode="auto">
                  <a:xfrm>
                    <a:off x="0" y="0"/>
                    <a:ext cx="5759450" cy="540385"/>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BodyText"/>
      <w:spacing w:lineRule="auto" w:line="276" w:before="0" w:after="140"/>
      <w:rPr/>
    </w:pPr>
    <w:r>
      <w:rPr/>
      <w:drawing>
        <wp:inline distT="0" distB="0" distL="0" distR="0">
          <wp:extent cx="5759450" cy="540385"/>
          <wp:effectExtent l="0" t="0" r="0" b="0"/>
          <wp:docPr id="2"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3"/>
                  <pic:cNvPicPr>
                    <a:picLocks noChangeAspect="1" noChangeArrowheads="1"/>
                  </pic:cNvPicPr>
                </pic:nvPicPr>
                <pic:blipFill>
                  <a:blip r:embed="rId1"/>
                  <a:stretch>
                    <a:fillRect/>
                  </a:stretch>
                </pic:blipFill>
                <pic:spPr bwMode="auto">
                  <a:xfrm>
                    <a:off x="0" y="0"/>
                    <a:ext cx="5759450" cy="54038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4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paragraph" w:styleId="Heading1">
    <w:name w:val="heading 1"/>
    <w:basedOn w:val="Header"/>
    <w:next w:val="BodyText"/>
    <w:qFormat/>
    <w:pPr>
      <w:spacing w:before="240" w:after="120"/>
      <w:outlineLvl w:val="0"/>
    </w:pPr>
    <w:rPr>
      <w:rFonts w:ascii="Liberation Serif" w:hAnsi="Liberation Serif" w:eastAsia="Segoe UI" w:cs="Tahoma"/>
      <w:b/>
      <w:bCs/>
      <w:sz w:val="48"/>
      <w:szCs w:val="48"/>
    </w:rPr>
  </w:style>
  <w:style w:type="paragraph" w:styleId="Heading2">
    <w:name w:val="heading 2"/>
    <w:basedOn w:val="Header"/>
    <w:next w:val="BodyText"/>
    <w:qFormat/>
    <w:pPr>
      <w:spacing w:before="200" w:after="120"/>
      <w:outlineLvl w:val="1"/>
    </w:pPr>
    <w:rPr>
      <w:rFonts w:ascii="Liberation Serif" w:hAnsi="Liberation Serif" w:eastAsia="Segoe UI" w:cs="Tahoma"/>
      <w:b/>
      <w:bCs/>
      <w:sz w:val="36"/>
      <w:szCs w:val="36"/>
    </w:rPr>
  </w:style>
  <w:style w:type="paragraph" w:styleId="Heading3">
    <w:name w:val="heading 3"/>
    <w:basedOn w:val="Header"/>
    <w:next w:val="BodyText"/>
    <w:qFormat/>
    <w:pPr>
      <w:spacing w:before="140" w:after="120"/>
      <w:outlineLvl w:val="2"/>
    </w:pPr>
    <w:rPr>
      <w:rFonts w:ascii="Liberation Serif" w:hAnsi="Liberation Serif" w:eastAsia="Segoe UI" w:cs="Tahoma"/>
      <w:b/>
      <w:bCs/>
      <w:sz w:val="28"/>
      <w:szCs w:val="28"/>
    </w:rPr>
  </w:style>
  <w:style w:type="paragraph" w:styleId="Heading5">
    <w:name w:val="heading 5"/>
    <w:basedOn w:val="Nagwek1"/>
    <w:next w:val="BodyText"/>
    <w:qFormat/>
    <w:pPr>
      <w:numPr>
        <w:ilvl w:val="4"/>
        <w:numId w:val="1"/>
      </w:numPr>
      <w:spacing w:before="120" w:after="60"/>
      <w:outlineLvl w:val="4"/>
    </w:pPr>
    <w:rPr>
      <w:b/>
      <w:bCs/>
      <w:sz w:val="24"/>
      <w:szCs w:val="24"/>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3d1fb5"/>
    <w:rPr/>
  </w:style>
  <w:style w:type="character" w:styleId="StopkaZnak" w:customStyle="1">
    <w:name w:val="Stopka Znak"/>
    <w:basedOn w:val="DefaultParagraphFont"/>
    <w:uiPriority w:val="99"/>
    <w:qFormat/>
    <w:rsid w:val="003d1fb5"/>
    <w:rPr/>
  </w:style>
  <w:style w:type="character" w:styleId="ZwykytekstZnak" w:customStyle="1">
    <w:name w:val="Zwykły tekst Znak"/>
    <w:basedOn w:val="DefaultParagraphFont"/>
    <w:link w:val="PlainText"/>
    <w:uiPriority w:val="99"/>
    <w:qFormat/>
    <w:rsid w:val="003d1fb5"/>
    <w:rPr>
      <w:rFonts w:ascii="Consolas" w:hAnsi="Consolas" w:eastAsia="Calibri" w:cs="Times New Roman"/>
      <w:sz w:val="21"/>
      <w:szCs w:val="21"/>
      <w:lang w:val="x-none"/>
    </w:rPr>
  </w:style>
  <w:style w:type="character" w:styleId="InternetLink" w:customStyle="1">
    <w:name w:val="Internet Link"/>
    <w:basedOn w:val="DefaultParagraphFont"/>
    <w:qFormat/>
    <w:rsid w:val="003d1fb5"/>
    <w:rPr>
      <w:color w:themeColor="hyperlink" w:val="0563C1"/>
      <w:u w:val="single"/>
    </w:rPr>
  </w:style>
  <w:style w:type="character" w:styleId="Nierozpoznanawzmianka1" w:customStyle="1">
    <w:name w:val="Nierozpoznana wzmianka1"/>
    <w:basedOn w:val="DefaultParagraphFont"/>
    <w:uiPriority w:val="99"/>
    <w:semiHidden/>
    <w:unhideWhenUsed/>
    <w:qFormat/>
    <w:rsid w:val="009522a6"/>
    <w:rPr>
      <w:color w:val="605E5C"/>
      <w:shd w:fill="E1DFDD" w:val="clear"/>
    </w:rPr>
  </w:style>
  <w:style w:type="character" w:styleId="CommentReference">
    <w:name w:val="annotation reference"/>
    <w:basedOn w:val="DefaultParagraphFont"/>
    <w:uiPriority w:val="99"/>
    <w:semiHidden/>
    <w:unhideWhenUsed/>
    <w:qFormat/>
    <w:rsid w:val="001125ac"/>
    <w:rPr>
      <w:sz w:val="16"/>
      <w:szCs w:val="16"/>
    </w:rPr>
  </w:style>
  <w:style w:type="character" w:styleId="TekstkomentarzaZnak" w:customStyle="1">
    <w:name w:val="Tekst komentarza Znak"/>
    <w:basedOn w:val="DefaultParagraphFont"/>
    <w:link w:val="CommentText"/>
    <w:uiPriority w:val="99"/>
    <w:semiHidden/>
    <w:qFormat/>
    <w:rsid w:val="001125ac"/>
    <w:rPr>
      <w:sz w:val="20"/>
      <w:szCs w:val="20"/>
    </w:rPr>
  </w:style>
  <w:style w:type="character" w:styleId="TematkomentarzaZnak" w:customStyle="1">
    <w:name w:val="Temat komentarza Znak"/>
    <w:basedOn w:val="TekstkomentarzaZnak"/>
    <w:link w:val="annotationsubject"/>
    <w:uiPriority w:val="99"/>
    <w:semiHidden/>
    <w:qFormat/>
    <w:rsid w:val="001125ac"/>
    <w:rPr>
      <w:b/>
      <w:bCs/>
      <w:sz w:val="20"/>
      <w:szCs w:val="20"/>
    </w:rPr>
  </w:style>
  <w:style w:type="character" w:styleId="UnresolvedMention">
    <w:name w:val="Unresolved Mention"/>
    <w:basedOn w:val="DefaultParagraphFont"/>
    <w:uiPriority w:val="99"/>
    <w:semiHidden/>
    <w:unhideWhenUsed/>
    <w:qFormat/>
    <w:rsid w:val="00567a34"/>
    <w:rPr>
      <w:color w:val="605E5C"/>
      <w:shd w:fill="E1DFDD" w:val="clear"/>
    </w:rPr>
  </w:style>
  <w:style w:type="character" w:styleId="InternetLink1" w:customStyle="1">
    <w:name w:val="Internet Link1"/>
    <w:qFormat/>
    <w:rPr>
      <w:color w:val="000080"/>
      <w:u w:val="single"/>
    </w:rPr>
  </w:style>
  <w:style w:type="character" w:styleId="InternetLink2" w:customStyle="1">
    <w:name w:val="Internet Link2"/>
    <w:qFormat/>
    <w:rPr>
      <w:color w:val="000080"/>
      <w:u w:val="single"/>
    </w:rPr>
  </w:style>
  <w:style w:type="character" w:styleId="Hyperlink">
    <w:name w:val="Hyperlink"/>
    <w:rPr>
      <w:color w:val="000080"/>
      <w:u w:val="single"/>
    </w:rPr>
  </w:style>
  <w:style w:type="character" w:styleId="Znakinumeracjiuser" w:customStyle="1">
    <w:name w:val="Znaki numeracji (user)"/>
    <w:qFormat/>
    <w:rPr/>
  </w:style>
  <w:style w:type="character" w:styleId="Znakiwypunktowaniauser" w:customStyle="1">
    <w:name w:val="Znaki wypunktowania (user)"/>
    <w:qFormat/>
    <w:rPr>
      <w:rFonts w:ascii="OpenSymbol" w:hAnsi="OpenSymbol" w:eastAsia="OpenSymbol" w:cs="OpenSymbol"/>
    </w:rPr>
  </w:style>
  <w:style w:type="character" w:styleId="Strong">
    <w:name w:val="Strong"/>
    <w:qFormat/>
    <w:rPr>
      <w:b/>
      <w:bCs/>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customStyle="1">
    <w:name w:val="Indeks"/>
    <w:basedOn w:val="Normal"/>
    <w:qFormat/>
    <w:pPr>
      <w:suppressLineNumbers/>
    </w:pPr>
    <w:rPr>
      <w:rFonts w:cs="Arial"/>
    </w:rPr>
  </w:style>
  <w:style w:type="paragraph" w:styleId="Gwkaistopka" w:customStyle="1">
    <w:name w:val="Główka i stopka"/>
    <w:basedOn w:val="Normal"/>
    <w:qFormat/>
    <w:pPr/>
    <w:rPr/>
  </w:style>
  <w:style w:type="paragraph" w:styleId="Header">
    <w:name w:val="header"/>
    <w:basedOn w:val="Normal"/>
    <w:next w:val="BodyText"/>
    <w:link w:val="NagwekZnak"/>
    <w:uiPriority w:val="99"/>
    <w:unhideWhenUsed/>
    <w:rsid w:val="003d1fb5"/>
    <w:pPr>
      <w:tabs>
        <w:tab w:val="clear" w:pos="708"/>
        <w:tab w:val="center" w:pos="4536" w:leader="none"/>
        <w:tab w:val="right" w:pos="9072" w:leader="none"/>
      </w:tabs>
      <w:spacing w:lineRule="auto" w:line="240" w:before="0" w:after="0"/>
    </w:pPr>
    <w:rPr/>
  </w:style>
  <w:style w:type="paragraph" w:styleId="Nagwekuser">
    <w:name w:val="Nagłówek (user)"/>
    <w:basedOn w:val="Normal"/>
    <w:next w:val="BodyText"/>
    <w:qFormat/>
    <w:pPr>
      <w:keepNext w:val="true"/>
      <w:spacing w:before="240" w:after="120"/>
    </w:pPr>
    <w:rPr>
      <w:rFonts w:ascii="Liberation Sans" w:hAnsi="Liberation Sans" w:eastAsia="Microsoft YaHei" w:cs="Arial"/>
      <w:sz w:val="28"/>
      <w:szCs w:val="28"/>
    </w:rPr>
  </w:style>
  <w:style w:type="paragraph" w:styleId="Indeksuser" w:customStyle="1">
    <w:name w:val="Indeks (user)"/>
    <w:basedOn w:val="Normal"/>
    <w:qFormat/>
    <w:pPr>
      <w:suppressLineNumbers/>
    </w:pPr>
    <w:rPr>
      <w:rFonts w:cs="Arial"/>
    </w:rPr>
  </w:style>
  <w:style w:type="paragraph" w:styleId="Gwkaistopkauser" w:customStyle="1">
    <w:name w:val="Główka i stopka (user)"/>
    <w:basedOn w:val="Normal"/>
    <w:qFormat/>
    <w:pPr/>
    <w:rPr/>
  </w:style>
  <w:style w:type="paragraph" w:styleId="Nagwek1" w:customStyle="1">
    <w:name w:val="Nagłówek1"/>
    <w:basedOn w:val="Normal"/>
    <w:next w:val="BodyText"/>
    <w:qFormat/>
    <w:pPr>
      <w:keepNext w:val="true"/>
      <w:spacing w:before="240" w:after="120"/>
    </w:pPr>
    <w:rPr>
      <w:rFonts w:ascii="Liberation Sans" w:hAnsi="Liberation Sans" w:eastAsia="Microsoft YaHei" w:cs="Arial"/>
      <w:sz w:val="28"/>
      <w:szCs w:val="28"/>
    </w:rPr>
  </w:style>
  <w:style w:type="paragraph" w:styleId="Footer">
    <w:name w:val="footer"/>
    <w:basedOn w:val="Normal"/>
    <w:link w:val="StopkaZnak"/>
    <w:uiPriority w:val="99"/>
    <w:unhideWhenUsed/>
    <w:rsid w:val="003d1fb5"/>
    <w:pPr>
      <w:tabs>
        <w:tab w:val="clear" w:pos="708"/>
        <w:tab w:val="center" w:pos="4536" w:leader="none"/>
        <w:tab w:val="right" w:pos="9072" w:leader="none"/>
      </w:tabs>
      <w:spacing w:lineRule="auto" w:line="240" w:before="0" w:after="0"/>
    </w:pPr>
    <w:rPr/>
  </w:style>
  <w:style w:type="paragraph" w:styleId="PlainText">
    <w:name w:val="Plain Text"/>
    <w:basedOn w:val="Normal"/>
    <w:link w:val="ZwykytekstZnak"/>
    <w:uiPriority w:val="99"/>
    <w:unhideWhenUsed/>
    <w:qFormat/>
    <w:rsid w:val="003d1fb5"/>
    <w:pPr>
      <w:spacing w:lineRule="auto" w:line="240" w:before="0" w:after="0"/>
    </w:pPr>
    <w:rPr>
      <w:rFonts w:ascii="Consolas" w:hAnsi="Consolas" w:eastAsia="Calibri" w:cs="Times New Roman"/>
      <w:sz w:val="21"/>
      <w:szCs w:val="21"/>
      <w:lang w:val="x-none"/>
    </w:rPr>
  </w:style>
  <w:style w:type="paragraph" w:styleId="ListParagraph">
    <w:name w:val="List Paragraph"/>
    <w:basedOn w:val="Normal"/>
    <w:uiPriority w:val="34"/>
    <w:qFormat/>
    <w:rsid w:val="003d1fb5"/>
    <w:pPr>
      <w:spacing w:lineRule="auto" w:line="276" w:before="0" w:after="200"/>
      <w:ind w:start="708"/>
    </w:pPr>
    <w:rPr>
      <w:rFonts w:ascii="Calibri" w:hAnsi="Calibri" w:eastAsia="Calibri" w:cs="Times New Roman"/>
    </w:rPr>
  </w:style>
  <w:style w:type="paragraph" w:styleId="CommentText">
    <w:name w:val="annotation text"/>
    <w:basedOn w:val="Normal"/>
    <w:link w:val="TekstkomentarzaZnak"/>
    <w:uiPriority w:val="99"/>
    <w:semiHidden/>
    <w:unhideWhenUsed/>
    <w:rsid w:val="001125ac"/>
    <w:pPr>
      <w:spacing w:lineRule="auto" w:line="240"/>
    </w:pPr>
    <w:rPr>
      <w:sz w:val="20"/>
      <w:szCs w:val="20"/>
    </w:rPr>
  </w:style>
  <w:style w:type="paragraph" w:styleId="annotationsubject">
    <w:name w:val="annotation subject"/>
    <w:basedOn w:val="CommentText"/>
    <w:next w:val="CommentText"/>
    <w:link w:val="TematkomentarzaZnak"/>
    <w:uiPriority w:val="99"/>
    <w:semiHidden/>
    <w:unhideWhenUsed/>
    <w:qFormat/>
    <w:rsid w:val="001125ac"/>
    <w:pPr/>
    <w:rPr>
      <w:b/>
      <w:bCs/>
    </w:rPr>
  </w:style>
  <w:style w:type="paragraph" w:styleId="v1msonormal" w:customStyle="1">
    <w:name w:val="v1msonormal"/>
    <w:basedOn w:val="Normal"/>
    <w:qFormat/>
    <w:rsid w:val="00e353ce"/>
    <w:pPr>
      <w:spacing w:lineRule="auto" w:line="240" w:beforeAutospacing="1" w:afterAutospacing="1"/>
    </w:pPr>
    <w:rPr>
      <w:rFonts w:ascii="Times New Roman" w:hAnsi="Times New Roman" w:eastAsia="Times New Roman" w:cs="Times New Roman"/>
      <w:sz w:val="24"/>
      <w:szCs w:val="24"/>
      <w:lang w:eastAsia="pl-PL"/>
    </w:rPr>
  </w:style>
  <w:style w:type="paragraph" w:styleId="Revision">
    <w:name w:val="Revision"/>
    <w:uiPriority w:val="99"/>
    <w:semiHidden/>
    <w:qFormat/>
    <w:rsid w:val="00cf1356"/>
    <w:pPr>
      <w:widowControl/>
      <w:suppressAutoHyphens w:val="true"/>
      <w:bidi w:val="0"/>
      <w:spacing w:before="0" w:after="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paragraph" w:styleId="Default" w:customStyle="1">
    <w:name w:val="Default"/>
    <w:qFormat/>
    <w:rsid w:val="001971c0"/>
    <w:pPr>
      <w:widowControl/>
      <w:suppressAutoHyphens w:val="false"/>
      <w:bidi w:val="0"/>
      <w:spacing w:before="0" w:after="0"/>
      <w:jc w:val="start"/>
    </w:pPr>
    <w:rPr>
      <w:rFonts w:ascii="Calibri" w:hAnsi="Calibri" w:eastAsia="Calibri" w:cs="Calibri"/>
      <w:color w:val="000000"/>
      <w:kern w:val="0"/>
      <w:sz w:val="24"/>
      <w:szCs w:val="24"/>
      <w:lang w:val="pl-PL" w:eastAsia="en-US" w:bidi="ar-SA"/>
    </w:rPr>
  </w:style>
  <w:style w:type="paragraph" w:styleId="Zawartoramki" w:customStyle="1">
    <w:name w:val="Zawartość ramki"/>
    <w:basedOn w:val="Normal"/>
    <w:qFormat/>
    <w:pPr/>
    <w:rPr/>
  </w:style>
  <w:style w:type="paragraph" w:styleId="Zawartoramkiuser" w:customStyle="1">
    <w:name w:val="Zawartość ramki (user)"/>
    <w:basedOn w:val="Normal"/>
    <w:qFormat/>
    <w:pPr/>
    <w:rPr/>
  </w:style>
  <w:style w:type="paragraph" w:styleId="Zawartotabeliuser" w:customStyle="1">
    <w:name w:val="Zawartość tabeli (user)"/>
    <w:basedOn w:val="Normal"/>
    <w:qFormat/>
    <w:pPr>
      <w:widowControl w:val="false"/>
      <w:suppressLineNumbers/>
    </w:pPr>
    <w:rPr/>
  </w:style>
  <w:style w:type="paragraph" w:styleId="Nagwektabeliuser" w:customStyle="1">
    <w:name w:val="Nagłówek tabeli (user)"/>
    <w:basedOn w:val="Zawartotabeliuser"/>
    <w:qFormat/>
    <w:pPr>
      <w:jc w:val="center"/>
    </w:pPr>
    <w:rPr>
      <w:b/>
      <w:bCs/>
    </w:rPr>
  </w:style>
  <w:style w:type="paragraph" w:styleId="Cytatblokowyuser" w:customStyle="1">
    <w:name w:val="Cytat blokowy (user)"/>
    <w:basedOn w:val="Normal"/>
    <w:qFormat/>
    <w:pPr>
      <w:spacing w:before="0" w:after="283"/>
      <w:ind w:start="567" w:end="567"/>
    </w:pPr>
    <w:rPr/>
  </w:style>
  <w:style w:type="paragraph" w:styleId="Liniapoziomauser" w:customStyle="1">
    <w:name w:val="Linia pozioma (user)"/>
    <w:basedOn w:val="Normal"/>
    <w:next w:val="BodyText"/>
    <w:qFormat/>
    <w:pPr>
      <w:suppressLineNumbers/>
      <w:pBdr>
        <w:bottom w:val="double" w:sz="2" w:space="0" w:color="808080"/>
      </w:pBdr>
      <w:spacing w:before="0" w:after="283"/>
    </w:pPr>
    <w:rPr>
      <w:sz w:val="12"/>
      <w:szCs w:val="12"/>
    </w:rPr>
  </w:style>
  <w:style w:type="numbering" w:styleId="Bezlistyuser" w:default="1">
    <w:name w:val="Bez listy (user)"/>
    <w:uiPriority w:val="99"/>
    <w:semiHidden/>
    <w:unhideWhenUsed/>
    <w:qFormat/>
  </w:style>
  <w:style w:type="numbering" w:styleId="Bezlisty1" w:customStyle="1">
    <w:name w:val="Bez listy1"/>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774AF-B25B-4D0C-8F59-5B34310E8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Application>LibreOffice/26.2.5.2$Windows_X86_64 LibreOffice_project/cd7284b4cbbfeb507e630c1aac019f4157393acb</Application>
  <AppVersion>15.0000</AppVersion>
  <Pages>6</Pages>
  <Words>1097</Words>
  <Characters>7276</Characters>
  <CharactersWithSpaces>8252</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2026-08-28T09:22:00Z</dcterms:created>
  <dc:creator>mario</dc:creator>
  <dc:description/>
  <dc:language>pl-PL</dc:language>
  <cp:lastModifiedBy/>
  <dcterms:modified xsi:type="dcterms:W3CDTF">2026-09-07T17:15:26Z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