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54E2" w14:textId="5732DEE1" w:rsidR="008D5932" w:rsidRDefault="00914C76" w:rsidP="008D5932">
      <w:pPr>
        <w:suppressAutoHyphens/>
        <w:spacing w:after="0" w:line="240" w:lineRule="auto"/>
        <w:rPr>
          <w:rFonts w:eastAsia="Times New Roman" w:cs="Calibri"/>
          <w:b/>
          <w:i/>
          <w:lang w:eastAsia="ar-SA"/>
        </w:rPr>
      </w:pPr>
      <w:r w:rsidRPr="008F64B8">
        <w:rPr>
          <w:rFonts w:eastAsia="Times New Roman" w:cs="Calibri"/>
          <w:b/>
          <w:i/>
          <w:lang w:eastAsia="ar-SA"/>
        </w:rPr>
        <w:t xml:space="preserve">Załącznik nr </w:t>
      </w:r>
      <w:r>
        <w:rPr>
          <w:rFonts w:eastAsia="Times New Roman" w:cs="Calibri"/>
          <w:b/>
          <w:i/>
          <w:lang w:eastAsia="ar-SA"/>
        </w:rPr>
        <w:t>2</w:t>
      </w:r>
      <w:r w:rsidRPr="008F64B8">
        <w:rPr>
          <w:rFonts w:eastAsia="Times New Roman" w:cs="Calibri"/>
          <w:b/>
          <w:i/>
          <w:lang w:eastAsia="ar-SA"/>
        </w:rPr>
        <w:t xml:space="preserve"> do zapytania ofertowego</w:t>
      </w:r>
      <w:r>
        <w:rPr>
          <w:rFonts w:eastAsia="Times New Roman" w:cs="Calibri"/>
          <w:b/>
          <w:i/>
          <w:lang w:eastAsia="ar-SA"/>
        </w:rPr>
        <w:t xml:space="preserve"> nr 1/202</w:t>
      </w:r>
      <w:r w:rsidR="00433D3F">
        <w:rPr>
          <w:rFonts w:eastAsia="Times New Roman" w:cs="Calibri"/>
          <w:b/>
          <w:i/>
          <w:lang w:eastAsia="ar-SA"/>
        </w:rPr>
        <w:t>1</w:t>
      </w:r>
      <w:r>
        <w:rPr>
          <w:rFonts w:eastAsia="Times New Roman" w:cs="Calibri"/>
          <w:b/>
          <w:i/>
          <w:lang w:eastAsia="ar-SA"/>
        </w:rPr>
        <w:t xml:space="preserve"> z dnia </w:t>
      </w:r>
      <w:r w:rsidR="006D2776">
        <w:rPr>
          <w:rFonts w:eastAsia="Times New Roman" w:cs="Calibri"/>
          <w:b/>
          <w:i/>
          <w:lang w:eastAsia="ar-SA"/>
        </w:rPr>
        <w:t>24</w:t>
      </w:r>
      <w:r>
        <w:rPr>
          <w:rFonts w:eastAsia="Times New Roman" w:cs="Calibri"/>
          <w:b/>
          <w:i/>
          <w:lang w:eastAsia="ar-SA"/>
        </w:rPr>
        <w:t>.</w:t>
      </w:r>
      <w:r w:rsidR="006D2776">
        <w:rPr>
          <w:rFonts w:eastAsia="Times New Roman" w:cs="Calibri"/>
          <w:b/>
          <w:i/>
          <w:lang w:eastAsia="ar-SA"/>
        </w:rPr>
        <w:t>05</w:t>
      </w:r>
      <w:r>
        <w:rPr>
          <w:rFonts w:eastAsia="Times New Roman" w:cs="Calibri"/>
          <w:b/>
          <w:i/>
          <w:lang w:eastAsia="ar-SA"/>
        </w:rPr>
        <w:t>.202</w:t>
      </w:r>
      <w:r w:rsidR="006D2776">
        <w:rPr>
          <w:rFonts w:eastAsia="Times New Roman" w:cs="Calibri"/>
          <w:b/>
          <w:i/>
          <w:lang w:eastAsia="ar-SA"/>
        </w:rPr>
        <w:t>1</w:t>
      </w:r>
    </w:p>
    <w:p w14:paraId="43D126A9" w14:textId="77777777" w:rsidR="005B5E64" w:rsidRDefault="005B5E64"/>
    <w:p w14:paraId="49C502F3" w14:textId="77777777" w:rsidR="00934743" w:rsidRPr="00934743" w:rsidRDefault="00934743" w:rsidP="00934743">
      <w:pPr>
        <w:jc w:val="center"/>
        <w:rPr>
          <w:b/>
        </w:rPr>
      </w:pPr>
      <w:r w:rsidRPr="00934743">
        <w:rPr>
          <w:b/>
        </w:rPr>
        <w:t>SPECYFIKACJA TECHNICZNA</w:t>
      </w:r>
    </w:p>
    <w:p w14:paraId="260F1126" w14:textId="77777777" w:rsidR="005B5E64" w:rsidRDefault="005B5E64"/>
    <w:p w14:paraId="2B11B5B9" w14:textId="39B0ED71" w:rsidR="004E7017" w:rsidRDefault="00914C76" w:rsidP="001879DD">
      <w:pPr>
        <w:jc w:val="both"/>
      </w:pPr>
      <w:r w:rsidRPr="00914C76">
        <w:t>W związku z planowaną realizacją w ramach projektu pt: „</w:t>
      </w:r>
      <w:r w:rsidR="000311C8" w:rsidRPr="000311C8">
        <w:t>Full-service marketplace oparty na technologii sztucznej inteligencji AITrueValue dla międzynarodowego rynku bussines-to-business, zwiększający sposób dystrybucji i popularyzacji ekologicznych pojazdów elektrycznych i hybrydowych</w:t>
      </w:r>
      <w:r w:rsidRPr="00914C76">
        <w:t xml:space="preserve">”, współfinansowanego ze środków Europejskiego Funduszu Rozwoju Regionalnego w ramach „Regionalnego Programu Operacyjnego Województwa Lubelskiego na lata 2014-2020”, Działanie 3.7: Wzrost konkurencyjności MŚP, </w:t>
      </w:r>
      <w:r w:rsidR="000311C8" w:rsidRPr="000311C8">
        <w:t xml:space="preserve">CAR CHECKED </w:t>
      </w:r>
      <w:r w:rsidRPr="00914C76">
        <w:t>Spółka z Ograniczoną Odpowiedzialnością ogłasza zgodnie z zasadą konkurencyjności postępowanie w trybie zapytania ofertowego na zakup dedykowanego systemu informatycznego.</w:t>
      </w:r>
    </w:p>
    <w:p w14:paraId="6B7135B0" w14:textId="3D702CF3" w:rsidR="002A73EE" w:rsidRDefault="000311C8" w:rsidP="002A73EE">
      <w:pPr>
        <w:widowControl w:val="0"/>
        <w:autoSpaceDE w:val="0"/>
        <w:autoSpaceDN w:val="0"/>
        <w:adjustRightInd w:val="0"/>
        <w:spacing w:after="0" w:line="240" w:lineRule="auto"/>
        <w:jc w:val="both"/>
      </w:pPr>
      <w:r w:rsidRPr="000311C8">
        <w:t>W ramach projektu planowana jest realizacja dedykowanego systemu informatycznego - oprogramowania platformy B2B nowej generacji typu full-service marketplace dla przedsiębiorców sprzedających i kupujących pojazdy elektryczne w obrocie międzynarodowym z autorskim algorytmem sztucznej inteligencji AITrueValue, Platforma będzie współpracowała z dwoma aplikacjami mobilnymi. Innowacyjna będzie składać się z 17 modułów. Moduły będą realizowane w terminie wymienionym poniżej:</w:t>
      </w:r>
    </w:p>
    <w:p w14:paraId="13794DC2" w14:textId="77777777" w:rsidR="000311C8" w:rsidRDefault="000311C8" w:rsidP="002A73EE">
      <w:pPr>
        <w:widowControl w:val="0"/>
        <w:autoSpaceDE w:val="0"/>
        <w:autoSpaceDN w:val="0"/>
        <w:adjustRightInd w:val="0"/>
        <w:spacing w:after="0" w:line="240" w:lineRule="auto"/>
        <w:jc w:val="both"/>
        <w:rPr>
          <w:rFonts w:eastAsia="Times New Roman" w:cs="Arial"/>
          <w:lang w:eastAsia="ar-SA"/>
        </w:rPr>
      </w:pPr>
    </w:p>
    <w:tbl>
      <w:tblPr>
        <w:tblStyle w:val="Tabela-Siatka"/>
        <w:tblW w:w="0" w:type="auto"/>
        <w:tblLook w:val="04A0" w:firstRow="1" w:lastRow="0" w:firstColumn="1" w:lastColumn="0" w:noHBand="0" w:noVBand="1"/>
      </w:tblPr>
      <w:tblGrid>
        <w:gridCol w:w="887"/>
        <w:gridCol w:w="3210"/>
        <w:gridCol w:w="1317"/>
        <w:gridCol w:w="1737"/>
        <w:gridCol w:w="1865"/>
      </w:tblGrid>
      <w:tr w:rsidR="000311C8" w14:paraId="4F1BB5FF" w14:textId="77777777" w:rsidTr="009A413F">
        <w:tc>
          <w:tcPr>
            <w:tcW w:w="8037" w:type="dxa"/>
            <w:gridSpan w:val="4"/>
          </w:tcPr>
          <w:p w14:paraId="792405F6" w14:textId="77777777" w:rsidR="000311C8" w:rsidRPr="00C67CFF" w:rsidRDefault="000311C8" w:rsidP="009A413F">
            <w:pPr>
              <w:widowControl w:val="0"/>
              <w:tabs>
                <w:tab w:val="left" w:pos="1815"/>
              </w:tabs>
              <w:autoSpaceDE w:val="0"/>
              <w:autoSpaceDN w:val="0"/>
              <w:adjustRightInd w:val="0"/>
              <w:jc w:val="both"/>
              <w:rPr>
                <w:rFonts w:eastAsia="Times New Roman" w:cs="Arial"/>
                <w:b/>
                <w:lang w:eastAsia="ar-SA"/>
              </w:rPr>
            </w:pPr>
            <w:bookmarkStart w:id="0" w:name="_Hlk480811067"/>
            <w:r w:rsidRPr="00C67CFF">
              <w:rPr>
                <w:rFonts w:eastAsia="Times New Roman" w:cs="Arial"/>
                <w:b/>
                <w:lang w:eastAsia="ar-SA"/>
              </w:rPr>
              <w:t xml:space="preserve">Termin realizacji całego systemu informatycznego: </w:t>
            </w:r>
          </w:p>
        </w:tc>
        <w:tc>
          <w:tcPr>
            <w:tcW w:w="2010" w:type="dxa"/>
            <w:shd w:val="clear" w:color="auto" w:fill="auto"/>
          </w:tcPr>
          <w:p w14:paraId="7605946B" w14:textId="02DE3B74" w:rsidR="000311C8" w:rsidRPr="000A408B" w:rsidRDefault="000311C8" w:rsidP="009A413F">
            <w:pPr>
              <w:widowControl w:val="0"/>
              <w:tabs>
                <w:tab w:val="left" w:pos="1815"/>
              </w:tabs>
              <w:autoSpaceDE w:val="0"/>
              <w:autoSpaceDN w:val="0"/>
              <w:adjustRightInd w:val="0"/>
              <w:jc w:val="center"/>
              <w:rPr>
                <w:rFonts w:eastAsia="Times New Roman" w:cs="Arial"/>
                <w:b/>
                <w:lang w:eastAsia="ar-SA"/>
              </w:rPr>
            </w:pPr>
            <w:r w:rsidRPr="000A408B">
              <w:rPr>
                <w:rFonts w:eastAsia="Times New Roman" w:cs="Arial"/>
                <w:b/>
                <w:lang w:eastAsia="ar-SA"/>
              </w:rPr>
              <w:t>do 31.</w:t>
            </w:r>
            <w:r w:rsidR="006D2776">
              <w:rPr>
                <w:rFonts w:eastAsia="Times New Roman" w:cs="Arial"/>
                <w:b/>
                <w:lang w:eastAsia="ar-SA"/>
              </w:rPr>
              <w:t>08</w:t>
            </w:r>
            <w:r w:rsidRPr="000A408B">
              <w:rPr>
                <w:rFonts w:eastAsia="Times New Roman" w:cs="Arial"/>
                <w:b/>
                <w:lang w:eastAsia="ar-SA"/>
              </w:rPr>
              <w:t>.202</w:t>
            </w:r>
            <w:r w:rsidR="006D2776">
              <w:rPr>
                <w:rFonts w:eastAsia="Times New Roman" w:cs="Arial"/>
                <w:b/>
                <w:lang w:eastAsia="ar-SA"/>
              </w:rPr>
              <w:t>2</w:t>
            </w:r>
            <w:r w:rsidRPr="000A408B">
              <w:rPr>
                <w:rFonts w:eastAsia="Times New Roman" w:cs="Arial"/>
                <w:b/>
                <w:lang w:eastAsia="ar-SA"/>
              </w:rPr>
              <w:t>r</w:t>
            </w:r>
          </w:p>
        </w:tc>
      </w:tr>
      <w:tr w:rsidR="000311C8" w14:paraId="2C881157" w14:textId="77777777" w:rsidTr="009A413F">
        <w:tc>
          <w:tcPr>
            <w:tcW w:w="10047" w:type="dxa"/>
            <w:gridSpan w:val="5"/>
            <w:shd w:val="clear" w:color="auto" w:fill="auto"/>
          </w:tcPr>
          <w:p w14:paraId="7521CB7B" w14:textId="77777777" w:rsidR="000311C8" w:rsidRPr="000A408B" w:rsidRDefault="000311C8" w:rsidP="009A413F">
            <w:pPr>
              <w:widowControl w:val="0"/>
              <w:tabs>
                <w:tab w:val="left" w:pos="1815"/>
              </w:tabs>
              <w:autoSpaceDE w:val="0"/>
              <w:autoSpaceDN w:val="0"/>
              <w:adjustRightInd w:val="0"/>
              <w:jc w:val="center"/>
              <w:rPr>
                <w:rFonts w:eastAsia="Times New Roman" w:cs="Arial"/>
                <w:b/>
                <w:lang w:eastAsia="ar-SA"/>
              </w:rPr>
            </w:pPr>
          </w:p>
        </w:tc>
      </w:tr>
      <w:tr w:rsidR="000311C8" w14:paraId="4EDA35C9" w14:textId="77777777" w:rsidTr="009A413F">
        <w:tc>
          <w:tcPr>
            <w:tcW w:w="988" w:type="dxa"/>
          </w:tcPr>
          <w:p w14:paraId="7B0E008E" w14:textId="77777777" w:rsidR="000311C8" w:rsidRPr="00B02263" w:rsidRDefault="000311C8" w:rsidP="009A413F">
            <w:pPr>
              <w:widowControl w:val="0"/>
              <w:autoSpaceDE w:val="0"/>
              <w:autoSpaceDN w:val="0"/>
              <w:adjustRightInd w:val="0"/>
              <w:jc w:val="center"/>
              <w:rPr>
                <w:rFonts w:eastAsia="Times New Roman" w:cs="Arial"/>
                <w:b/>
                <w:lang w:eastAsia="ar-SA"/>
              </w:rPr>
            </w:pPr>
            <w:r w:rsidRPr="00B02263">
              <w:rPr>
                <w:rFonts w:eastAsia="Times New Roman" w:cs="Arial"/>
                <w:b/>
                <w:lang w:eastAsia="ar-SA"/>
              </w:rPr>
              <w:t>Lp.</w:t>
            </w:r>
          </w:p>
        </w:tc>
        <w:tc>
          <w:tcPr>
            <w:tcW w:w="3543" w:type="dxa"/>
          </w:tcPr>
          <w:p w14:paraId="63385280" w14:textId="77777777" w:rsidR="000311C8" w:rsidRPr="00B02263" w:rsidRDefault="000311C8" w:rsidP="009A413F">
            <w:pPr>
              <w:widowControl w:val="0"/>
              <w:autoSpaceDE w:val="0"/>
              <w:autoSpaceDN w:val="0"/>
              <w:adjustRightInd w:val="0"/>
              <w:jc w:val="center"/>
              <w:rPr>
                <w:rFonts w:eastAsia="Times New Roman" w:cs="Arial"/>
                <w:b/>
                <w:lang w:eastAsia="ar-SA"/>
              </w:rPr>
            </w:pPr>
            <w:r w:rsidRPr="00B02263">
              <w:rPr>
                <w:rFonts w:eastAsia="Times New Roman" w:cs="Arial"/>
                <w:b/>
                <w:lang w:eastAsia="ar-SA"/>
              </w:rPr>
              <w:t>Nazwa modułu</w:t>
            </w:r>
          </w:p>
        </w:tc>
        <w:tc>
          <w:tcPr>
            <w:tcW w:w="1496" w:type="dxa"/>
          </w:tcPr>
          <w:p w14:paraId="02C1EFB7" w14:textId="77777777" w:rsidR="000311C8" w:rsidRPr="00B02263" w:rsidRDefault="000311C8" w:rsidP="009A413F">
            <w:pPr>
              <w:widowControl w:val="0"/>
              <w:autoSpaceDE w:val="0"/>
              <w:autoSpaceDN w:val="0"/>
              <w:adjustRightInd w:val="0"/>
              <w:jc w:val="center"/>
              <w:rPr>
                <w:rFonts w:eastAsia="Times New Roman" w:cs="Arial"/>
                <w:b/>
                <w:lang w:eastAsia="ar-SA"/>
              </w:rPr>
            </w:pPr>
            <w:r w:rsidRPr="00B02263">
              <w:rPr>
                <w:rFonts w:eastAsia="Times New Roman" w:cs="Arial"/>
                <w:b/>
                <w:lang w:eastAsia="ar-SA"/>
              </w:rPr>
              <w:t>Ilość w szt.</w:t>
            </w:r>
          </w:p>
        </w:tc>
        <w:tc>
          <w:tcPr>
            <w:tcW w:w="2010" w:type="dxa"/>
          </w:tcPr>
          <w:p w14:paraId="6515F294" w14:textId="77777777" w:rsidR="000311C8" w:rsidRPr="00B02263" w:rsidRDefault="000311C8" w:rsidP="009A413F">
            <w:pPr>
              <w:widowControl w:val="0"/>
              <w:autoSpaceDE w:val="0"/>
              <w:autoSpaceDN w:val="0"/>
              <w:adjustRightInd w:val="0"/>
              <w:jc w:val="center"/>
              <w:rPr>
                <w:rFonts w:eastAsia="Times New Roman" w:cs="Arial"/>
                <w:b/>
                <w:lang w:eastAsia="ar-SA"/>
              </w:rPr>
            </w:pPr>
            <w:r w:rsidRPr="00A719BA">
              <w:rPr>
                <w:rFonts w:eastAsia="Times New Roman" w:cs="Arial"/>
                <w:b/>
                <w:lang w:eastAsia="ar-SA"/>
              </w:rPr>
              <w:t>ETAP</w:t>
            </w:r>
          </w:p>
        </w:tc>
        <w:tc>
          <w:tcPr>
            <w:tcW w:w="2010" w:type="dxa"/>
            <w:shd w:val="clear" w:color="auto" w:fill="auto"/>
          </w:tcPr>
          <w:p w14:paraId="16081354" w14:textId="77777777" w:rsidR="000311C8" w:rsidRPr="000A408B" w:rsidRDefault="000311C8" w:rsidP="009A413F">
            <w:pPr>
              <w:widowControl w:val="0"/>
              <w:autoSpaceDE w:val="0"/>
              <w:autoSpaceDN w:val="0"/>
              <w:adjustRightInd w:val="0"/>
              <w:jc w:val="center"/>
              <w:rPr>
                <w:rFonts w:eastAsia="Times New Roman" w:cs="Arial"/>
                <w:b/>
                <w:lang w:eastAsia="ar-SA"/>
              </w:rPr>
            </w:pPr>
            <w:r w:rsidRPr="000A408B">
              <w:rPr>
                <w:rFonts w:eastAsia="Times New Roman" w:cs="Arial"/>
                <w:b/>
                <w:lang w:eastAsia="ar-SA"/>
              </w:rPr>
              <w:t>Termin realizacji</w:t>
            </w:r>
          </w:p>
        </w:tc>
      </w:tr>
      <w:tr w:rsidR="000311C8" w14:paraId="48191ACE" w14:textId="77777777" w:rsidTr="009A413F">
        <w:tc>
          <w:tcPr>
            <w:tcW w:w="988" w:type="dxa"/>
            <w:vAlign w:val="center"/>
          </w:tcPr>
          <w:p w14:paraId="244E49AC"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3543" w:type="dxa"/>
          </w:tcPr>
          <w:p w14:paraId="6A6D034E" w14:textId="77777777" w:rsidR="000311C8" w:rsidRDefault="000311C8" w:rsidP="009A413F">
            <w:pPr>
              <w:widowControl w:val="0"/>
              <w:autoSpaceDE w:val="0"/>
              <w:autoSpaceDN w:val="0"/>
              <w:adjustRightInd w:val="0"/>
              <w:rPr>
                <w:rFonts w:eastAsia="Times New Roman" w:cs="Arial"/>
                <w:lang w:eastAsia="ar-SA"/>
              </w:rPr>
            </w:pPr>
            <w:r w:rsidRPr="00972D86">
              <w:rPr>
                <w:rFonts w:eastAsia="Times New Roman" w:cs="Arial"/>
                <w:lang w:eastAsia="ar-SA"/>
              </w:rPr>
              <w:t>Moduł frameworka</w:t>
            </w:r>
          </w:p>
        </w:tc>
        <w:tc>
          <w:tcPr>
            <w:tcW w:w="1496" w:type="dxa"/>
            <w:vAlign w:val="center"/>
          </w:tcPr>
          <w:p w14:paraId="7324AD89"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612257AE"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7D8A923D" w14:textId="1B13A2E7"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72E9BCD3" w14:textId="77777777" w:rsidTr="009A413F">
        <w:tc>
          <w:tcPr>
            <w:tcW w:w="988" w:type="dxa"/>
            <w:vAlign w:val="center"/>
          </w:tcPr>
          <w:p w14:paraId="0626395D"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2.</w:t>
            </w:r>
          </w:p>
        </w:tc>
        <w:tc>
          <w:tcPr>
            <w:tcW w:w="3543" w:type="dxa"/>
          </w:tcPr>
          <w:p w14:paraId="0373672D" w14:textId="77777777" w:rsidR="000311C8" w:rsidRDefault="000311C8" w:rsidP="009A413F">
            <w:pPr>
              <w:widowControl w:val="0"/>
              <w:autoSpaceDE w:val="0"/>
              <w:autoSpaceDN w:val="0"/>
              <w:adjustRightInd w:val="0"/>
              <w:rPr>
                <w:rFonts w:eastAsia="Times New Roman" w:cs="Arial"/>
                <w:lang w:eastAsia="ar-SA"/>
              </w:rPr>
            </w:pPr>
            <w:r w:rsidRPr="00972D86">
              <w:rPr>
                <w:rFonts w:eastAsia="Times New Roman" w:cs="Arial"/>
                <w:lang w:eastAsia="ar-SA"/>
              </w:rPr>
              <w:t>Moduł platformy internetowej Full Service</w:t>
            </w:r>
            <w:r>
              <w:rPr>
                <w:rFonts w:eastAsia="Times New Roman" w:cs="Arial"/>
                <w:lang w:eastAsia="ar-SA"/>
              </w:rPr>
              <w:t xml:space="preserve"> </w:t>
            </w:r>
            <w:r w:rsidRPr="00972D86">
              <w:rPr>
                <w:rFonts w:eastAsia="Times New Roman" w:cs="Arial"/>
                <w:lang w:eastAsia="ar-SA"/>
              </w:rPr>
              <w:t>marketplace</w:t>
            </w:r>
          </w:p>
        </w:tc>
        <w:tc>
          <w:tcPr>
            <w:tcW w:w="1496" w:type="dxa"/>
            <w:vAlign w:val="center"/>
          </w:tcPr>
          <w:p w14:paraId="7D49DA46"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1547A0B9"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77EDA542" w14:textId="710D227D"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20D9A4B9" w14:textId="77777777" w:rsidTr="009A413F">
        <w:tc>
          <w:tcPr>
            <w:tcW w:w="988" w:type="dxa"/>
            <w:vAlign w:val="center"/>
          </w:tcPr>
          <w:p w14:paraId="0BFDE191"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3.</w:t>
            </w:r>
          </w:p>
        </w:tc>
        <w:tc>
          <w:tcPr>
            <w:tcW w:w="3543" w:type="dxa"/>
          </w:tcPr>
          <w:p w14:paraId="25C33558" w14:textId="77777777" w:rsidR="000311C8" w:rsidRDefault="000311C8" w:rsidP="009A413F">
            <w:pPr>
              <w:widowControl w:val="0"/>
              <w:autoSpaceDE w:val="0"/>
              <w:autoSpaceDN w:val="0"/>
              <w:adjustRightInd w:val="0"/>
              <w:rPr>
                <w:rFonts w:eastAsia="Times New Roman" w:cs="Arial"/>
                <w:lang w:eastAsia="ar-SA"/>
              </w:rPr>
            </w:pPr>
            <w:r w:rsidRPr="00972D86">
              <w:rPr>
                <w:rFonts w:eastAsia="Times New Roman" w:cs="Arial"/>
                <w:lang w:eastAsia="ar-SA"/>
              </w:rPr>
              <w:t>Moduł inspekcji pojazdów</w:t>
            </w:r>
          </w:p>
        </w:tc>
        <w:tc>
          <w:tcPr>
            <w:tcW w:w="1496" w:type="dxa"/>
            <w:vAlign w:val="center"/>
          </w:tcPr>
          <w:p w14:paraId="4CE23740"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1D6E7AA1"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326326F0" w14:textId="2771EBBA"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6F154BAA" w14:textId="77777777" w:rsidTr="009A413F">
        <w:tc>
          <w:tcPr>
            <w:tcW w:w="988" w:type="dxa"/>
            <w:vAlign w:val="center"/>
          </w:tcPr>
          <w:p w14:paraId="58911763"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4.</w:t>
            </w:r>
          </w:p>
        </w:tc>
        <w:tc>
          <w:tcPr>
            <w:tcW w:w="3543" w:type="dxa"/>
          </w:tcPr>
          <w:p w14:paraId="513B040F" w14:textId="77777777" w:rsidR="000311C8" w:rsidRDefault="000311C8" w:rsidP="009A413F">
            <w:pPr>
              <w:widowControl w:val="0"/>
              <w:autoSpaceDE w:val="0"/>
              <w:autoSpaceDN w:val="0"/>
              <w:adjustRightInd w:val="0"/>
              <w:rPr>
                <w:rFonts w:eastAsia="Times New Roman" w:cs="Arial"/>
                <w:lang w:eastAsia="ar-SA"/>
              </w:rPr>
            </w:pPr>
            <w:r w:rsidRPr="00972D86">
              <w:rPr>
                <w:rFonts w:eastAsia="Times New Roman" w:cs="Arial"/>
                <w:lang w:eastAsia="ar-SA"/>
              </w:rPr>
              <w:t>Moduł sztucznej inteligencji wyceny pojazdów</w:t>
            </w:r>
            <w:r>
              <w:rPr>
                <w:rFonts w:eastAsia="Times New Roman" w:cs="Arial"/>
                <w:lang w:eastAsia="ar-SA"/>
              </w:rPr>
              <w:t xml:space="preserve"> </w:t>
            </w:r>
            <w:r w:rsidRPr="00972D86">
              <w:rPr>
                <w:rFonts w:eastAsia="Times New Roman" w:cs="Arial"/>
                <w:lang w:eastAsia="ar-SA"/>
              </w:rPr>
              <w:t>elektrycznych i</w:t>
            </w:r>
            <w:r>
              <w:rPr>
                <w:rFonts w:eastAsia="Times New Roman" w:cs="Arial"/>
                <w:lang w:eastAsia="ar-SA"/>
              </w:rPr>
              <w:t xml:space="preserve"> </w:t>
            </w:r>
            <w:r w:rsidRPr="00972D86">
              <w:rPr>
                <w:rFonts w:eastAsia="Times New Roman" w:cs="Arial"/>
                <w:lang w:eastAsia="ar-SA"/>
              </w:rPr>
              <w:t>hybrydowych (AiTrueValue)</w:t>
            </w:r>
          </w:p>
        </w:tc>
        <w:tc>
          <w:tcPr>
            <w:tcW w:w="1496" w:type="dxa"/>
            <w:vAlign w:val="center"/>
          </w:tcPr>
          <w:p w14:paraId="60179E25"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051AE476"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73BB2F5F" w14:textId="126E5562"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6C66130D" w14:textId="77777777" w:rsidTr="009A413F">
        <w:tc>
          <w:tcPr>
            <w:tcW w:w="988" w:type="dxa"/>
            <w:vAlign w:val="center"/>
          </w:tcPr>
          <w:p w14:paraId="1F04B837"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5.</w:t>
            </w:r>
          </w:p>
        </w:tc>
        <w:tc>
          <w:tcPr>
            <w:tcW w:w="3543" w:type="dxa"/>
          </w:tcPr>
          <w:p w14:paraId="131BC869" w14:textId="77777777" w:rsidR="000311C8" w:rsidRDefault="000311C8" w:rsidP="009A413F">
            <w:pPr>
              <w:widowControl w:val="0"/>
              <w:autoSpaceDE w:val="0"/>
              <w:autoSpaceDN w:val="0"/>
              <w:adjustRightInd w:val="0"/>
              <w:rPr>
                <w:rFonts w:eastAsia="Times New Roman" w:cs="Arial"/>
                <w:lang w:eastAsia="ar-SA"/>
              </w:rPr>
            </w:pPr>
            <w:r w:rsidRPr="00972D86">
              <w:rPr>
                <w:rFonts w:eastAsia="Times New Roman" w:cs="Arial"/>
                <w:lang w:eastAsia="ar-SA"/>
              </w:rPr>
              <w:t>Moduł platformy internetowej Full Service</w:t>
            </w:r>
            <w:r>
              <w:rPr>
                <w:rFonts w:eastAsia="Times New Roman" w:cs="Arial"/>
                <w:lang w:eastAsia="ar-SA"/>
              </w:rPr>
              <w:t xml:space="preserve">n </w:t>
            </w:r>
            <w:r w:rsidRPr="00972D86">
              <w:rPr>
                <w:rFonts w:eastAsia="Times New Roman" w:cs="Arial"/>
                <w:lang w:eastAsia="ar-SA"/>
              </w:rPr>
              <w:t>marketplace Android</w:t>
            </w:r>
          </w:p>
        </w:tc>
        <w:tc>
          <w:tcPr>
            <w:tcW w:w="1496" w:type="dxa"/>
            <w:vAlign w:val="center"/>
          </w:tcPr>
          <w:p w14:paraId="2BE420FD"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69D25044"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445E300C" w14:textId="28860BDF"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2EEC1CBD" w14:textId="77777777" w:rsidTr="009A413F">
        <w:tc>
          <w:tcPr>
            <w:tcW w:w="988" w:type="dxa"/>
            <w:vAlign w:val="center"/>
          </w:tcPr>
          <w:p w14:paraId="22F5B9A2"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6.</w:t>
            </w:r>
          </w:p>
        </w:tc>
        <w:tc>
          <w:tcPr>
            <w:tcW w:w="3543" w:type="dxa"/>
          </w:tcPr>
          <w:p w14:paraId="47DF4282" w14:textId="77777777" w:rsidR="000311C8" w:rsidRDefault="000311C8" w:rsidP="009A413F">
            <w:pPr>
              <w:widowControl w:val="0"/>
              <w:autoSpaceDE w:val="0"/>
              <w:autoSpaceDN w:val="0"/>
              <w:adjustRightInd w:val="0"/>
              <w:rPr>
                <w:rFonts w:eastAsia="Times New Roman" w:cs="Arial"/>
                <w:lang w:eastAsia="ar-SA"/>
              </w:rPr>
            </w:pPr>
            <w:r w:rsidRPr="00972D86">
              <w:rPr>
                <w:rFonts w:eastAsia="Times New Roman" w:cs="Arial"/>
                <w:lang w:eastAsia="ar-SA"/>
              </w:rPr>
              <w:t>Moduł platformy internetowej Full Service</w:t>
            </w:r>
            <w:r>
              <w:rPr>
                <w:rFonts w:eastAsia="Times New Roman" w:cs="Arial"/>
                <w:lang w:eastAsia="ar-SA"/>
              </w:rPr>
              <w:t xml:space="preserve"> </w:t>
            </w:r>
            <w:r w:rsidRPr="00972D86">
              <w:rPr>
                <w:rFonts w:eastAsia="Times New Roman" w:cs="Arial"/>
                <w:lang w:eastAsia="ar-SA"/>
              </w:rPr>
              <w:t>marketplace iOs</w:t>
            </w:r>
          </w:p>
        </w:tc>
        <w:tc>
          <w:tcPr>
            <w:tcW w:w="1496" w:type="dxa"/>
            <w:vAlign w:val="center"/>
          </w:tcPr>
          <w:p w14:paraId="5B075A14"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44179DD6"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590EFC26" w14:textId="52131363"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0A537204" w14:textId="77777777" w:rsidTr="009A413F">
        <w:tc>
          <w:tcPr>
            <w:tcW w:w="988" w:type="dxa"/>
            <w:vAlign w:val="center"/>
          </w:tcPr>
          <w:p w14:paraId="33175DD2"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7.</w:t>
            </w:r>
          </w:p>
        </w:tc>
        <w:tc>
          <w:tcPr>
            <w:tcW w:w="3543" w:type="dxa"/>
          </w:tcPr>
          <w:p w14:paraId="22770EFE" w14:textId="77777777" w:rsidR="000311C8" w:rsidRDefault="000311C8" w:rsidP="009A413F">
            <w:pPr>
              <w:widowControl w:val="0"/>
              <w:autoSpaceDE w:val="0"/>
              <w:autoSpaceDN w:val="0"/>
              <w:adjustRightInd w:val="0"/>
              <w:rPr>
                <w:rFonts w:eastAsia="Times New Roman" w:cs="Arial"/>
                <w:lang w:eastAsia="ar-SA"/>
              </w:rPr>
            </w:pPr>
            <w:r w:rsidRPr="00972D86">
              <w:rPr>
                <w:rFonts w:eastAsia="Times New Roman" w:cs="Arial"/>
                <w:lang w:eastAsia="ar-SA"/>
              </w:rPr>
              <w:t>Moduł inspekcji pojazdów Android</w:t>
            </w:r>
          </w:p>
        </w:tc>
        <w:tc>
          <w:tcPr>
            <w:tcW w:w="1496" w:type="dxa"/>
            <w:vAlign w:val="center"/>
          </w:tcPr>
          <w:p w14:paraId="4C86E79C"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6E70347E"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619ACA65" w14:textId="04DFCA8A"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6880EBAF" w14:textId="77777777" w:rsidTr="009A413F">
        <w:tc>
          <w:tcPr>
            <w:tcW w:w="988" w:type="dxa"/>
            <w:vAlign w:val="center"/>
          </w:tcPr>
          <w:p w14:paraId="3E49B774"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8.</w:t>
            </w:r>
          </w:p>
        </w:tc>
        <w:tc>
          <w:tcPr>
            <w:tcW w:w="3543" w:type="dxa"/>
          </w:tcPr>
          <w:p w14:paraId="2D0FB93B" w14:textId="77777777" w:rsidR="000311C8" w:rsidRDefault="000311C8" w:rsidP="009A413F">
            <w:pPr>
              <w:widowControl w:val="0"/>
              <w:autoSpaceDE w:val="0"/>
              <w:autoSpaceDN w:val="0"/>
              <w:adjustRightInd w:val="0"/>
              <w:rPr>
                <w:rFonts w:eastAsia="Times New Roman" w:cs="Arial"/>
                <w:lang w:eastAsia="ar-SA"/>
              </w:rPr>
            </w:pPr>
            <w:r w:rsidRPr="00972D86">
              <w:rPr>
                <w:rFonts w:eastAsia="Times New Roman" w:cs="Arial"/>
                <w:lang w:eastAsia="ar-SA"/>
              </w:rPr>
              <w:t>Moduł inspekcji pojazdów iOs</w:t>
            </w:r>
          </w:p>
        </w:tc>
        <w:tc>
          <w:tcPr>
            <w:tcW w:w="1496" w:type="dxa"/>
            <w:vAlign w:val="center"/>
          </w:tcPr>
          <w:p w14:paraId="4F41C8FA"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29C7EFAB"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76424C95" w14:textId="2801E196"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353849E1" w14:textId="77777777" w:rsidTr="009A413F">
        <w:tc>
          <w:tcPr>
            <w:tcW w:w="988" w:type="dxa"/>
            <w:vAlign w:val="center"/>
          </w:tcPr>
          <w:p w14:paraId="34DE86A5"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9.</w:t>
            </w:r>
          </w:p>
        </w:tc>
        <w:tc>
          <w:tcPr>
            <w:tcW w:w="3543" w:type="dxa"/>
          </w:tcPr>
          <w:p w14:paraId="57E03B43" w14:textId="77777777" w:rsidR="000311C8" w:rsidRPr="007861E2" w:rsidRDefault="000311C8" w:rsidP="009A413F">
            <w:pPr>
              <w:widowControl w:val="0"/>
              <w:autoSpaceDE w:val="0"/>
              <w:autoSpaceDN w:val="0"/>
              <w:adjustRightInd w:val="0"/>
            </w:pPr>
            <w:r w:rsidRPr="00972D86">
              <w:t>Moduł badania historii pojazdu</w:t>
            </w:r>
          </w:p>
        </w:tc>
        <w:tc>
          <w:tcPr>
            <w:tcW w:w="1496" w:type="dxa"/>
            <w:vAlign w:val="center"/>
          </w:tcPr>
          <w:p w14:paraId="504E5294"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67C2DE6A"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39DB82DE" w14:textId="6BA5D876"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7A5BDE55" w14:textId="77777777" w:rsidTr="009A413F">
        <w:tc>
          <w:tcPr>
            <w:tcW w:w="988" w:type="dxa"/>
            <w:vAlign w:val="center"/>
          </w:tcPr>
          <w:p w14:paraId="4B76FE4D"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10.</w:t>
            </w:r>
          </w:p>
        </w:tc>
        <w:tc>
          <w:tcPr>
            <w:tcW w:w="3543" w:type="dxa"/>
          </w:tcPr>
          <w:p w14:paraId="2F06A757" w14:textId="77777777" w:rsidR="000311C8" w:rsidRPr="007861E2" w:rsidRDefault="000311C8" w:rsidP="009A413F">
            <w:pPr>
              <w:widowControl w:val="0"/>
              <w:autoSpaceDE w:val="0"/>
              <w:autoSpaceDN w:val="0"/>
              <w:adjustRightInd w:val="0"/>
            </w:pPr>
            <w:r w:rsidRPr="00972D86">
              <w:t>Moduł kontroli emisji CO2</w:t>
            </w:r>
          </w:p>
        </w:tc>
        <w:tc>
          <w:tcPr>
            <w:tcW w:w="1496" w:type="dxa"/>
            <w:vAlign w:val="center"/>
          </w:tcPr>
          <w:p w14:paraId="2D4E8681"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388ACACC"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3F92B5F9" w14:textId="16C0B942"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7611BF50" w14:textId="77777777" w:rsidTr="009A413F">
        <w:tc>
          <w:tcPr>
            <w:tcW w:w="988" w:type="dxa"/>
            <w:vAlign w:val="center"/>
          </w:tcPr>
          <w:p w14:paraId="316D4AA8"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11.</w:t>
            </w:r>
          </w:p>
        </w:tc>
        <w:tc>
          <w:tcPr>
            <w:tcW w:w="3543" w:type="dxa"/>
          </w:tcPr>
          <w:p w14:paraId="48D5D889" w14:textId="77777777" w:rsidR="000311C8" w:rsidRPr="007861E2" w:rsidRDefault="000311C8" w:rsidP="009A413F">
            <w:pPr>
              <w:widowControl w:val="0"/>
              <w:autoSpaceDE w:val="0"/>
              <w:autoSpaceDN w:val="0"/>
              <w:adjustRightInd w:val="0"/>
            </w:pPr>
            <w:r w:rsidRPr="00972D86">
              <w:t>Moduł kalkulacji kapitału ekologicznego</w:t>
            </w:r>
          </w:p>
        </w:tc>
        <w:tc>
          <w:tcPr>
            <w:tcW w:w="1496" w:type="dxa"/>
            <w:vAlign w:val="center"/>
          </w:tcPr>
          <w:p w14:paraId="4EE0E0E0"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241FDACD"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7519B3C0" w14:textId="7462583B"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6323AA1B" w14:textId="77777777" w:rsidTr="009A413F">
        <w:tc>
          <w:tcPr>
            <w:tcW w:w="988" w:type="dxa"/>
            <w:vAlign w:val="center"/>
          </w:tcPr>
          <w:p w14:paraId="21E555ED"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12.</w:t>
            </w:r>
          </w:p>
        </w:tc>
        <w:tc>
          <w:tcPr>
            <w:tcW w:w="3543" w:type="dxa"/>
          </w:tcPr>
          <w:p w14:paraId="761E344B" w14:textId="77777777" w:rsidR="000311C8" w:rsidRPr="007861E2" w:rsidRDefault="000311C8" w:rsidP="009A413F">
            <w:pPr>
              <w:widowControl w:val="0"/>
              <w:autoSpaceDE w:val="0"/>
              <w:autoSpaceDN w:val="0"/>
              <w:adjustRightInd w:val="0"/>
            </w:pPr>
            <w:r w:rsidRPr="00972D86">
              <w:t>Moduł kalkulacji kosztów celno-podatkowych</w:t>
            </w:r>
          </w:p>
        </w:tc>
        <w:tc>
          <w:tcPr>
            <w:tcW w:w="1496" w:type="dxa"/>
            <w:vAlign w:val="center"/>
          </w:tcPr>
          <w:p w14:paraId="7FC92138"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620C6AD6"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116B7993" w14:textId="689AFAF6"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6E23A35D" w14:textId="77777777" w:rsidTr="009A413F">
        <w:tc>
          <w:tcPr>
            <w:tcW w:w="988" w:type="dxa"/>
            <w:vAlign w:val="center"/>
          </w:tcPr>
          <w:p w14:paraId="6A41C65E"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13.</w:t>
            </w:r>
          </w:p>
        </w:tc>
        <w:tc>
          <w:tcPr>
            <w:tcW w:w="3543" w:type="dxa"/>
          </w:tcPr>
          <w:p w14:paraId="7863E7F3" w14:textId="77777777" w:rsidR="000311C8" w:rsidRPr="007861E2" w:rsidRDefault="000311C8" w:rsidP="009A413F">
            <w:pPr>
              <w:widowControl w:val="0"/>
              <w:autoSpaceDE w:val="0"/>
              <w:autoSpaceDN w:val="0"/>
              <w:adjustRightInd w:val="0"/>
            </w:pPr>
            <w:r w:rsidRPr="00972D86">
              <w:t>Moduł mini crm zarządzania kosztami celnopodatkowymi</w:t>
            </w:r>
          </w:p>
        </w:tc>
        <w:tc>
          <w:tcPr>
            <w:tcW w:w="1496" w:type="dxa"/>
            <w:vAlign w:val="center"/>
          </w:tcPr>
          <w:p w14:paraId="2BC65362"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7279A50C"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3FBDC461" w14:textId="64D6131D"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2BFDD145" w14:textId="77777777" w:rsidTr="009A413F">
        <w:tc>
          <w:tcPr>
            <w:tcW w:w="988" w:type="dxa"/>
            <w:vAlign w:val="center"/>
          </w:tcPr>
          <w:p w14:paraId="683F16BA"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14.</w:t>
            </w:r>
          </w:p>
        </w:tc>
        <w:tc>
          <w:tcPr>
            <w:tcW w:w="3543" w:type="dxa"/>
          </w:tcPr>
          <w:p w14:paraId="5757C5CB" w14:textId="77777777" w:rsidR="000311C8" w:rsidRPr="007861E2" w:rsidRDefault="000311C8" w:rsidP="009A413F">
            <w:pPr>
              <w:widowControl w:val="0"/>
              <w:autoSpaceDE w:val="0"/>
              <w:autoSpaceDN w:val="0"/>
              <w:adjustRightInd w:val="0"/>
            </w:pPr>
            <w:r w:rsidRPr="00972D86">
              <w:t>Moduł dopasowania transportu</w:t>
            </w:r>
          </w:p>
        </w:tc>
        <w:tc>
          <w:tcPr>
            <w:tcW w:w="1496" w:type="dxa"/>
            <w:vAlign w:val="center"/>
          </w:tcPr>
          <w:p w14:paraId="5D4BEFFC"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45427E53"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22F4FF96" w14:textId="15486ABD"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4E90F115" w14:textId="77777777" w:rsidTr="009A413F">
        <w:tc>
          <w:tcPr>
            <w:tcW w:w="988" w:type="dxa"/>
            <w:vAlign w:val="center"/>
          </w:tcPr>
          <w:p w14:paraId="43520B40"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15.</w:t>
            </w:r>
          </w:p>
        </w:tc>
        <w:tc>
          <w:tcPr>
            <w:tcW w:w="3543" w:type="dxa"/>
          </w:tcPr>
          <w:p w14:paraId="3D865F28" w14:textId="77777777" w:rsidR="000311C8" w:rsidRPr="007861E2" w:rsidRDefault="000311C8" w:rsidP="009A413F">
            <w:pPr>
              <w:widowControl w:val="0"/>
              <w:autoSpaceDE w:val="0"/>
              <w:autoSpaceDN w:val="0"/>
              <w:adjustRightInd w:val="0"/>
            </w:pPr>
            <w:r w:rsidRPr="00972D86">
              <w:t xml:space="preserve">Moduł mini crm zarządzania </w:t>
            </w:r>
            <w:r w:rsidRPr="00972D86">
              <w:lastRenderedPageBreak/>
              <w:t>transportem</w:t>
            </w:r>
          </w:p>
        </w:tc>
        <w:tc>
          <w:tcPr>
            <w:tcW w:w="1496" w:type="dxa"/>
            <w:vAlign w:val="center"/>
          </w:tcPr>
          <w:p w14:paraId="66FD5141"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lastRenderedPageBreak/>
              <w:t>1</w:t>
            </w:r>
          </w:p>
        </w:tc>
        <w:tc>
          <w:tcPr>
            <w:tcW w:w="2010" w:type="dxa"/>
            <w:vAlign w:val="center"/>
          </w:tcPr>
          <w:p w14:paraId="1F230EA5"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1EF5963A" w14:textId="1554F557"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188085E3" w14:textId="77777777" w:rsidTr="009A413F">
        <w:tc>
          <w:tcPr>
            <w:tcW w:w="988" w:type="dxa"/>
            <w:vAlign w:val="center"/>
          </w:tcPr>
          <w:p w14:paraId="297D8D72"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16.</w:t>
            </w:r>
          </w:p>
        </w:tc>
        <w:tc>
          <w:tcPr>
            <w:tcW w:w="3543" w:type="dxa"/>
          </w:tcPr>
          <w:p w14:paraId="50A80795" w14:textId="77777777" w:rsidR="000311C8" w:rsidRPr="007861E2" w:rsidRDefault="000311C8" w:rsidP="009A413F">
            <w:pPr>
              <w:widowControl w:val="0"/>
              <w:autoSpaceDE w:val="0"/>
              <w:autoSpaceDN w:val="0"/>
              <w:adjustRightInd w:val="0"/>
            </w:pPr>
            <w:r w:rsidRPr="00972D86">
              <w:t>Moduł śledzenia transportu</w:t>
            </w:r>
          </w:p>
        </w:tc>
        <w:tc>
          <w:tcPr>
            <w:tcW w:w="1496" w:type="dxa"/>
            <w:vAlign w:val="center"/>
          </w:tcPr>
          <w:p w14:paraId="5937CFAC"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4D26CC94"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64833476" w14:textId="388ECE48"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tr w:rsidR="000311C8" w14:paraId="29F5E9D2" w14:textId="77777777" w:rsidTr="009A413F">
        <w:tc>
          <w:tcPr>
            <w:tcW w:w="988" w:type="dxa"/>
            <w:vAlign w:val="center"/>
          </w:tcPr>
          <w:p w14:paraId="159D01FA"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17.</w:t>
            </w:r>
          </w:p>
        </w:tc>
        <w:tc>
          <w:tcPr>
            <w:tcW w:w="3543" w:type="dxa"/>
          </w:tcPr>
          <w:p w14:paraId="43618340" w14:textId="77777777" w:rsidR="000311C8" w:rsidRPr="007861E2" w:rsidRDefault="000311C8" w:rsidP="009A413F">
            <w:pPr>
              <w:widowControl w:val="0"/>
              <w:autoSpaceDE w:val="0"/>
              <w:autoSpaceDN w:val="0"/>
              <w:adjustRightInd w:val="0"/>
            </w:pPr>
            <w:r w:rsidRPr="00972D86">
              <w:t>Moduł raportowania i powiadomień</w:t>
            </w:r>
          </w:p>
        </w:tc>
        <w:tc>
          <w:tcPr>
            <w:tcW w:w="1496" w:type="dxa"/>
            <w:vAlign w:val="center"/>
          </w:tcPr>
          <w:p w14:paraId="0EF50745"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1</w:t>
            </w:r>
          </w:p>
        </w:tc>
        <w:tc>
          <w:tcPr>
            <w:tcW w:w="2010" w:type="dxa"/>
            <w:vAlign w:val="center"/>
          </w:tcPr>
          <w:p w14:paraId="69248D73" w14:textId="77777777" w:rsidR="000311C8" w:rsidRDefault="000311C8" w:rsidP="009A413F">
            <w:pPr>
              <w:widowControl w:val="0"/>
              <w:autoSpaceDE w:val="0"/>
              <w:autoSpaceDN w:val="0"/>
              <w:adjustRightInd w:val="0"/>
              <w:jc w:val="center"/>
              <w:rPr>
                <w:rFonts w:eastAsia="Times New Roman" w:cs="Arial"/>
                <w:lang w:eastAsia="ar-SA"/>
              </w:rPr>
            </w:pPr>
            <w:r>
              <w:rPr>
                <w:rFonts w:eastAsia="Times New Roman" w:cs="Arial"/>
                <w:lang w:eastAsia="ar-SA"/>
              </w:rPr>
              <w:t>I</w:t>
            </w:r>
          </w:p>
        </w:tc>
        <w:tc>
          <w:tcPr>
            <w:tcW w:w="2010" w:type="dxa"/>
            <w:shd w:val="clear" w:color="auto" w:fill="auto"/>
            <w:vAlign w:val="center"/>
          </w:tcPr>
          <w:p w14:paraId="3A535523" w14:textId="28943F1B" w:rsidR="000311C8" w:rsidRPr="000A408B" w:rsidRDefault="006D2776" w:rsidP="009A413F">
            <w:pPr>
              <w:widowControl w:val="0"/>
              <w:autoSpaceDE w:val="0"/>
              <w:autoSpaceDN w:val="0"/>
              <w:adjustRightInd w:val="0"/>
              <w:jc w:val="center"/>
              <w:rPr>
                <w:rFonts w:eastAsia="Times New Roman" w:cs="Arial"/>
                <w:lang w:eastAsia="ar-SA"/>
              </w:rPr>
            </w:pPr>
            <w:r w:rsidRPr="006D2776">
              <w:rPr>
                <w:rFonts w:eastAsia="Times New Roman" w:cs="Arial"/>
                <w:lang w:eastAsia="ar-SA"/>
              </w:rPr>
              <w:t>do 31.08.2022r</w:t>
            </w:r>
          </w:p>
        </w:tc>
      </w:tr>
      <w:bookmarkEnd w:id="0"/>
    </w:tbl>
    <w:p w14:paraId="14BB639A" w14:textId="77777777" w:rsidR="002A73EE" w:rsidRDefault="002A73EE" w:rsidP="007F2F3B">
      <w:pPr>
        <w:widowControl w:val="0"/>
        <w:autoSpaceDE w:val="0"/>
        <w:autoSpaceDN w:val="0"/>
        <w:adjustRightInd w:val="0"/>
        <w:spacing w:after="0" w:line="240" w:lineRule="auto"/>
        <w:jc w:val="both"/>
        <w:rPr>
          <w:rFonts w:eastAsia="Times New Roman" w:cs="Arial"/>
          <w:lang w:eastAsia="ar-SA"/>
        </w:rPr>
      </w:pPr>
    </w:p>
    <w:p w14:paraId="73E8D81E" w14:textId="77777777" w:rsidR="002A73EE" w:rsidRDefault="002A73EE" w:rsidP="007F2F3B">
      <w:pPr>
        <w:widowControl w:val="0"/>
        <w:autoSpaceDE w:val="0"/>
        <w:autoSpaceDN w:val="0"/>
        <w:adjustRightInd w:val="0"/>
        <w:spacing w:after="0" w:line="240" w:lineRule="auto"/>
        <w:jc w:val="both"/>
        <w:rPr>
          <w:rFonts w:eastAsia="Times New Roman" w:cs="Arial"/>
          <w:lang w:eastAsia="ar-SA"/>
        </w:rPr>
      </w:pPr>
    </w:p>
    <w:p w14:paraId="1B13AC3F" w14:textId="4BEC108B" w:rsidR="002A73EE" w:rsidRPr="00056C80" w:rsidRDefault="002A73EE" w:rsidP="000311C8">
      <w:pPr>
        <w:jc w:val="both"/>
        <w:rPr>
          <w:i/>
          <w:u w:val="single"/>
        </w:rPr>
      </w:pPr>
      <w:r w:rsidRPr="00056C80">
        <w:rPr>
          <w:i/>
          <w:u w:val="single"/>
        </w:rPr>
        <w:t>PODSTAWOWE INFORMACJE</w:t>
      </w:r>
    </w:p>
    <w:p w14:paraId="218479EC" w14:textId="77777777" w:rsidR="000311C8" w:rsidRDefault="000311C8" w:rsidP="000311C8">
      <w:pPr>
        <w:jc w:val="both"/>
      </w:pPr>
      <w:r>
        <w:t>Platforma B2B nowej generacji typu full-service marketplace dla przedsiębiorców sprzedających i kupujących pojazdy elektryczne w obrocie międzynarodowym z autorskim algorytmem sztucznej inteligencji AITrueValue. Platforma będzie współpracowała z dwoma aplikacjami mobilnymi.</w:t>
      </w:r>
    </w:p>
    <w:p w14:paraId="72461C63" w14:textId="77777777" w:rsidR="000311C8" w:rsidRDefault="000311C8" w:rsidP="000311C8">
      <w:pPr>
        <w:jc w:val="both"/>
      </w:pPr>
    </w:p>
    <w:p w14:paraId="06BBF103" w14:textId="5FF17CCD" w:rsidR="000311C8" w:rsidRPr="000311C8" w:rsidRDefault="000311C8" w:rsidP="000311C8">
      <w:pPr>
        <w:pStyle w:val="Akapitzlist"/>
        <w:numPr>
          <w:ilvl w:val="0"/>
          <w:numId w:val="41"/>
        </w:numPr>
        <w:jc w:val="both"/>
        <w:rPr>
          <w:b/>
        </w:rPr>
      </w:pPr>
      <w:r w:rsidRPr="000311C8">
        <w:rPr>
          <w:b/>
        </w:rPr>
        <w:t>Moduł frameworka</w:t>
      </w:r>
    </w:p>
    <w:p w14:paraId="7319BB0E" w14:textId="77777777" w:rsidR="000311C8" w:rsidRDefault="000311C8" w:rsidP="000311C8">
      <w:pPr>
        <w:jc w:val="both"/>
      </w:pPr>
      <w:r>
        <w:t>Framework to szkielet do budowy aplikacji. Definiuje on strukturę aplikacji oraz ogólny mechanizm jej działania, a także dostarcza zestaw komponentów i bibliotek ogólnego przeznaczenia do wykonywania określonych zadań. Szkielet jest fundamentem aplikacji, na tym fundamencie zostaną opracowane wszystkie wersje wszystkich modułów w wersji przeglądarkowej na urządzenia mobilne typu iOS, Android. Framework jest szkieletem/fundamentem to Full Service marketplace jest już zbudowaną aplikacją w wersji przeglądarkowej na tym fundamencie. Bez framework-a nie jest możliwa implementacja na serwerze i nie jest możliwe zbudowanie wersji przeglądarkowej i wersji mobilnych.</w:t>
      </w:r>
    </w:p>
    <w:p w14:paraId="3D2A066A" w14:textId="77777777" w:rsidR="000311C8" w:rsidRDefault="000311C8" w:rsidP="000311C8">
      <w:pPr>
        <w:jc w:val="both"/>
      </w:pPr>
    </w:p>
    <w:p w14:paraId="1044F3F1" w14:textId="7B09EF31" w:rsidR="000311C8" w:rsidRPr="000311C8" w:rsidRDefault="000311C8" w:rsidP="000311C8">
      <w:pPr>
        <w:pStyle w:val="Akapitzlist"/>
        <w:numPr>
          <w:ilvl w:val="0"/>
          <w:numId w:val="41"/>
        </w:numPr>
        <w:jc w:val="both"/>
        <w:rPr>
          <w:b/>
          <w:lang w:val="en-US"/>
        </w:rPr>
      </w:pPr>
      <w:r w:rsidRPr="000311C8">
        <w:rPr>
          <w:b/>
          <w:lang w:val="en-US"/>
        </w:rPr>
        <w:t>Moduł platformy internetowej Full Service marketplace</w:t>
      </w:r>
    </w:p>
    <w:p w14:paraId="404F1973" w14:textId="77777777" w:rsidR="000311C8" w:rsidRDefault="000311C8" w:rsidP="000311C8">
      <w:pPr>
        <w:spacing w:after="0"/>
        <w:jc w:val="both"/>
      </w:pPr>
      <w:r>
        <w:t>Fullservice marketplace nowej generacji w wersji przeglądarkowej, dostosowana dla dostępnych przeglądarek internetowych w wersji desktopowej.</w:t>
      </w:r>
    </w:p>
    <w:p w14:paraId="359033C2" w14:textId="77777777" w:rsidR="000311C8" w:rsidRDefault="000311C8" w:rsidP="000311C8">
      <w:pPr>
        <w:jc w:val="both"/>
      </w:pPr>
      <w:r>
        <w:t>Platforma łącząca przedsiębiorstwa, które zawodowo zajmują się handlem pojazdami elektrycznymi i hybrydowymi. Platforma jest przeznaczona wyłącznie dla klientów B2B kupujących pojazdy elektryczne i hybrydowe w ilościach hurtowych lub pojedynczo. W platformie użytkownicy będą mogli dokonywać zakupu wystawionych pojazdów poprzez dokładne wyszukiwanie poszczególnych parametrów: marki, modelu, daty produkcji, przebiegu, lokalizacji, promocji, korzyści środowiskowej, korzyści ekonomicznej podczas eksploatacji, koloru, mocy, liczby drzwi, statusu cło/VAT, formy transportu. Po dokonaniu wyboru przedsiębiorca w zależności od formy oferty jaką wybierze (tj. zakup natychmiastowy, aukcja, składanie ofert bezpośrednich, składanie zapotrzebowania, oferty hurtowe) będzie mógł dokonać zakupu. Unikatowe funkcje pozwolą skorzystać poprzez interfejs aplikacji i poznać bardzo precyzyjną wycenę pojazdu elektrycznego i hybrydowego oraz dokumentacje fotograficzną, informacje o pochodzeniu, pełne dane pojazdu, specyfikacja techniczna, wyposażenie wraz z numerem VIN i historią pojazdu kraj pochodzenia, informacje środowiskowe, emisja CO2, lokalizacja, szczegółowe informacje serwisowe, uszkodzenia, badanie grubości lakieru, stan ogumienia, producent, stan hamulców, informacje z jazdy próbnej, nagranie wideo z jazdy próbnej i dźwięku pracującego silnika i wiele innych parametrów. Wersja desktopowa platformy wyświetlająca użytkownikom wszystkie funkcje systemu i umożliwiająca dostęp do funkcjonalności.</w:t>
      </w:r>
    </w:p>
    <w:p w14:paraId="781E714A" w14:textId="77777777" w:rsidR="000311C8" w:rsidRDefault="000311C8" w:rsidP="000311C8">
      <w:pPr>
        <w:jc w:val="both"/>
      </w:pPr>
    </w:p>
    <w:p w14:paraId="42ED1F97" w14:textId="1CEDAE6B" w:rsidR="000311C8" w:rsidRPr="000311C8" w:rsidRDefault="000311C8" w:rsidP="000311C8">
      <w:pPr>
        <w:pStyle w:val="Akapitzlist"/>
        <w:numPr>
          <w:ilvl w:val="0"/>
          <w:numId w:val="41"/>
        </w:numPr>
        <w:jc w:val="both"/>
        <w:rPr>
          <w:b/>
        </w:rPr>
      </w:pPr>
      <w:r w:rsidRPr="000311C8">
        <w:rPr>
          <w:b/>
        </w:rPr>
        <w:t>Moduł inspekcji pojazdów</w:t>
      </w:r>
    </w:p>
    <w:p w14:paraId="1DE1B980" w14:textId="77777777" w:rsidR="000311C8" w:rsidRDefault="000311C8" w:rsidP="000311C8">
      <w:pPr>
        <w:jc w:val="both"/>
      </w:pPr>
      <w:r>
        <w:lastRenderedPageBreak/>
        <w:t>Moduł będzie prowadził osobę dokonującą inspekcji krok po kroku, przechodząc przez 150 punktów kontrolnych każdego pojazdu w szczegółowy i rzetelny sposób. Moduł będzie współpracował z dwiema aplikacjami mobilnymi na systemy Android i iOs zaprojektowanymi dla sprzedającego. Aplikacja będzie przeznaczona dla kadry Zamawiającego oraz akredytowanych partnerów dokonujących wyceny pojazdów. Po zalogowaniu aplikacja podczas inspekcji pojazdu przeprowadzi sprzedającego przez 150 punktów kontrolnych za pomocą tabletu z systemem iOs i Android. Moduł będzie dostępny przez dwie aplikacje partnera sprzedającego. Każdy krok będzie obrazował dokonującemu audyt z jakiej perspektywy wykonać zdjęcia i jak dokonać poszczególnych testów samochodu. Zaczynając od pełnej informacji o pojeździe, jego dokumentacji i danych o poprzednich właścicielach, zdjęć karoserii pojazdu, jego wnętrza, silnika, stanu akumulatorów, pomiaru grubości lakieru, uszkodzeń, stanu zawieszenia, układu hamulcowego i ogumienia oraz nagraniu wideo z jazdy próbnej. Wersja rozbudowana w wariancie desktop od strony administracyjnej w celu zarządzania i monitorowania przez kadrę Zamawiającego. Moduł posiadający oddzielną bazę danych ściśle współpracujący z algorytmem sztucznej inteligencji AiTrueValue.</w:t>
      </w:r>
    </w:p>
    <w:p w14:paraId="77962E93" w14:textId="77777777" w:rsidR="000311C8" w:rsidRDefault="000311C8" w:rsidP="000311C8">
      <w:pPr>
        <w:jc w:val="both"/>
      </w:pPr>
    </w:p>
    <w:p w14:paraId="5785BDC1" w14:textId="4360326A" w:rsidR="000311C8" w:rsidRPr="000311C8" w:rsidRDefault="000311C8" w:rsidP="000311C8">
      <w:pPr>
        <w:pStyle w:val="Akapitzlist"/>
        <w:numPr>
          <w:ilvl w:val="0"/>
          <w:numId w:val="41"/>
        </w:numPr>
        <w:jc w:val="both"/>
        <w:rPr>
          <w:b/>
        </w:rPr>
      </w:pPr>
      <w:r w:rsidRPr="000311C8">
        <w:rPr>
          <w:b/>
        </w:rPr>
        <w:t>Moduł sztucznej inteligencji wyceny pojazdów elektrycznych i hybrydowych (AiTrueValue)</w:t>
      </w:r>
    </w:p>
    <w:p w14:paraId="40CD74CC" w14:textId="77777777" w:rsidR="000311C8" w:rsidRDefault="000311C8" w:rsidP="000311C8">
      <w:pPr>
        <w:jc w:val="both"/>
      </w:pPr>
      <w:r>
        <w:t>Algorytm sztucznej inteligencji to autorskie rozwiązanie AITrueValue dokonujące wyceny pojazdów z niespotykaną dotąd precyzją. Algorytm poszukujący korelacji i wnioskujący, tworzący wycenę pojazdu na podstawie inspekcji wszystkich elementów pojazdu, jego historii, popytu, podaży, otoczenia ekonomicznego, kursu walut, zachowania użytkowników itd. Mózgiem całej platformy połączonej z aplikacjami i modułami będzie algorytm sztucznej inteligencji. Dzięki zaawansowanej technologii sprzedający użytkownicy otrzymają unikatowe możliwości efektywnej i uczciwej sprzedaży w najlepszej możliwej cenie. Dzięki wychwytywaniu korelatów algorytmu w sposób precyzyjny będzie w stanie wychwycić różnice cen pojazdów między jednym krajem lub regionem oraz identyfikować anomalie rynkowe. Algorytm będzie również w stanie bardzo precyzyjnie lokalizować zmniejszający lub zwiększający się popyt w danym regionie na daną markę, określony model i wersje pojazdu.</w:t>
      </w:r>
    </w:p>
    <w:p w14:paraId="25068E3A" w14:textId="77777777" w:rsidR="000311C8" w:rsidRDefault="000311C8" w:rsidP="000311C8">
      <w:pPr>
        <w:jc w:val="both"/>
      </w:pPr>
    </w:p>
    <w:p w14:paraId="078B11ED" w14:textId="6716F63A" w:rsidR="000311C8" w:rsidRPr="000311C8" w:rsidRDefault="000311C8" w:rsidP="000311C8">
      <w:pPr>
        <w:pStyle w:val="Akapitzlist"/>
        <w:numPr>
          <w:ilvl w:val="0"/>
          <w:numId w:val="41"/>
        </w:numPr>
        <w:jc w:val="both"/>
        <w:rPr>
          <w:b/>
          <w:lang w:val="en-US"/>
        </w:rPr>
      </w:pPr>
      <w:r w:rsidRPr="000311C8">
        <w:rPr>
          <w:b/>
          <w:lang w:val="en-US"/>
        </w:rPr>
        <w:t>Moduł platformy internetowej Full Service marketplace Android</w:t>
      </w:r>
    </w:p>
    <w:p w14:paraId="7D3B762E" w14:textId="77777777" w:rsidR="000311C8" w:rsidRDefault="000311C8" w:rsidP="000311C8">
      <w:pPr>
        <w:jc w:val="both"/>
      </w:pPr>
      <w:r>
        <w:t xml:space="preserve">Full-service marketplace nowej generacji w formie aplikacji mobilnej na platformie Android, dostosowany do obsługi na urządzeniach mobilnych działającej na tej platformie. Platforma łącząca przedsiębiorstwa, które zawodowo zajmują się handlem pojazdami elektrycznymi i hybrydowymi. Platforma jest przeznaczona wyłącznie dla klientów B2B kupujących pojazdy elektryczne i hybrydowe w ilościach hurtowych lub pojedynczo. W platformie użytkownicy będą mogli dokonywać zakupu wystawionych pojazdów poprzez dokładne wyszukiwanie poszczególnych parametrów: marki, modelu, daty produkcji, przebiegu, lokalizacji, promocji, korzyści środowiskowej, korzyści ekonomicznej podczas eksploatacji, koloru, mocy, liczby drzwi, statusu cło/VAT, formy transportu. Po dokonaniu wyboru przedsiębiorca w zależności od formy oferty jaką wybierze(tj. zakup natychmiastowy, aukcja, składanie ofert bezpośrednich, składanie zapotrzebowania, oferty hurtowe) będzie mógł dokonać zakupu. Unikatowe funkcje pozwolą skorzystać poprzez interfejs aplikacji i poznać bardzo precyzyjną wycenę pojazdu elektrycznego i hybrydowego oraz dokumentacje fotograficzną, informacje o pochodzeniu, pełne dane pojazdu, specyfikacja techniczna, wyposażenie wraz z numerem VIN i historią pojazdu, kraj pochodzenia, informacje środowiskowe, emisja CO2, lokalizacja, szczegółowe informacje serwisowe, uszkodzenia, badanie grubości lakieru, stan ogumienia, producent, stan hamulców, informacje z jazdy próbnej, nagranie wideo z jazdy próbnej i </w:t>
      </w:r>
      <w:r>
        <w:lastRenderedPageBreak/>
        <w:t>dźwięku pracującego silnika i wiele innych. Wersja mobilna platformy w formie aplikacji na platformie Android wyświetlająca użytkownikom wszystkie funkcje.</w:t>
      </w:r>
    </w:p>
    <w:p w14:paraId="6D31AEAE" w14:textId="77777777" w:rsidR="000311C8" w:rsidRDefault="000311C8" w:rsidP="000311C8">
      <w:pPr>
        <w:jc w:val="both"/>
      </w:pPr>
    </w:p>
    <w:p w14:paraId="26073FAD" w14:textId="0D9FFDC0" w:rsidR="000311C8" w:rsidRPr="000311C8" w:rsidRDefault="000311C8" w:rsidP="000311C8">
      <w:pPr>
        <w:pStyle w:val="Akapitzlist"/>
        <w:numPr>
          <w:ilvl w:val="0"/>
          <w:numId w:val="41"/>
        </w:numPr>
        <w:jc w:val="both"/>
        <w:rPr>
          <w:b/>
          <w:lang w:val="en-US"/>
        </w:rPr>
      </w:pPr>
      <w:r w:rsidRPr="000311C8">
        <w:rPr>
          <w:b/>
          <w:lang w:val="en-US"/>
        </w:rPr>
        <w:t>Moduł platformy internetowej Full Service marketplace iOs</w:t>
      </w:r>
    </w:p>
    <w:p w14:paraId="7F228A10" w14:textId="77777777" w:rsidR="000311C8" w:rsidRDefault="000311C8" w:rsidP="000311C8">
      <w:pPr>
        <w:jc w:val="both"/>
      </w:pPr>
      <w:r>
        <w:t>Full-service marketplace nowej generacji w formie aplikacji mobilnej na platformie iOs, dostosowany do obsługi na urządzeniach mobilnych działającej na tej platformie. Platforma łącząca przedsiębiorstwa, które zawodowo zajmują się handlem pojazdami elektrycznymi i hybrydowymi. Platforma jest przeznaczona wyłącznie dla klientów B2B kupujących pojazdy elektryczne i hybrydowe w ilościach hurtowych lub pojedynczo. W platformie użytkownicy będą mogli dokonywać zakupu wystawionych pojazdów poprzez dokładne wyszukiwanie poszczególnych parametrów: marki, modelu, daty produkcji, przebiegu, lokalizacji, promocji, korzyści środowiskowej, korzyści ekonomicznej podczas eksploatacji, koloru, mocy, liczby drzwi, statusu cło/VAT, formy transportu. Po dokonaniu wyboru przedsiębiorca w zależności od formy oferty jaką wybierze(tj. zakup natychmiastowy, aukcja, składanie ofert bezpośrednich, składanie zapotrzebowania, oferty hurtowe) będzie mógł dokonać zakupu. Unikatowe funkcje pozwolą skorzystać poprzez interfejs aplikacji i poznać bardzo precyzyjną wycenę pojazdu elektrycznego i hybrydowego oraz dokumentacje fotograficzną, informacje o pochodzeniu, pełne dane pojazdu, specyfikacja techniczna, wyposażenie oraz z numerem VIN i historią pojazdu, kraj pochodzenia, informacje środowiskowe, emisja CO2, lokalizacja, szczegółowe informacje serwisowe, uszkodzenia, badanie grubości lakieru, stan ogumienia, producent, stan hamulców, informacje z jazdy próbnej, nagranie wideo z jazdy próbnej i dźwięku pracującego silnika i wiele innych parametrów. Wersja mobilna platformy w formie aplikacji na platformie iOs wyświetlająca użytkownikom funkcje.</w:t>
      </w:r>
    </w:p>
    <w:p w14:paraId="6B178D2F" w14:textId="77777777" w:rsidR="000311C8" w:rsidRDefault="000311C8" w:rsidP="000311C8">
      <w:pPr>
        <w:jc w:val="both"/>
      </w:pPr>
    </w:p>
    <w:p w14:paraId="01902A35" w14:textId="310B7E7C" w:rsidR="000311C8" w:rsidRPr="000311C8" w:rsidRDefault="000311C8" w:rsidP="000311C8">
      <w:pPr>
        <w:pStyle w:val="Akapitzlist"/>
        <w:numPr>
          <w:ilvl w:val="0"/>
          <w:numId w:val="41"/>
        </w:numPr>
        <w:jc w:val="both"/>
        <w:rPr>
          <w:b/>
        </w:rPr>
      </w:pPr>
      <w:r w:rsidRPr="000311C8">
        <w:rPr>
          <w:b/>
        </w:rPr>
        <w:t>Moduł inspekcji pojazdów Android</w:t>
      </w:r>
    </w:p>
    <w:p w14:paraId="12AFD68C" w14:textId="77777777" w:rsidR="000311C8" w:rsidRDefault="000311C8" w:rsidP="000311C8">
      <w:pPr>
        <w:jc w:val="both"/>
      </w:pPr>
      <w:r>
        <w:t>Moduł będzie prowadził osobę dokonującą inspekcji krok po kroku, przechodząc przez 150 punktów kontrolnych każdego pojazdu w szczegółowy i rzetelny sposób. Moduł to wersja mobilna na systemy Android zaprojektowana dla sprzedającego. Aplikacja będzie przeznaczona dla kadry wnioskodawcy oraz akredytowanych partnerów dokonujących wyceny pojazdów. Po zalogowaniu aplikacja podczas inspekcji pojazdu przeprowadzi sprzedającego przez 150 punktów kontrolnych za pomocą tabletu z systemem Android. Moduł będzie dostępny przez aplikacje partnera sprzedającego. Każdy krok będzie obrazował dokonującemu audyt z jakiej perspektywy wykonać zdjęcia i jak dokonać poszczególnych testów samochodu. Zaczynając od pełnej informacji o pojeździe, jego dokumentacji i danych o poprzednich właścicielach, zdjęć karoserii pojazdu, jego wnętrza, silnika, stanu akumulatorów, pomiaru grubości lakieru, uszkodzeń, stanu zawieszenia, układu hamulcowego i ogumienia oraz nagraniu wideo z jazdy próbnej.</w:t>
      </w:r>
    </w:p>
    <w:p w14:paraId="7EC6818A" w14:textId="77777777" w:rsidR="000311C8" w:rsidRDefault="000311C8" w:rsidP="000311C8">
      <w:pPr>
        <w:jc w:val="both"/>
      </w:pPr>
    </w:p>
    <w:p w14:paraId="206477D2" w14:textId="020815C8" w:rsidR="000311C8" w:rsidRPr="000311C8" w:rsidRDefault="000311C8" w:rsidP="000311C8">
      <w:pPr>
        <w:pStyle w:val="Akapitzlist"/>
        <w:numPr>
          <w:ilvl w:val="0"/>
          <w:numId w:val="41"/>
        </w:numPr>
        <w:jc w:val="both"/>
        <w:rPr>
          <w:b/>
        </w:rPr>
      </w:pPr>
      <w:r w:rsidRPr="000311C8">
        <w:rPr>
          <w:b/>
        </w:rPr>
        <w:t>Moduł inspekcji pojazdów iOs</w:t>
      </w:r>
    </w:p>
    <w:p w14:paraId="495565B7" w14:textId="77777777" w:rsidR="000311C8" w:rsidRDefault="000311C8" w:rsidP="000311C8">
      <w:pPr>
        <w:jc w:val="both"/>
      </w:pPr>
      <w:r>
        <w:t xml:space="preserve">Moduł będzie prowadził osobę dokonującą inspekcji krok po kroku, przechodząc przez 150 punktów kontrolnych każdego pojazdu w szczegółowy i rzetelny sposób. Moduł to wersja mobilna na systemy iOs zaprojektowana dla sprzedającego. Aplikacja będzie przeznaczona dla kadry wnioskodawcy oraz akredytowanych partnerów dokonujących wyceny pojazdów. Po zalogowaniu aplikacja podczas inspekcji pojazdu przeprowadzi sprzedającego przez 150 punktów kontrolnych za pomocą tabletu z </w:t>
      </w:r>
      <w:r>
        <w:lastRenderedPageBreak/>
        <w:t>systemem iOs. Moduł będzie dostępny przez aplikacje partnera sprzedającego. Każdy krok będzie obrazował dokonującemu audyt z jakiej perspektywy wykonać zdjęcia i jak dokonać poszczególnych testów samochodu. Zaczynając od pełnej informacji o pojeździe, jego dokumentacji i danych o poprzednich właścicielach, zdjęć karoserii pojazdu, jego wnętrza, silnika, stanu akumulatorów, pomiaru grubości lakieru, uszkodzeń, stanu zawieszenia, układu hamulcowego i ogumienia oraz nagraniu wideo z jazdy próbnej.</w:t>
      </w:r>
    </w:p>
    <w:p w14:paraId="6C2C00AF" w14:textId="77777777" w:rsidR="000311C8" w:rsidRDefault="000311C8" w:rsidP="000311C8">
      <w:pPr>
        <w:jc w:val="both"/>
      </w:pPr>
    </w:p>
    <w:p w14:paraId="6F23264B" w14:textId="56CC78EC" w:rsidR="000311C8" w:rsidRPr="000311C8" w:rsidRDefault="000311C8" w:rsidP="000311C8">
      <w:pPr>
        <w:pStyle w:val="Akapitzlist"/>
        <w:numPr>
          <w:ilvl w:val="0"/>
          <w:numId w:val="41"/>
        </w:numPr>
        <w:jc w:val="both"/>
        <w:rPr>
          <w:b/>
        </w:rPr>
      </w:pPr>
      <w:r w:rsidRPr="000311C8">
        <w:rPr>
          <w:b/>
        </w:rPr>
        <w:t>Moduł badania historii pojazdu</w:t>
      </w:r>
    </w:p>
    <w:p w14:paraId="3280FAAA" w14:textId="77777777" w:rsidR="000311C8" w:rsidRDefault="000311C8" w:rsidP="000311C8">
      <w:pPr>
        <w:jc w:val="both"/>
      </w:pPr>
      <w:r>
        <w:t>Pierwszym elementem charakteryzującym ten moduł jest pobranie danych z baz rządowych i prywatnych za pomocą API. W tym miejscu zostanie stworzony "kanał" do pobierania danych z baz i raportów w tym Cepik. Aby system mógł samodzielnie pobierać dane moduł będzie musiał posiadać API dostosowane baz i raportów. Funkcjonalność polegająca na imporcie danych ilościowych. Unikatowym elementem modułu będzie parametryzowanie danych o samochodzie hybrydowym lub elektrycznym, na podstawie scoringu parametrów, bez tych zmiennych sztuczna inteligencja nie dokona właściwej wyceny pojazdów. Bardzo istotną funkcją modułu jest dystrybucja zweryfikowanych i z walidowanych danych do algorytmu sztucznej inteligencji, właściwe targowanie w przypadku nieprecyzyjnych rekordów. Zamawiający będzie pozyskiwać dane również z innych źródeł takich jak raporty i budować własną bazę danych. Ich import i obróbka, walidacja i przygotowanie do korelacji jest kluczowym zadaniem opisanego modułu. Ma to kluczowy element dla procesu wnioskowania algorytmu i rozwoju. Bez prezentowanego modułu algorytm sztucznej inteligencji otrzyma masę niespójnych i chaotycznych danych, które stworzą bezwartościowe efekty wnioskowania algorytmu AiTrueValue.</w:t>
      </w:r>
    </w:p>
    <w:p w14:paraId="191D297F" w14:textId="77777777" w:rsidR="000311C8" w:rsidRDefault="000311C8" w:rsidP="000311C8">
      <w:pPr>
        <w:jc w:val="both"/>
      </w:pPr>
    </w:p>
    <w:p w14:paraId="0ECDA988" w14:textId="365778A5" w:rsidR="000311C8" w:rsidRPr="000311C8" w:rsidRDefault="000311C8" w:rsidP="000311C8">
      <w:pPr>
        <w:pStyle w:val="Akapitzlist"/>
        <w:numPr>
          <w:ilvl w:val="0"/>
          <w:numId w:val="41"/>
        </w:numPr>
        <w:jc w:val="both"/>
        <w:rPr>
          <w:b/>
        </w:rPr>
      </w:pPr>
      <w:r w:rsidRPr="000311C8">
        <w:rPr>
          <w:b/>
        </w:rPr>
        <w:t>Moduł kontroli emisji CO2</w:t>
      </w:r>
    </w:p>
    <w:p w14:paraId="02ED8952" w14:textId="77777777" w:rsidR="000311C8" w:rsidRDefault="000311C8" w:rsidP="000311C8">
      <w:pPr>
        <w:jc w:val="both"/>
      </w:pPr>
      <w:r>
        <w:t>Moduł nie ma charakteru informacyjnego, lecz będzie odpowiadał za określone funkcje. Zadaniem modułu nie jest wyłącznie prezentacja danych z raportów i baz takich jak Cepik. Raporty diagnostyczne firm weryfikujących stan pojazdu również nie informują o wszystkich elementach zużywających się i powodujących efekt zanieczyszczających środowisko. Raporty te nie podają klasy i rodzaju baterii, klasy ogniw użytych w bateriach, rodzajów pojazdów hybrydowych ich obiegów nie mówiąc o aspektach eksploatacyjnych. Żaden z dostawców danych nie danych ukazujących zawartość pierwiastkowo używanych w pojazdach hybrydowych takich jak kadm, rtęć i innych metali ciężkich. Moduł będzie podawał pełne informacje środowiskowe. Ten aspekt wpływa w sposób kluczowy na efekt środowiskowy i poziom śladu węglowego. Aby właściwie diagnozować dane system będzie  skupiał się na tym aspekcie i posiadał rozwojową bazę z funkcją kalkulacyjną do poszczególnych modeli pojazdów. Baza takich danych nie istnieje i żaden z prezentowanych dostawców nie rozpoczął ich budowy. Prezentowane podejście ma charakter obiektywny i całkowicie bezkonkurencyjny tworząc tym samym szereg innowacji w skali świata. Moduł będzie interpretował dane i podejmował działania. Algorytm nie dopuści samochodów bez określonego poziomu śladu węglowego określając go na podstawie danych z wielu źródeł. Moduł będzie miał również funkcję kontrolną weryfikującą spalanie na podstawie rosnącej własnej bazy danych. Same nie przygotowane właściwie dane nie mają wartości dla algorytmu sztucznej inteligencji i dla użytkownika końcowego. Funkcje walidacyjną, kontrolną i apozycyjną.</w:t>
      </w:r>
    </w:p>
    <w:p w14:paraId="6DB9CA21" w14:textId="77777777" w:rsidR="000311C8" w:rsidRDefault="000311C8" w:rsidP="000311C8">
      <w:pPr>
        <w:jc w:val="both"/>
      </w:pPr>
    </w:p>
    <w:p w14:paraId="0B8C4ECD" w14:textId="2498F999" w:rsidR="000311C8" w:rsidRPr="000311C8" w:rsidRDefault="000311C8" w:rsidP="000311C8">
      <w:pPr>
        <w:pStyle w:val="Akapitzlist"/>
        <w:numPr>
          <w:ilvl w:val="0"/>
          <w:numId w:val="41"/>
        </w:numPr>
        <w:jc w:val="both"/>
        <w:rPr>
          <w:b/>
        </w:rPr>
      </w:pPr>
      <w:r w:rsidRPr="000311C8">
        <w:rPr>
          <w:b/>
        </w:rPr>
        <w:lastRenderedPageBreak/>
        <w:t>Moduł kalkulacji kapitału ekologicznego</w:t>
      </w:r>
    </w:p>
    <w:p w14:paraId="20B7CDCA" w14:textId="77777777" w:rsidR="000311C8" w:rsidRDefault="000311C8" w:rsidP="000311C8">
      <w:pPr>
        <w:jc w:val="both"/>
      </w:pPr>
      <w:r>
        <w:t>Moduł łączący aspekt kalkulacji właściwej korzyści środowiskowej i finansowych z użytkowania pojazdu elektrycznego. Połączenie funkcji kalkulacyjnych z marketingową wspierającą budowanie świadomości klienta detalicznego i rozwoju sprzedaży partnera biznesowego. Moduł stanowi bezpośrednią warstwę dla partnera sprzedającego przez co jest kluczowym  elementem systemu. Moduł posiada dwie główne warstwy logiczne w tym jedną warstw pośrednią będącą jej funkcjonalnością.</w:t>
      </w:r>
    </w:p>
    <w:p w14:paraId="465E8484" w14:textId="77777777" w:rsidR="000311C8" w:rsidRDefault="000311C8" w:rsidP="000311C8">
      <w:pPr>
        <w:jc w:val="both"/>
      </w:pPr>
      <w:r>
        <w:t>Warstwa logiczna administracyjna z szeregiem poziomów uprawnień, która pozwoli na kontrolę i nadzór nad efektami pracy modułu. Jej celem jest również udowodnienie założeń badawczych na poziomie rynkowym i w przyszłości rozwój procesu badawczego. Druga warstwa logiczna to warstwa partnera sprzedażowego, klienta biznesowego zawierająca całkowicie inne odnośniki GUI i funkcje. W obu warstwach zostanie zaimplementowany mechanizm kalkulacyjny wyświetlający rezultaty kalkulacji dla trzech warstw logicznych. Funkcja będzie pokazywała poziom wytworzonego kapitału odnawialnego. Każda oferta będzie zawierała efekt wyliczeń korzyści ekologicznej i finansowej. Dzięki symulacji porównującej poziom eksploatacji silników spalinowych z elektrycznymi, łączącej średni przebieg roczny, do każdego pojazdu zostanie przedstawiona kalkulacja oszczędności finansowej i ekologicznej. Klient będzie mógł dokładnie stwierdzić, ile pieniędzy zaoszczędzi, wybierając pojazd elektryczny i o ile mniej szkodliwie wpłynie na środowisko.</w:t>
      </w:r>
    </w:p>
    <w:p w14:paraId="330E9665" w14:textId="77777777" w:rsidR="000311C8" w:rsidRDefault="000311C8" w:rsidP="000311C8">
      <w:pPr>
        <w:jc w:val="both"/>
      </w:pPr>
    </w:p>
    <w:p w14:paraId="51AC5D62" w14:textId="6F83552B" w:rsidR="000311C8" w:rsidRPr="000311C8" w:rsidRDefault="000311C8" w:rsidP="000311C8">
      <w:pPr>
        <w:pStyle w:val="Akapitzlist"/>
        <w:numPr>
          <w:ilvl w:val="0"/>
          <w:numId w:val="41"/>
        </w:numPr>
        <w:jc w:val="both"/>
        <w:rPr>
          <w:b/>
        </w:rPr>
      </w:pPr>
      <w:r w:rsidRPr="000311C8">
        <w:rPr>
          <w:b/>
        </w:rPr>
        <w:t>Moduł kalkulacji kosztów celno-podatkowych</w:t>
      </w:r>
    </w:p>
    <w:p w14:paraId="5C875762" w14:textId="77777777" w:rsidR="000311C8" w:rsidRDefault="000311C8" w:rsidP="000311C8">
      <w:pPr>
        <w:jc w:val="both"/>
      </w:pPr>
      <w:r>
        <w:t>Prezentowany system jest bardzo złożonym narzędziem, które posiada wielu użytkowników. Prezentowany system jest rozwiązaniem wielowarstwowym. Tym samym wyświetlane informacje i funkcje dla każdego użytkownika są inne. Portal będzie posiadał trzech głównych użytkowników i wielu użytkowników pośrednich odpowiedzialnych za obsługę, którzy muszą korzystać z innych warstw logicznych systemu i różnych typów interfejsów GUI (ang. Graphic User Interface). Użytkownik partner sprzedający, partner kupujący, administracja - obsługa portalu. Czołowymi użytkownicy pośrednimi będą serwisy partnerskie i ich reprezentanci oraz użytkownicy pośredni do użytkowników głównych. System będzie również posiadał wielu użytkowników o mniejszej randze z którymi będzie się łączył dzięki api. Prezentowane moduły dotykają tematyki celnopodatkowych, ale oba są oddzielnymi modułami działającymi dla innych użytkowników w innych warstwach systemu, które wyświetlają inne informacje i posiadają inne funkcje. Moduły mają inne zadania dla innych użytkowników, a prezentowanych schemat ilości i funkcji modułów został zaprojektowany ze względu na uporządkowania złożonego procesu i realizowanie idei LEAN.</w:t>
      </w:r>
    </w:p>
    <w:p w14:paraId="4F304230" w14:textId="77777777" w:rsidR="000311C8" w:rsidRDefault="000311C8" w:rsidP="000311C8">
      <w:pPr>
        <w:jc w:val="both"/>
      </w:pPr>
      <w:r>
        <w:t>Kalkulacja kosztów celno-podatkowych odnosi się do precyzyjnej kalkulacji kwot opodatkowania na wielu etapach procesu importowego, współpracy z pozostałymi modułami i wyświetlania użytkownikowi: partner kupujący precyzyjnej ceny ostatecznej całego przedsięwzięcia. Ta precyzyjna metoda pozwoli klientowi od razu kalkulować wszystkie koszty bez pojawiających się kosztów ukrytych.</w:t>
      </w:r>
    </w:p>
    <w:p w14:paraId="09680162" w14:textId="77777777" w:rsidR="000311C8" w:rsidRDefault="000311C8" w:rsidP="000311C8">
      <w:pPr>
        <w:jc w:val="both"/>
      </w:pPr>
    </w:p>
    <w:p w14:paraId="7609CD30" w14:textId="4FBD1025" w:rsidR="000311C8" w:rsidRPr="000311C8" w:rsidRDefault="000311C8" w:rsidP="000311C8">
      <w:pPr>
        <w:pStyle w:val="Akapitzlist"/>
        <w:numPr>
          <w:ilvl w:val="0"/>
          <w:numId w:val="41"/>
        </w:numPr>
        <w:jc w:val="both"/>
        <w:rPr>
          <w:b/>
        </w:rPr>
      </w:pPr>
      <w:r w:rsidRPr="000311C8">
        <w:rPr>
          <w:b/>
        </w:rPr>
        <w:t>Moduł mini crm zarządzania kosztami celnopodatkowymi</w:t>
      </w:r>
    </w:p>
    <w:p w14:paraId="71119A4E" w14:textId="77777777" w:rsidR="000311C8" w:rsidRDefault="000311C8" w:rsidP="000311C8">
      <w:pPr>
        <w:jc w:val="both"/>
      </w:pPr>
      <w:r>
        <w:t xml:space="preserve">Moduł mini crm zarzadzania kosztami celno-skarbowymi odnosi się do innej warstwy logicznej systemu. Model działalności biznesowej Car Checked zakłada, iż to Zamawiający jest podmiotem </w:t>
      </w:r>
      <w:r>
        <w:lastRenderedPageBreak/>
        <w:t>zakupującym pojazdy elektryczne i hybrydowe z zagranicy i odsprzedaje partnerowi kupującemu. Ten model biznesowy zakłada zabezpieczanie klienta kupującego oraz możliwość zwiększenia komfortu poprzez uregulowanie wszystkich płatności za pomocą jednej płatności. Ten model biznesowy  gwarantuje kontrole nad jakością usług i towaru, jednak niesie za sobą szereg obowiązków  celnoskarbowo-podatkowych, za które będzie odpowiedzialny Zamawiający. Zatem moduł Mini CRM odnosi się do funkcji administracyjnych w warstwie logicznej organizacyjnej systemu. Użytkownik to admin i konta zależne obsługi platformy. Moduł Mini crm to funkcjonalności wewnętrznych, organizacyjnych po stronie wnioskodawcy, budujące bardzo wysoki poziom usługi. Obowiązki te wiążą się z dotrzymywaniem nieprzekraczalnych terminów składania dokumentów oraz dokonywania płatności do organów celno-skarbowych, obieg i przechowywanie dokumentacji wykonanych transakcji, również odprawy celnej na terenie innego państwa UE. Tak wymagający i złożony proces wymaga szybkiej, sprawnej i precyzyjnej organizacji połączonej z terminowością i jakością obsługi klienta. Moduł uczyni z szeregu obowiązków powtarzalny proces realizowany na zasadzie małych iteracji.</w:t>
      </w:r>
    </w:p>
    <w:p w14:paraId="4B598384" w14:textId="77777777" w:rsidR="000311C8" w:rsidRDefault="000311C8" w:rsidP="000311C8">
      <w:pPr>
        <w:jc w:val="both"/>
      </w:pPr>
    </w:p>
    <w:p w14:paraId="44174F6C" w14:textId="27C76F89" w:rsidR="000311C8" w:rsidRPr="000311C8" w:rsidRDefault="000311C8" w:rsidP="000311C8">
      <w:pPr>
        <w:pStyle w:val="Akapitzlist"/>
        <w:numPr>
          <w:ilvl w:val="0"/>
          <w:numId w:val="41"/>
        </w:numPr>
        <w:jc w:val="both"/>
        <w:rPr>
          <w:b/>
        </w:rPr>
      </w:pPr>
      <w:r w:rsidRPr="000311C8">
        <w:rPr>
          <w:b/>
        </w:rPr>
        <w:t>Moduł dopasowania transportu</w:t>
      </w:r>
    </w:p>
    <w:p w14:paraId="4D4EAE5C" w14:textId="77777777" w:rsidR="000311C8" w:rsidRDefault="000311C8" w:rsidP="000311C8">
      <w:pPr>
        <w:jc w:val="both"/>
      </w:pPr>
      <w:r>
        <w:t>Moduł dopasowania transportu - moduł funkcjonalnie będzie realizował złożone zadania dopasowania wielopoziomowego transportu morskiego i lądowego. Możliwość dopasowania i wyboru transportu z poziomu jednej witryny. Jest to zestaw funkcji zaprojektowanych do celów rezerwacyjnych. Żaden z prezentowanych konkurentów nie rozwinął tego typu rozwiązania w swojej strukturze mimo olbrzymiego zaplecza i nieograniczonych zasobów. Warstwa logiczna systemu skupia po stronie administracyjnej opartej na integracji z systemem rezerwacyjnym dostawcy usług logistycznych. Warstwa informacyjna i warstwa logiczna generowania poleceń po stronie partnera sprzedającego i zarzadzania procesem przygotowania i odbioru pojazdu wraz z walidacją niezbędnej dokumentacji. Istotnym aspektem jest funkcja dopasowania partnera logistycznego i przyporządkowania zestawu dokumentacji do danego pojazdu. Następnie dopasowanie ceny i lokalizacji odbioru i dostawy. Złożonym zagadnieniem funkcjonalnym będzie łączenie i korelacja dwóch procesów logistycznych w sposób liniowy i wynikowy. Ten aspekt funkcjonalny będzie niezbędny przy połączeniu transportu morskiego i lądowego, dostawa do portu-transport morski-odbiór z portu i dostarczenie pojazdu pod drzwi klienta. Warstwa logiczna GUI klient – partner kupujący eksponowana jako funkcja do wyboru i szacowania czasu dostawy i jego kosztów. Mimo iż klient ostateczny we warstwie front end będzie widział bardzo prosty efekt w postaci łącznej ceny i opcji transportu to w warstwie back end będzie zachodził szereg złożonych procesów połączonych partnerami zewnętrznymi.</w:t>
      </w:r>
    </w:p>
    <w:p w14:paraId="5E83EE3D" w14:textId="77777777" w:rsidR="000311C8" w:rsidRDefault="000311C8" w:rsidP="000311C8">
      <w:pPr>
        <w:jc w:val="both"/>
      </w:pPr>
    </w:p>
    <w:p w14:paraId="06578CCE" w14:textId="5BE24E3D" w:rsidR="000311C8" w:rsidRPr="000311C8" w:rsidRDefault="000311C8" w:rsidP="000311C8">
      <w:pPr>
        <w:pStyle w:val="Akapitzlist"/>
        <w:numPr>
          <w:ilvl w:val="0"/>
          <w:numId w:val="41"/>
        </w:numPr>
        <w:jc w:val="both"/>
        <w:rPr>
          <w:b/>
        </w:rPr>
      </w:pPr>
      <w:r w:rsidRPr="000311C8">
        <w:rPr>
          <w:b/>
        </w:rPr>
        <w:t>Moduł mini crm zarządzania transportem</w:t>
      </w:r>
    </w:p>
    <w:p w14:paraId="67C16ADD" w14:textId="77777777" w:rsidR="000311C8" w:rsidRDefault="000311C8" w:rsidP="000311C8">
      <w:pPr>
        <w:jc w:val="both"/>
      </w:pPr>
      <w:r>
        <w:t>Zakres funkcjonalny modułu będzie budował i realizował złożone procesy organizacyjne na etapie wewnętrznego zarządzania transportem po stronie administracyjnej sytemu związanej z transportem. Przedmiotem obiegu danych z jednej strony jest dokumentacja transportowa, a walidacja spełnienia obowiązków transportowych, zachowanie zasad bezpieczeństwa, walidacja rozliczenia z przewoźnikiem oraz aspekt zamknięcia tego liniowego procesu i otwarcia nowych procesów w innych modułach.</w:t>
      </w:r>
    </w:p>
    <w:p w14:paraId="022D8AB0" w14:textId="77777777" w:rsidR="000311C8" w:rsidRDefault="000311C8" w:rsidP="000311C8">
      <w:pPr>
        <w:jc w:val="both"/>
      </w:pPr>
      <w:r>
        <w:t xml:space="preserve">Założenie działania systemu mają charakter liniowych procesów iteracyjnych gdzie zamknięcie wskazanych iteracji otwiera nowy proces w nowej iteracji. Ma zastosowanie w przypadku </w:t>
      </w:r>
      <w:r>
        <w:lastRenderedPageBreak/>
        <w:t>zastosowania współpracy z innymi modułami gdzie zamknięta iteracja otwiera nowy proces module zarządzania i w pozostały wskazanych modułach. Ze względu na to iż Zmawiający staje się właścicielem towaru podczas dostarczenia go do klienta narzuca wiele obowiązków związanych z organizacją transportu i ubezpieczenia pojazdu elektrycznego i hybrydowego podczas transportu. Wiąże się z tym potrzeba zarządzania komunikacją z partnerem przewoźnikiem, partnerem ubezpieczycielem, zarządzania rozliczeniami, zarządzania dokumentacją. W przypadku niepożądanych zdarzeń podczas transportu, uszkodzenia towaru lub jego kradzieży również dokumentacja ma kluczowe znaczenie dla jakości obsługi i bezpieczeństwa klientów platformy. Aby spełnić bardzo surowe standardy dostawy towaru do klienta na czas transportu Zamawiający będzie musiał bardzo szybko reagować na wszelkiego rodzaju opóźnienia.</w:t>
      </w:r>
    </w:p>
    <w:p w14:paraId="282E32B8" w14:textId="77777777" w:rsidR="000311C8" w:rsidRDefault="000311C8" w:rsidP="000311C8">
      <w:pPr>
        <w:jc w:val="both"/>
      </w:pPr>
    </w:p>
    <w:p w14:paraId="0F5C79D7" w14:textId="1D27EC17" w:rsidR="000311C8" w:rsidRPr="000311C8" w:rsidRDefault="000311C8" w:rsidP="000311C8">
      <w:pPr>
        <w:pStyle w:val="Akapitzlist"/>
        <w:numPr>
          <w:ilvl w:val="0"/>
          <w:numId w:val="41"/>
        </w:numPr>
        <w:jc w:val="both"/>
        <w:rPr>
          <w:b/>
        </w:rPr>
      </w:pPr>
      <w:r w:rsidRPr="000311C8">
        <w:rPr>
          <w:b/>
        </w:rPr>
        <w:t>Moduł śledzenia transportu</w:t>
      </w:r>
    </w:p>
    <w:p w14:paraId="69BAF20A" w14:textId="77777777" w:rsidR="000311C8" w:rsidRDefault="000311C8" w:rsidP="000311C8">
      <w:pPr>
        <w:jc w:val="both"/>
      </w:pPr>
      <w:r>
        <w:t>Moduł śledzenia transportu - śledzenie transportu z poziomu klienta. Śledzenie z poziomu prezentacji mapy postępu transportu. Ze względu na dużą wartość zakupionych towarów, taka forma prezentacji podczas dostawy jest niezbędna w celu podniesienia poziomu obsługi klienta. Jednocześnie moduł nie ma charakteru powiadomień i raportowania. Jest to funkcja zaprojektowana dla klienta kupującego, który będzie mógł sprawdzić wszystkie szczegóły procesu z poziomu GUI desktopu i aplikacji mobilnych. Funkcje moduły przełożą się na bardzo złożony poziom śledzenia towarów i pełnej informacji systemowej w formie graficznej podejmowanej na żądanie klienta. Pozwoli na ukazywanie klientowi dokładnego położenia frachtu na mapie i postępu w transporcie. Moduł dzięki połączeniu z aplikacjami mobilnymi i wersją przeglądarkową da możliwości pełnej i bardzo szczegółowej informacji o towarze klienta w bardzo dokładnych szczegółach, tworząc złożoną komunikacje klienta z system i tym samym budując profesjonalną obsługę systemową gwarantującą klientowi bezpieczeństwo i budując zaufanie podczas współpracy biznesowej. Bardzo istotną funkcją będzie realizowanie wielości procesów przy większej ilości zamawianych pojazdów elektrycznych i hybrydowych. Dzięki tej funkcji klient będzie mógł obserwować bardzo szczegółową wersje całości procesu wyświetlaną w wybranej przez niego formie na wybranym urządzeniu.</w:t>
      </w:r>
    </w:p>
    <w:p w14:paraId="43E447AB" w14:textId="77777777" w:rsidR="000311C8" w:rsidRDefault="000311C8" w:rsidP="000311C8">
      <w:pPr>
        <w:jc w:val="both"/>
      </w:pPr>
    </w:p>
    <w:p w14:paraId="279E4363" w14:textId="259E5FF9" w:rsidR="000311C8" w:rsidRPr="000311C8" w:rsidRDefault="000311C8" w:rsidP="000311C8">
      <w:pPr>
        <w:pStyle w:val="Akapitzlist"/>
        <w:numPr>
          <w:ilvl w:val="0"/>
          <w:numId w:val="41"/>
        </w:numPr>
        <w:jc w:val="both"/>
        <w:rPr>
          <w:b/>
        </w:rPr>
      </w:pPr>
      <w:r w:rsidRPr="000311C8">
        <w:rPr>
          <w:b/>
        </w:rPr>
        <w:t>Moduł raportowania i powiadomień</w:t>
      </w:r>
    </w:p>
    <w:p w14:paraId="5BA43025" w14:textId="55419FF7" w:rsidR="000311C8" w:rsidRDefault="000311C8" w:rsidP="000311C8">
      <w:pPr>
        <w:jc w:val="both"/>
      </w:pPr>
      <w:r>
        <w:t>Moduł będzie realizował powiadomienia dwupoziomowe dla klienta, administracji i innych użytkowników głównych i pobocznych, powiadomienia korzystające z danych i iteracji aktywujących funkcje w poszczególnych modułach zbudują wyjątkową efektywność i szybkość pracy systemu w formie aktywacji poszczególnych modułów jednocześnie w formie linowej. Alterowanie postępu procesu administracyjnego to kluczowy element modelu biznesowego, który zakłada funkcjonowanie firmy w modelu LEAN Startup. Alterowanie wielopoziomowe, konfigurowalne przez każdego z użytkowników systemu we wszystkich warstwach logicznych. Alterowanie na każdym poziomie iteracji po aktywacji poszczególnych funkcji to kluczowe założenie efektywnej komunikacji wewnątrz systemowej i komunikacji pomiędzy użytkownikami na wielu poziomach i warstwach logicznych. Podział na moduły w schemacie metodologii funkcjonalnej jest kluczowym ogniwem zarządzania w systemie jako całości, walidacji, kontroli, obróbki danych, dystrybucji przygotowanych danych, elementu wnioskowania i uczenia algorytmu. Dzięki tak ustawionym procesom wbudowanym w prezentowane moduły przedsiębiorstwo będzie w stanie zrealizować swoją strategie automatyzacji skomplikowanych procesów i uszczuplenia kosztów stałych. Alterowanie wielopoziomowe, konfigurowalne przez każdego z użytkowników systemu we wszystkich warstwach logicznych.</w:t>
      </w:r>
    </w:p>
    <w:sectPr w:rsidR="000311C8" w:rsidSect="00A81310">
      <w:headerReference w:type="default" r:id="rId8"/>
      <w:footerReference w:type="default" r:id="rId9"/>
      <w:pgSz w:w="11906" w:h="16838" w:code="9"/>
      <w:pgMar w:top="1440"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F1171" w14:textId="77777777" w:rsidR="0051674B" w:rsidRDefault="0051674B" w:rsidP="001B7112">
      <w:pPr>
        <w:spacing w:after="0" w:line="240" w:lineRule="auto"/>
      </w:pPr>
      <w:r>
        <w:separator/>
      </w:r>
    </w:p>
  </w:endnote>
  <w:endnote w:type="continuationSeparator" w:id="0">
    <w:p w14:paraId="0967FDB6" w14:textId="77777777" w:rsidR="0051674B" w:rsidRDefault="0051674B" w:rsidP="001B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ajorBidi"/>
        <w:sz w:val="20"/>
        <w:szCs w:val="20"/>
      </w:rPr>
      <w:id w:val="1355850039"/>
      <w:docPartObj>
        <w:docPartGallery w:val="Page Numbers (Bottom of Page)"/>
        <w:docPartUnique/>
      </w:docPartObj>
    </w:sdtPr>
    <w:sdtEndPr/>
    <w:sdtContent>
      <w:p w14:paraId="13E30C85" w14:textId="77777777" w:rsidR="001B7112" w:rsidRPr="001B7112" w:rsidRDefault="001B7112">
        <w:pPr>
          <w:pStyle w:val="Stopka"/>
          <w:jc w:val="right"/>
          <w:rPr>
            <w:rFonts w:eastAsiaTheme="majorEastAsia" w:cstheme="majorBidi"/>
            <w:sz w:val="20"/>
            <w:szCs w:val="20"/>
          </w:rPr>
        </w:pPr>
        <w:r w:rsidRPr="001B7112">
          <w:rPr>
            <w:rFonts w:eastAsiaTheme="majorEastAsia" w:cstheme="majorBidi"/>
            <w:sz w:val="20"/>
            <w:szCs w:val="20"/>
          </w:rPr>
          <w:t xml:space="preserve">str. </w:t>
        </w:r>
        <w:r w:rsidRPr="001B7112">
          <w:rPr>
            <w:rFonts w:eastAsiaTheme="minorEastAsia" w:cs="Times New Roman"/>
            <w:sz w:val="20"/>
            <w:szCs w:val="20"/>
          </w:rPr>
          <w:fldChar w:fldCharType="begin"/>
        </w:r>
        <w:r w:rsidRPr="001B7112">
          <w:rPr>
            <w:sz w:val="20"/>
            <w:szCs w:val="20"/>
          </w:rPr>
          <w:instrText>PAGE    \* MERGEFORMAT</w:instrText>
        </w:r>
        <w:r w:rsidRPr="001B7112">
          <w:rPr>
            <w:rFonts w:eastAsiaTheme="minorEastAsia" w:cs="Times New Roman"/>
            <w:sz w:val="20"/>
            <w:szCs w:val="20"/>
          </w:rPr>
          <w:fldChar w:fldCharType="separate"/>
        </w:r>
        <w:r w:rsidR="006171ED" w:rsidRPr="006171ED">
          <w:rPr>
            <w:rFonts w:eastAsiaTheme="majorEastAsia" w:cstheme="majorBidi"/>
            <w:noProof/>
            <w:sz w:val="20"/>
            <w:szCs w:val="20"/>
          </w:rPr>
          <w:t>12</w:t>
        </w:r>
        <w:r w:rsidRPr="001B7112">
          <w:rPr>
            <w:rFonts w:eastAsiaTheme="majorEastAsia" w:cstheme="majorBidi"/>
            <w:sz w:val="20"/>
            <w:szCs w:val="20"/>
          </w:rPr>
          <w:fldChar w:fldCharType="end"/>
        </w:r>
      </w:p>
    </w:sdtContent>
  </w:sdt>
  <w:p w14:paraId="08640690" w14:textId="77777777" w:rsidR="001B7112" w:rsidRDefault="001B71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230DF" w14:textId="77777777" w:rsidR="0051674B" w:rsidRDefault="0051674B" w:rsidP="001B7112">
      <w:pPr>
        <w:spacing w:after="0" w:line="240" w:lineRule="auto"/>
      </w:pPr>
      <w:r>
        <w:separator/>
      </w:r>
    </w:p>
  </w:footnote>
  <w:footnote w:type="continuationSeparator" w:id="0">
    <w:p w14:paraId="687C7833" w14:textId="77777777" w:rsidR="0051674B" w:rsidRDefault="0051674B" w:rsidP="001B7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6AE4" w14:textId="77777777" w:rsidR="001B7112" w:rsidRDefault="00914C76" w:rsidP="00A81310">
    <w:pPr>
      <w:pStyle w:val="Nagwek"/>
      <w:jc w:val="center"/>
    </w:pPr>
    <w:r w:rsidRPr="006A1020">
      <w:rPr>
        <w:rFonts w:ascii="Calibri Light" w:hAnsi="Calibri Light"/>
        <w:noProof/>
        <w:sz w:val="28"/>
        <w:szCs w:val="28"/>
        <w:lang w:eastAsia="pl-PL"/>
      </w:rPr>
      <w:drawing>
        <wp:inline distT="0" distB="0" distL="0" distR="0" wp14:anchorId="5299704A" wp14:editId="6375AB0F">
          <wp:extent cx="5731510" cy="596450"/>
          <wp:effectExtent l="0" t="0" r="2540" b="0"/>
          <wp:docPr id="1" name="Obraz 1" descr="C:\Users\urszula.bodak\AppData\Local\Microsoft\Windows\Temporary Internet Files\Content.Outlook\RX6PV95N\logotypy_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urszula.bodak\AppData\Local\Microsoft\Windows\Temporary Internet Files\Content.Outlook\RX6PV95N\logotypy_efr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96450"/>
                  </a:xfrm>
                  <a:prstGeom prst="rect">
                    <a:avLst/>
                  </a:prstGeom>
                  <a:noFill/>
                  <a:ln>
                    <a:noFill/>
                  </a:ln>
                </pic:spPr>
              </pic:pic>
            </a:graphicData>
          </a:graphic>
        </wp:inline>
      </w:drawing>
    </w:r>
  </w:p>
  <w:p w14:paraId="4AAAA11E" w14:textId="77777777" w:rsidR="001B7112" w:rsidRDefault="001B7112" w:rsidP="001B7112">
    <w:pPr>
      <w:pStyle w:val="Nagwek"/>
      <w:rPr>
        <w:rFonts w:ascii="Verdana" w:hAnsi="Verdana" w:cs="Arial"/>
        <w:sz w:val="15"/>
        <w:szCs w:val="15"/>
      </w:rPr>
    </w:pPr>
    <w:r w:rsidRPr="00C50384">
      <w:rPr>
        <w:rFonts w:ascii="Verdana" w:hAnsi="Verdana" w:cs="Arial"/>
        <w:sz w:val="15"/>
        <w:szCs w:val="15"/>
      </w:rPr>
      <w:t xml:space="preserve">  </w:t>
    </w:r>
  </w:p>
  <w:p w14:paraId="0EF3D225" w14:textId="77777777" w:rsidR="001B7112" w:rsidRDefault="001B71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E11"/>
    <w:multiLevelType w:val="hybridMultilevel"/>
    <w:tmpl w:val="590CBB5A"/>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E37758"/>
    <w:multiLevelType w:val="hybridMultilevel"/>
    <w:tmpl w:val="88DE32B0"/>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700290"/>
    <w:multiLevelType w:val="hybridMultilevel"/>
    <w:tmpl w:val="D7D6EF2A"/>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8770B9"/>
    <w:multiLevelType w:val="hybridMultilevel"/>
    <w:tmpl w:val="611E520C"/>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054F0D"/>
    <w:multiLevelType w:val="hybridMultilevel"/>
    <w:tmpl w:val="CCD80732"/>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AD0B93"/>
    <w:multiLevelType w:val="hybridMultilevel"/>
    <w:tmpl w:val="95B48F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F2164"/>
    <w:multiLevelType w:val="hybridMultilevel"/>
    <w:tmpl w:val="578285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CE136D"/>
    <w:multiLevelType w:val="hybridMultilevel"/>
    <w:tmpl w:val="DE4807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A5AB1"/>
    <w:multiLevelType w:val="hybridMultilevel"/>
    <w:tmpl w:val="F272C9FA"/>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380016"/>
    <w:multiLevelType w:val="hybridMultilevel"/>
    <w:tmpl w:val="7898C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EC2418"/>
    <w:multiLevelType w:val="hybridMultilevel"/>
    <w:tmpl w:val="B7D279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E15010"/>
    <w:multiLevelType w:val="hybridMultilevel"/>
    <w:tmpl w:val="CAB282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AA5B95"/>
    <w:multiLevelType w:val="hybridMultilevel"/>
    <w:tmpl w:val="4EA20F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E11E0A"/>
    <w:multiLevelType w:val="hybridMultilevel"/>
    <w:tmpl w:val="1B225BD4"/>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1143CF0"/>
    <w:multiLevelType w:val="hybridMultilevel"/>
    <w:tmpl w:val="0ED0C0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005D44"/>
    <w:multiLevelType w:val="hybridMultilevel"/>
    <w:tmpl w:val="91D297AC"/>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B0587A"/>
    <w:multiLevelType w:val="hybridMultilevel"/>
    <w:tmpl w:val="235868B4"/>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C155CA"/>
    <w:multiLevelType w:val="hybridMultilevel"/>
    <w:tmpl w:val="DD361498"/>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2225D6"/>
    <w:multiLevelType w:val="multilevel"/>
    <w:tmpl w:val="6DD03746"/>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FB5085"/>
    <w:multiLevelType w:val="hybridMultilevel"/>
    <w:tmpl w:val="7102B1FC"/>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387C8B"/>
    <w:multiLevelType w:val="hybridMultilevel"/>
    <w:tmpl w:val="513492D8"/>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A42131"/>
    <w:multiLevelType w:val="hybridMultilevel"/>
    <w:tmpl w:val="2D6A9754"/>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640F39"/>
    <w:multiLevelType w:val="hybridMultilevel"/>
    <w:tmpl w:val="66A2E09E"/>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287795"/>
    <w:multiLevelType w:val="hybridMultilevel"/>
    <w:tmpl w:val="ADF287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4D1606"/>
    <w:multiLevelType w:val="hybridMultilevel"/>
    <w:tmpl w:val="93B2B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845221"/>
    <w:multiLevelType w:val="hybridMultilevel"/>
    <w:tmpl w:val="FE7200FC"/>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BF2D58"/>
    <w:multiLevelType w:val="hybridMultilevel"/>
    <w:tmpl w:val="9478572A"/>
    <w:lvl w:ilvl="0" w:tplc="D8BC20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047484"/>
    <w:multiLevelType w:val="hybridMultilevel"/>
    <w:tmpl w:val="6B588B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623F6E"/>
    <w:multiLevelType w:val="hybridMultilevel"/>
    <w:tmpl w:val="33C678E6"/>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A432C3"/>
    <w:multiLevelType w:val="hybridMultilevel"/>
    <w:tmpl w:val="22F69D2E"/>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AC86DAD"/>
    <w:multiLevelType w:val="hybridMultilevel"/>
    <w:tmpl w:val="92E62364"/>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7C7FEC"/>
    <w:multiLevelType w:val="hybridMultilevel"/>
    <w:tmpl w:val="C87E1F74"/>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6E70A83"/>
    <w:multiLevelType w:val="hybridMultilevel"/>
    <w:tmpl w:val="D48A40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4F38FB"/>
    <w:multiLevelType w:val="hybridMultilevel"/>
    <w:tmpl w:val="47C25368"/>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1080476"/>
    <w:multiLevelType w:val="hybridMultilevel"/>
    <w:tmpl w:val="DA8A9778"/>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10E0873"/>
    <w:multiLevelType w:val="hybridMultilevel"/>
    <w:tmpl w:val="B9C8B952"/>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FF0299"/>
    <w:multiLevelType w:val="hybridMultilevel"/>
    <w:tmpl w:val="A24E275C"/>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30C6E28"/>
    <w:multiLevelType w:val="hybridMultilevel"/>
    <w:tmpl w:val="97005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51402E"/>
    <w:multiLevelType w:val="hybridMultilevel"/>
    <w:tmpl w:val="BDBA0A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8E7DF4"/>
    <w:multiLevelType w:val="hybridMultilevel"/>
    <w:tmpl w:val="B58658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331A54"/>
    <w:multiLevelType w:val="hybridMultilevel"/>
    <w:tmpl w:val="981277E2"/>
    <w:lvl w:ilvl="0" w:tplc="2FC89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40"/>
  </w:num>
  <w:num w:numId="4">
    <w:abstractNumId w:val="16"/>
  </w:num>
  <w:num w:numId="5">
    <w:abstractNumId w:val="2"/>
  </w:num>
  <w:num w:numId="6">
    <w:abstractNumId w:val="20"/>
  </w:num>
  <w:num w:numId="7">
    <w:abstractNumId w:val="22"/>
  </w:num>
  <w:num w:numId="8">
    <w:abstractNumId w:val="29"/>
  </w:num>
  <w:num w:numId="9">
    <w:abstractNumId w:val="34"/>
  </w:num>
  <w:num w:numId="10">
    <w:abstractNumId w:val="31"/>
  </w:num>
  <w:num w:numId="11">
    <w:abstractNumId w:val="28"/>
  </w:num>
  <w:num w:numId="12">
    <w:abstractNumId w:val="17"/>
  </w:num>
  <w:num w:numId="13">
    <w:abstractNumId w:val="35"/>
  </w:num>
  <w:num w:numId="14">
    <w:abstractNumId w:val="13"/>
  </w:num>
  <w:num w:numId="15">
    <w:abstractNumId w:val="21"/>
  </w:num>
  <w:num w:numId="16">
    <w:abstractNumId w:val="8"/>
  </w:num>
  <w:num w:numId="17">
    <w:abstractNumId w:val="1"/>
  </w:num>
  <w:num w:numId="18">
    <w:abstractNumId w:val="19"/>
  </w:num>
  <w:num w:numId="19">
    <w:abstractNumId w:val="30"/>
  </w:num>
  <w:num w:numId="20">
    <w:abstractNumId w:val="36"/>
  </w:num>
  <w:num w:numId="21">
    <w:abstractNumId w:val="0"/>
  </w:num>
  <w:num w:numId="22">
    <w:abstractNumId w:val="3"/>
  </w:num>
  <w:num w:numId="23">
    <w:abstractNumId w:val="15"/>
  </w:num>
  <w:num w:numId="24">
    <w:abstractNumId w:val="18"/>
  </w:num>
  <w:num w:numId="25">
    <w:abstractNumId w:val="4"/>
  </w:num>
  <w:num w:numId="26">
    <w:abstractNumId w:val="9"/>
  </w:num>
  <w:num w:numId="27">
    <w:abstractNumId w:val="10"/>
  </w:num>
  <w:num w:numId="28">
    <w:abstractNumId w:val="23"/>
  </w:num>
  <w:num w:numId="29">
    <w:abstractNumId w:val="37"/>
  </w:num>
  <w:num w:numId="30">
    <w:abstractNumId w:val="26"/>
  </w:num>
  <w:num w:numId="31">
    <w:abstractNumId w:val="39"/>
  </w:num>
  <w:num w:numId="32">
    <w:abstractNumId w:val="12"/>
  </w:num>
  <w:num w:numId="33">
    <w:abstractNumId w:val="14"/>
  </w:num>
  <w:num w:numId="34">
    <w:abstractNumId w:val="32"/>
  </w:num>
  <w:num w:numId="35">
    <w:abstractNumId w:val="6"/>
  </w:num>
  <w:num w:numId="36">
    <w:abstractNumId w:val="38"/>
  </w:num>
  <w:num w:numId="37">
    <w:abstractNumId w:val="5"/>
  </w:num>
  <w:num w:numId="38">
    <w:abstractNumId w:val="27"/>
  </w:num>
  <w:num w:numId="39">
    <w:abstractNumId w:val="7"/>
  </w:num>
  <w:num w:numId="40">
    <w:abstractNumId w:val="11"/>
  </w:num>
  <w:num w:numId="4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64"/>
    <w:rsid w:val="00002F80"/>
    <w:rsid w:val="000061C6"/>
    <w:rsid w:val="000124DA"/>
    <w:rsid w:val="00017C6A"/>
    <w:rsid w:val="00020274"/>
    <w:rsid w:val="00021AD3"/>
    <w:rsid w:val="000230AE"/>
    <w:rsid w:val="0002386B"/>
    <w:rsid w:val="000248A4"/>
    <w:rsid w:val="000273C4"/>
    <w:rsid w:val="000311C8"/>
    <w:rsid w:val="00036FD9"/>
    <w:rsid w:val="00037861"/>
    <w:rsid w:val="00046F36"/>
    <w:rsid w:val="000477C3"/>
    <w:rsid w:val="00050159"/>
    <w:rsid w:val="00052163"/>
    <w:rsid w:val="0005413C"/>
    <w:rsid w:val="000551C6"/>
    <w:rsid w:val="00057848"/>
    <w:rsid w:val="00057E2B"/>
    <w:rsid w:val="00063300"/>
    <w:rsid w:val="00065111"/>
    <w:rsid w:val="00066E34"/>
    <w:rsid w:val="0008539A"/>
    <w:rsid w:val="00086D47"/>
    <w:rsid w:val="00090D33"/>
    <w:rsid w:val="00091012"/>
    <w:rsid w:val="00093C0E"/>
    <w:rsid w:val="000963AF"/>
    <w:rsid w:val="000A0A5F"/>
    <w:rsid w:val="000A4281"/>
    <w:rsid w:val="000A4FC0"/>
    <w:rsid w:val="000A58E3"/>
    <w:rsid w:val="000A67AB"/>
    <w:rsid w:val="000B1C7C"/>
    <w:rsid w:val="000B35A5"/>
    <w:rsid w:val="000C1930"/>
    <w:rsid w:val="000C6849"/>
    <w:rsid w:val="000D458E"/>
    <w:rsid w:val="000D5759"/>
    <w:rsid w:val="000D71DD"/>
    <w:rsid w:val="000E165F"/>
    <w:rsid w:val="000E22D2"/>
    <w:rsid w:val="000E3956"/>
    <w:rsid w:val="000F1048"/>
    <w:rsid w:val="000F5FC7"/>
    <w:rsid w:val="000F7D62"/>
    <w:rsid w:val="00102CCA"/>
    <w:rsid w:val="00104BA1"/>
    <w:rsid w:val="00106A28"/>
    <w:rsid w:val="00107AED"/>
    <w:rsid w:val="001106FA"/>
    <w:rsid w:val="00112EF0"/>
    <w:rsid w:val="00113724"/>
    <w:rsid w:val="00114B7E"/>
    <w:rsid w:val="0011516F"/>
    <w:rsid w:val="001238C4"/>
    <w:rsid w:val="00124FFF"/>
    <w:rsid w:val="00133FE7"/>
    <w:rsid w:val="00134743"/>
    <w:rsid w:val="00135D99"/>
    <w:rsid w:val="00136788"/>
    <w:rsid w:val="00136C4A"/>
    <w:rsid w:val="00143EE2"/>
    <w:rsid w:val="001460B8"/>
    <w:rsid w:val="001620B4"/>
    <w:rsid w:val="00163F3F"/>
    <w:rsid w:val="00163FF4"/>
    <w:rsid w:val="001672B9"/>
    <w:rsid w:val="00167713"/>
    <w:rsid w:val="00167A0B"/>
    <w:rsid w:val="00171059"/>
    <w:rsid w:val="00172430"/>
    <w:rsid w:val="00172524"/>
    <w:rsid w:val="00173164"/>
    <w:rsid w:val="00173752"/>
    <w:rsid w:val="00174BB3"/>
    <w:rsid w:val="00175B61"/>
    <w:rsid w:val="00177AF8"/>
    <w:rsid w:val="00184748"/>
    <w:rsid w:val="001879DD"/>
    <w:rsid w:val="00187B72"/>
    <w:rsid w:val="00196F50"/>
    <w:rsid w:val="001A0923"/>
    <w:rsid w:val="001A23F6"/>
    <w:rsid w:val="001A665E"/>
    <w:rsid w:val="001B0A78"/>
    <w:rsid w:val="001B207E"/>
    <w:rsid w:val="001B26CF"/>
    <w:rsid w:val="001B4865"/>
    <w:rsid w:val="001B7112"/>
    <w:rsid w:val="001D311C"/>
    <w:rsid w:val="001D52CF"/>
    <w:rsid w:val="001D5FA2"/>
    <w:rsid w:val="001D6E7A"/>
    <w:rsid w:val="001D76CD"/>
    <w:rsid w:val="001E17E1"/>
    <w:rsid w:val="001E1F6A"/>
    <w:rsid w:val="001E63C5"/>
    <w:rsid w:val="001F2910"/>
    <w:rsid w:val="001F4C80"/>
    <w:rsid w:val="001F59B2"/>
    <w:rsid w:val="001F6BF9"/>
    <w:rsid w:val="001F798F"/>
    <w:rsid w:val="00202DBD"/>
    <w:rsid w:val="002132CD"/>
    <w:rsid w:val="002139D3"/>
    <w:rsid w:val="0021547C"/>
    <w:rsid w:val="002166FA"/>
    <w:rsid w:val="00217801"/>
    <w:rsid w:val="00226160"/>
    <w:rsid w:val="00232BFC"/>
    <w:rsid w:val="00232EE2"/>
    <w:rsid w:val="00242209"/>
    <w:rsid w:val="002473A2"/>
    <w:rsid w:val="002503A5"/>
    <w:rsid w:val="002535C5"/>
    <w:rsid w:val="0025377B"/>
    <w:rsid w:val="00254306"/>
    <w:rsid w:val="00255018"/>
    <w:rsid w:val="00264BD6"/>
    <w:rsid w:val="00266A8B"/>
    <w:rsid w:val="00274E1A"/>
    <w:rsid w:val="002761F8"/>
    <w:rsid w:val="00280DC7"/>
    <w:rsid w:val="00287BF3"/>
    <w:rsid w:val="00290143"/>
    <w:rsid w:val="002927D6"/>
    <w:rsid w:val="0029295E"/>
    <w:rsid w:val="00293219"/>
    <w:rsid w:val="002955EA"/>
    <w:rsid w:val="002A3E59"/>
    <w:rsid w:val="002A4E78"/>
    <w:rsid w:val="002A73EE"/>
    <w:rsid w:val="002A7879"/>
    <w:rsid w:val="002B111F"/>
    <w:rsid w:val="002B303A"/>
    <w:rsid w:val="002B3E29"/>
    <w:rsid w:val="002B449B"/>
    <w:rsid w:val="002B79E7"/>
    <w:rsid w:val="002C0D20"/>
    <w:rsid w:val="002C35EC"/>
    <w:rsid w:val="002C75DA"/>
    <w:rsid w:val="002D00EA"/>
    <w:rsid w:val="002D777B"/>
    <w:rsid w:val="002E187D"/>
    <w:rsid w:val="002E25CC"/>
    <w:rsid w:val="002E379E"/>
    <w:rsid w:val="002E7AB8"/>
    <w:rsid w:val="002F208F"/>
    <w:rsid w:val="003001CF"/>
    <w:rsid w:val="0030180E"/>
    <w:rsid w:val="00303D65"/>
    <w:rsid w:val="00310888"/>
    <w:rsid w:val="0031278A"/>
    <w:rsid w:val="003146C7"/>
    <w:rsid w:val="003263D1"/>
    <w:rsid w:val="003307EF"/>
    <w:rsid w:val="00330938"/>
    <w:rsid w:val="003309E0"/>
    <w:rsid w:val="00332F11"/>
    <w:rsid w:val="003402FB"/>
    <w:rsid w:val="00341298"/>
    <w:rsid w:val="0034483B"/>
    <w:rsid w:val="00344F11"/>
    <w:rsid w:val="00347DDC"/>
    <w:rsid w:val="00362135"/>
    <w:rsid w:val="00362142"/>
    <w:rsid w:val="00364141"/>
    <w:rsid w:val="00366191"/>
    <w:rsid w:val="003716D0"/>
    <w:rsid w:val="00371B6B"/>
    <w:rsid w:val="00381F7F"/>
    <w:rsid w:val="00387EAB"/>
    <w:rsid w:val="00391797"/>
    <w:rsid w:val="00391B44"/>
    <w:rsid w:val="00394678"/>
    <w:rsid w:val="003A0B48"/>
    <w:rsid w:val="003A2107"/>
    <w:rsid w:val="003A2802"/>
    <w:rsid w:val="003A4B92"/>
    <w:rsid w:val="003A7398"/>
    <w:rsid w:val="003A7929"/>
    <w:rsid w:val="003B24F7"/>
    <w:rsid w:val="003B3F29"/>
    <w:rsid w:val="003B48E8"/>
    <w:rsid w:val="003B6303"/>
    <w:rsid w:val="003B72E3"/>
    <w:rsid w:val="003C0A05"/>
    <w:rsid w:val="003C2508"/>
    <w:rsid w:val="003C3547"/>
    <w:rsid w:val="003C44DD"/>
    <w:rsid w:val="003C717F"/>
    <w:rsid w:val="003D0F00"/>
    <w:rsid w:val="003E579E"/>
    <w:rsid w:val="003E5E18"/>
    <w:rsid w:val="003E605D"/>
    <w:rsid w:val="003E672E"/>
    <w:rsid w:val="003F007E"/>
    <w:rsid w:val="003F5CC6"/>
    <w:rsid w:val="003F6454"/>
    <w:rsid w:val="00402A89"/>
    <w:rsid w:val="00405CC1"/>
    <w:rsid w:val="00411122"/>
    <w:rsid w:val="00414420"/>
    <w:rsid w:val="00414D0B"/>
    <w:rsid w:val="00415236"/>
    <w:rsid w:val="00415F2B"/>
    <w:rsid w:val="0041789B"/>
    <w:rsid w:val="00420860"/>
    <w:rsid w:val="00422321"/>
    <w:rsid w:val="00425DDF"/>
    <w:rsid w:val="00426A30"/>
    <w:rsid w:val="00427518"/>
    <w:rsid w:val="00433D3F"/>
    <w:rsid w:val="00434569"/>
    <w:rsid w:val="004359E6"/>
    <w:rsid w:val="0044069D"/>
    <w:rsid w:val="00442A6D"/>
    <w:rsid w:val="0044522E"/>
    <w:rsid w:val="00447844"/>
    <w:rsid w:val="0045576C"/>
    <w:rsid w:val="00462031"/>
    <w:rsid w:val="004661D4"/>
    <w:rsid w:val="0047367A"/>
    <w:rsid w:val="00477866"/>
    <w:rsid w:val="00480647"/>
    <w:rsid w:val="0048217A"/>
    <w:rsid w:val="00482194"/>
    <w:rsid w:val="004913F6"/>
    <w:rsid w:val="00494213"/>
    <w:rsid w:val="00496988"/>
    <w:rsid w:val="004A28C1"/>
    <w:rsid w:val="004A46B9"/>
    <w:rsid w:val="004B30A4"/>
    <w:rsid w:val="004B612D"/>
    <w:rsid w:val="004B719C"/>
    <w:rsid w:val="004C028B"/>
    <w:rsid w:val="004C1EE6"/>
    <w:rsid w:val="004C374F"/>
    <w:rsid w:val="004D065A"/>
    <w:rsid w:val="004D0787"/>
    <w:rsid w:val="004D2926"/>
    <w:rsid w:val="004D3FE5"/>
    <w:rsid w:val="004D4428"/>
    <w:rsid w:val="004E1995"/>
    <w:rsid w:val="004E2223"/>
    <w:rsid w:val="004E2F32"/>
    <w:rsid w:val="004E34C7"/>
    <w:rsid w:val="004E5D22"/>
    <w:rsid w:val="004E64B3"/>
    <w:rsid w:val="004E7017"/>
    <w:rsid w:val="004F61A5"/>
    <w:rsid w:val="004F6F01"/>
    <w:rsid w:val="005103C2"/>
    <w:rsid w:val="00515F71"/>
    <w:rsid w:val="0051600B"/>
    <w:rsid w:val="0051674B"/>
    <w:rsid w:val="005179F3"/>
    <w:rsid w:val="005200DF"/>
    <w:rsid w:val="0052275E"/>
    <w:rsid w:val="00523C09"/>
    <w:rsid w:val="0052624E"/>
    <w:rsid w:val="0053179E"/>
    <w:rsid w:val="00542ADC"/>
    <w:rsid w:val="00543D51"/>
    <w:rsid w:val="0054558F"/>
    <w:rsid w:val="0054768D"/>
    <w:rsid w:val="00552AFC"/>
    <w:rsid w:val="00554BC7"/>
    <w:rsid w:val="00554EDF"/>
    <w:rsid w:val="00556293"/>
    <w:rsid w:val="00562740"/>
    <w:rsid w:val="00565812"/>
    <w:rsid w:val="00565B3F"/>
    <w:rsid w:val="00573D48"/>
    <w:rsid w:val="00575D39"/>
    <w:rsid w:val="00575ECD"/>
    <w:rsid w:val="00577928"/>
    <w:rsid w:val="00583C08"/>
    <w:rsid w:val="005851E4"/>
    <w:rsid w:val="005853D6"/>
    <w:rsid w:val="00585FB9"/>
    <w:rsid w:val="00587C0D"/>
    <w:rsid w:val="00590204"/>
    <w:rsid w:val="0059126F"/>
    <w:rsid w:val="00592470"/>
    <w:rsid w:val="00592DF6"/>
    <w:rsid w:val="005969CC"/>
    <w:rsid w:val="00597487"/>
    <w:rsid w:val="005A29A5"/>
    <w:rsid w:val="005A2F47"/>
    <w:rsid w:val="005A3E12"/>
    <w:rsid w:val="005A6C5F"/>
    <w:rsid w:val="005A750A"/>
    <w:rsid w:val="005B01B5"/>
    <w:rsid w:val="005B5E64"/>
    <w:rsid w:val="005B607C"/>
    <w:rsid w:val="005C2425"/>
    <w:rsid w:val="005C369E"/>
    <w:rsid w:val="005D0999"/>
    <w:rsid w:val="005D151C"/>
    <w:rsid w:val="005E194C"/>
    <w:rsid w:val="005E6011"/>
    <w:rsid w:val="005E656E"/>
    <w:rsid w:val="005E7D56"/>
    <w:rsid w:val="005F0036"/>
    <w:rsid w:val="005F0851"/>
    <w:rsid w:val="005F266F"/>
    <w:rsid w:val="005F349A"/>
    <w:rsid w:val="005F7F4B"/>
    <w:rsid w:val="00600934"/>
    <w:rsid w:val="0060353B"/>
    <w:rsid w:val="00606F83"/>
    <w:rsid w:val="00607BFF"/>
    <w:rsid w:val="00611015"/>
    <w:rsid w:val="00616D86"/>
    <w:rsid w:val="006171ED"/>
    <w:rsid w:val="00617E4B"/>
    <w:rsid w:val="006202C8"/>
    <w:rsid w:val="00620482"/>
    <w:rsid w:val="00621C41"/>
    <w:rsid w:val="00625C81"/>
    <w:rsid w:val="00625F61"/>
    <w:rsid w:val="00631E19"/>
    <w:rsid w:val="00642E7A"/>
    <w:rsid w:val="00643C07"/>
    <w:rsid w:val="006449D3"/>
    <w:rsid w:val="00662589"/>
    <w:rsid w:val="00663B77"/>
    <w:rsid w:val="00666A64"/>
    <w:rsid w:val="00672784"/>
    <w:rsid w:val="00675322"/>
    <w:rsid w:val="006812C4"/>
    <w:rsid w:val="00681AD1"/>
    <w:rsid w:val="00683B84"/>
    <w:rsid w:val="00684655"/>
    <w:rsid w:val="00685266"/>
    <w:rsid w:val="006905C5"/>
    <w:rsid w:val="00691BF4"/>
    <w:rsid w:val="00694848"/>
    <w:rsid w:val="006A1CD9"/>
    <w:rsid w:val="006A40EF"/>
    <w:rsid w:val="006A48FB"/>
    <w:rsid w:val="006A7C17"/>
    <w:rsid w:val="006B1911"/>
    <w:rsid w:val="006B426C"/>
    <w:rsid w:val="006C3969"/>
    <w:rsid w:val="006C4EE4"/>
    <w:rsid w:val="006D1F99"/>
    <w:rsid w:val="006D2776"/>
    <w:rsid w:val="006D2E9D"/>
    <w:rsid w:val="006D3339"/>
    <w:rsid w:val="006D4757"/>
    <w:rsid w:val="006D4AD6"/>
    <w:rsid w:val="006D76B4"/>
    <w:rsid w:val="006E0B5A"/>
    <w:rsid w:val="006E24B6"/>
    <w:rsid w:val="006E264D"/>
    <w:rsid w:val="006E29C0"/>
    <w:rsid w:val="006E4583"/>
    <w:rsid w:val="006E4FCD"/>
    <w:rsid w:val="006F187B"/>
    <w:rsid w:val="006F351A"/>
    <w:rsid w:val="006F3FB0"/>
    <w:rsid w:val="006F4EB3"/>
    <w:rsid w:val="0070319B"/>
    <w:rsid w:val="007034FD"/>
    <w:rsid w:val="00712FDD"/>
    <w:rsid w:val="00713141"/>
    <w:rsid w:val="00713775"/>
    <w:rsid w:val="00714BCC"/>
    <w:rsid w:val="007170BD"/>
    <w:rsid w:val="00717E2E"/>
    <w:rsid w:val="007214DE"/>
    <w:rsid w:val="00722186"/>
    <w:rsid w:val="00726BF4"/>
    <w:rsid w:val="007323D8"/>
    <w:rsid w:val="0073609D"/>
    <w:rsid w:val="007379EC"/>
    <w:rsid w:val="00740920"/>
    <w:rsid w:val="00742E57"/>
    <w:rsid w:val="00746622"/>
    <w:rsid w:val="00752A5D"/>
    <w:rsid w:val="00753130"/>
    <w:rsid w:val="00762813"/>
    <w:rsid w:val="00766D7C"/>
    <w:rsid w:val="00775D98"/>
    <w:rsid w:val="007827D7"/>
    <w:rsid w:val="00785E3B"/>
    <w:rsid w:val="00790E19"/>
    <w:rsid w:val="00791C6C"/>
    <w:rsid w:val="00791FDC"/>
    <w:rsid w:val="007936D4"/>
    <w:rsid w:val="007959FF"/>
    <w:rsid w:val="0079608E"/>
    <w:rsid w:val="00797F47"/>
    <w:rsid w:val="007A174C"/>
    <w:rsid w:val="007A3509"/>
    <w:rsid w:val="007A3528"/>
    <w:rsid w:val="007B2ADB"/>
    <w:rsid w:val="007B53E3"/>
    <w:rsid w:val="007B6E60"/>
    <w:rsid w:val="007C7EAC"/>
    <w:rsid w:val="007D4E83"/>
    <w:rsid w:val="007F2F3B"/>
    <w:rsid w:val="007F5F47"/>
    <w:rsid w:val="008014C7"/>
    <w:rsid w:val="0080328C"/>
    <w:rsid w:val="008032F0"/>
    <w:rsid w:val="00807095"/>
    <w:rsid w:val="0081101E"/>
    <w:rsid w:val="00811218"/>
    <w:rsid w:val="008117E1"/>
    <w:rsid w:val="008125F1"/>
    <w:rsid w:val="00813E8F"/>
    <w:rsid w:val="00814EB0"/>
    <w:rsid w:val="008209EB"/>
    <w:rsid w:val="00820ECA"/>
    <w:rsid w:val="0082131B"/>
    <w:rsid w:val="0082304A"/>
    <w:rsid w:val="008246D9"/>
    <w:rsid w:val="00825A58"/>
    <w:rsid w:val="00830D89"/>
    <w:rsid w:val="008341E8"/>
    <w:rsid w:val="00837E1A"/>
    <w:rsid w:val="008454D5"/>
    <w:rsid w:val="00846841"/>
    <w:rsid w:val="00853C4A"/>
    <w:rsid w:val="0085619A"/>
    <w:rsid w:val="008666B7"/>
    <w:rsid w:val="00866AF8"/>
    <w:rsid w:val="00867A50"/>
    <w:rsid w:val="00875056"/>
    <w:rsid w:val="00875E97"/>
    <w:rsid w:val="0087621C"/>
    <w:rsid w:val="00886B62"/>
    <w:rsid w:val="008910BA"/>
    <w:rsid w:val="00892280"/>
    <w:rsid w:val="008935DA"/>
    <w:rsid w:val="00894C5F"/>
    <w:rsid w:val="00895DB7"/>
    <w:rsid w:val="008969B0"/>
    <w:rsid w:val="008A2F28"/>
    <w:rsid w:val="008A6A78"/>
    <w:rsid w:val="008B0738"/>
    <w:rsid w:val="008B0976"/>
    <w:rsid w:val="008B7452"/>
    <w:rsid w:val="008C0A84"/>
    <w:rsid w:val="008C1A8D"/>
    <w:rsid w:val="008C43B9"/>
    <w:rsid w:val="008C67FF"/>
    <w:rsid w:val="008D5932"/>
    <w:rsid w:val="008D5AE7"/>
    <w:rsid w:val="008E2D38"/>
    <w:rsid w:val="008E4263"/>
    <w:rsid w:val="008E551F"/>
    <w:rsid w:val="008E55D1"/>
    <w:rsid w:val="008F4E35"/>
    <w:rsid w:val="008F6166"/>
    <w:rsid w:val="008F6BF3"/>
    <w:rsid w:val="0090103D"/>
    <w:rsid w:val="00902EFE"/>
    <w:rsid w:val="00903FF3"/>
    <w:rsid w:val="0090404C"/>
    <w:rsid w:val="0090452D"/>
    <w:rsid w:val="009057A9"/>
    <w:rsid w:val="00906375"/>
    <w:rsid w:val="00910CD5"/>
    <w:rsid w:val="00913FC9"/>
    <w:rsid w:val="00914C76"/>
    <w:rsid w:val="00920516"/>
    <w:rsid w:val="00921E6E"/>
    <w:rsid w:val="00923987"/>
    <w:rsid w:val="009251AA"/>
    <w:rsid w:val="009271AE"/>
    <w:rsid w:val="0093180F"/>
    <w:rsid w:val="00931A7A"/>
    <w:rsid w:val="00931BB8"/>
    <w:rsid w:val="00934205"/>
    <w:rsid w:val="00934743"/>
    <w:rsid w:val="0094602D"/>
    <w:rsid w:val="009514C0"/>
    <w:rsid w:val="0095385F"/>
    <w:rsid w:val="009551D0"/>
    <w:rsid w:val="009569C7"/>
    <w:rsid w:val="009723B5"/>
    <w:rsid w:val="00972CE8"/>
    <w:rsid w:val="009763B8"/>
    <w:rsid w:val="00980833"/>
    <w:rsid w:val="00983DF1"/>
    <w:rsid w:val="00984866"/>
    <w:rsid w:val="0098764E"/>
    <w:rsid w:val="00990F96"/>
    <w:rsid w:val="00993161"/>
    <w:rsid w:val="009932DC"/>
    <w:rsid w:val="00993C61"/>
    <w:rsid w:val="0099583B"/>
    <w:rsid w:val="009978D5"/>
    <w:rsid w:val="009A0490"/>
    <w:rsid w:val="009A0A74"/>
    <w:rsid w:val="009A3DCF"/>
    <w:rsid w:val="009A3DE7"/>
    <w:rsid w:val="009B0829"/>
    <w:rsid w:val="009B0B60"/>
    <w:rsid w:val="009B7B87"/>
    <w:rsid w:val="009C2F50"/>
    <w:rsid w:val="009D149C"/>
    <w:rsid w:val="009D1926"/>
    <w:rsid w:val="009D30E9"/>
    <w:rsid w:val="009D43F4"/>
    <w:rsid w:val="009D63EB"/>
    <w:rsid w:val="009D6F09"/>
    <w:rsid w:val="009D7933"/>
    <w:rsid w:val="009E0A68"/>
    <w:rsid w:val="009F183F"/>
    <w:rsid w:val="009F4B9F"/>
    <w:rsid w:val="009F7739"/>
    <w:rsid w:val="009F7A09"/>
    <w:rsid w:val="00A018DE"/>
    <w:rsid w:val="00A03F32"/>
    <w:rsid w:val="00A05395"/>
    <w:rsid w:val="00A05618"/>
    <w:rsid w:val="00A06054"/>
    <w:rsid w:val="00A108AC"/>
    <w:rsid w:val="00A11C78"/>
    <w:rsid w:val="00A11EFC"/>
    <w:rsid w:val="00A12866"/>
    <w:rsid w:val="00A30A3D"/>
    <w:rsid w:val="00A349A1"/>
    <w:rsid w:val="00A378F6"/>
    <w:rsid w:val="00A37E91"/>
    <w:rsid w:val="00A416DF"/>
    <w:rsid w:val="00A41A6C"/>
    <w:rsid w:val="00A41E42"/>
    <w:rsid w:val="00A42513"/>
    <w:rsid w:val="00A42C3C"/>
    <w:rsid w:val="00A46AAC"/>
    <w:rsid w:val="00A46ACB"/>
    <w:rsid w:val="00A46D7E"/>
    <w:rsid w:val="00A51DE7"/>
    <w:rsid w:val="00A54FA8"/>
    <w:rsid w:val="00A60877"/>
    <w:rsid w:val="00A619D9"/>
    <w:rsid w:val="00A61C7C"/>
    <w:rsid w:val="00A63111"/>
    <w:rsid w:val="00A64C3C"/>
    <w:rsid w:val="00A66C93"/>
    <w:rsid w:val="00A70B26"/>
    <w:rsid w:val="00A7282A"/>
    <w:rsid w:val="00A746BD"/>
    <w:rsid w:val="00A81310"/>
    <w:rsid w:val="00A818F9"/>
    <w:rsid w:val="00A841EF"/>
    <w:rsid w:val="00A856F6"/>
    <w:rsid w:val="00A85B5B"/>
    <w:rsid w:val="00A86C5C"/>
    <w:rsid w:val="00A91B65"/>
    <w:rsid w:val="00A93777"/>
    <w:rsid w:val="00A9734B"/>
    <w:rsid w:val="00AA391A"/>
    <w:rsid w:val="00AA4A5A"/>
    <w:rsid w:val="00AA5664"/>
    <w:rsid w:val="00AA619A"/>
    <w:rsid w:val="00AA6412"/>
    <w:rsid w:val="00AA7730"/>
    <w:rsid w:val="00AB47F4"/>
    <w:rsid w:val="00AB5224"/>
    <w:rsid w:val="00AC008A"/>
    <w:rsid w:val="00AD00D9"/>
    <w:rsid w:val="00AD06ED"/>
    <w:rsid w:val="00AD1D2F"/>
    <w:rsid w:val="00AD1DDB"/>
    <w:rsid w:val="00AD6D5A"/>
    <w:rsid w:val="00AD75EF"/>
    <w:rsid w:val="00AD7AD2"/>
    <w:rsid w:val="00AE080C"/>
    <w:rsid w:val="00AE3D35"/>
    <w:rsid w:val="00AE45DA"/>
    <w:rsid w:val="00AE584A"/>
    <w:rsid w:val="00AE59ED"/>
    <w:rsid w:val="00AF58AE"/>
    <w:rsid w:val="00AF645D"/>
    <w:rsid w:val="00B0016F"/>
    <w:rsid w:val="00B03309"/>
    <w:rsid w:val="00B05131"/>
    <w:rsid w:val="00B06075"/>
    <w:rsid w:val="00B062AE"/>
    <w:rsid w:val="00B119C2"/>
    <w:rsid w:val="00B11C74"/>
    <w:rsid w:val="00B16DC5"/>
    <w:rsid w:val="00B20B8E"/>
    <w:rsid w:val="00B213A1"/>
    <w:rsid w:val="00B21CCE"/>
    <w:rsid w:val="00B233CC"/>
    <w:rsid w:val="00B25D86"/>
    <w:rsid w:val="00B30400"/>
    <w:rsid w:val="00B32100"/>
    <w:rsid w:val="00B44A15"/>
    <w:rsid w:val="00B45682"/>
    <w:rsid w:val="00B47F51"/>
    <w:rsid w:val="00B5024B"/>
    <w:rsid w:val="00B505B3"/>
    <w:rsid w:val="00B5227B"/>
    <w:rsid w:val="00B541F2"/>
    <w:rsid w:val="00B5674B"/>
    <w:rsid w:val="00B57561"/>
    <w:rsid w:val="00B57CCF"/>
    <w:rsid w:val="00B60A82"/>
    <w:rsid w:val="00B62AC0"/>
    <w:rsid w:val="00B63168"/>
    <w:rsid w:val="00B654A6"/>
    <w:rsid w:val="00B7503C"/>
    <w:rsid w:val="00B75401"/>
    <w:rsid w:val="00B77F47"/>
    <w:rsid w:val="00B90E67"/>
    <w:rsid w:val="00B9316C"/>
    <w:rsid w:val="00B96EFD"/>
    <w:rsid w:val="00BA019C"/>
    <w:rsid w:val="00BA3739"/>
    <w:rsid w:val="00BB1CD8"/>
    <w:rsid w:val="00BB1EC0"/>
    <w:rsid w:val="00BB34C8"/>
    <w:rsid w:val="00BB43EC"/>
    <w:rsid w:val="00BB6F13"/>
    <w:rsid w:val="00BC0108"/>
    <w:rsid w:val="00BC14A2"/>
    <w:rsid w:val="00BC1F37"/>
    <w:rsid w:val="00BC200B"/>
    <w:rsid w:val="00BC218A"/>
    <w:rsid w:val="00BC3ED1"/>
    <w:rsid w:val="00BC446D"/>
    <w:rsid w:val="00BC77C6"/>
    <w:rsid w:val="00BC7AD9"/>
    <w:rsid w:val="00BC7B3B"/>
    <w:rsid w:val="00BD0B3F"/>
    <w:rsid w:val="00BD69E1"/>
    <w:rsid w:val="00BE64F0"/>
    <w:rsid w:val="00BF0014"/>
    <w:rsid w:val="00BF43A3"/>
    <w:rsid w:val="00BF5E30"/>
    <w:rsid w:val="00BF7416"/>
    <w:rsid w:val="00BF79B0"/>
    <w:rsid w:val="00BF7E20"/>
    <w:rsid w:val="00BF7EB7"/>
    <w:rsid w:val="00C02F36"/>
    <w:rsid w:val="00C03D32"/>
    <w:rsid w:val="00C04E4B"/>
    <w:rsid w:val="00C050CD"/>
    <w:rsid w:val="00C058A7"/>
    <w:rsid w:val="00C077E8"/>
    <w:rsid w:val="00C10F53"/>
    <w:rsid w:val="00C126A6"/>
    <w:rsid w:val="00C31767"/>
    <w:rsid w:val="00C3646B"/>
    <w:rsid w:val="00C44D69"/>
    <w:rsid w:val="00C45369"/>
    <w:rsid w:val="00C45E2E"/>
    <w:rsid w:val="00C50A3D"/>
    <w:rsid w:val="00C51648"/>
    <w:rsid w:val="00C56A6D"/>
    <w:rsid w:val="00C56CAC"/>
    <w:rsid w:val="00C7445F"/>
    <w:rsid w:val="00C756B9"/>
    <w:rsid w:val="00C75790"/>
    <w:rsid w:val="00C76F5D"/>
    <w:rsid w:val="00C808BC"/>
    <w:rsid w:val="00C86F92"/>
    <w:rsid w:val="00C9174D"/>
    <w:rsid w:val="00C949DA"/>
    <w:rsid w:val="00C95112"/>
    <w:rsid w:val="00C95CBA"/>
    <w:rsid w:val="00C97F4E"/>
    <w:rsid w:val="00CA2EAE"/>
    <w:rsid w:val="00CA5507"/>
    <w:rsid w:val="00CA675C"/>
    <w:rsid w:val="00CA73E3"/>
    <w:rsid w:val="00CA7CE3"/>
    <w:rsid w:val="00CB26B8"/>
    <w:rsid w:val="00CB4714"/>
    <w:rsid w:val="00CB5497"/>
    <w:rsid w:val="00CC11B0"/>
    <w:rsid w:val="00CC20BC"/>
    <w:rsid w:val="00CC25F7"/>
    <w:rsid w:val="00CC68B4"/>
    <w:rsid w:val="00CD1027"/>
    <w:rsid w:val="00CD412A"/>
    <w:rsid w:val="00CD6AB3"/>
    <w:rsid w:val="00CE10E0"/>
    <w:rsid w:val="00CE783D"/>
    <w:rsid w:val="00CF0395"/>
    <w:rsid w:val="00CF1157"/>
    <w:rsid w:val="00CF784F"/>
    <w:rsid w:val="00D02C31"/>
    <w:rsid w:val="00D04225"/>
    <w:rsid w:val="00D04D27"/>
    <w:rsid w:val="00D065B5"/>
    <w:rsid w:val="00D06F21"/>
    <w:rsid w:val="00D23498"/>
    <w:rsid w:val="00D25D63"/>
    <w:rsid w:val="00D34524"/>
    <w:rsid w:val="00D34FF5"/>
    <w:rsid w:val="00D35139"/>
    <w:rsid w:val="00D37A2E"/>
    <w:rsid w:val="00D43D9D"/>
    <w:rsid w:val="00D43DC7"/>
    <w:rsid w:val="00D53EF1"/>
    <w:rsid w:val="00D55DF4"/>
    <w:rsid w:val="00D569C5"/>
    <w:rsid w:val="00D62682"/>
    <w:rsid w:val="00D634DB"/>
    <w:rsid w:val="00D650B1"/>
    <w:rsid w:val="00D66CDD"/>
    <w:rsid w:val="00D67230"/>
    <w:rsid w:val="00D67950"/>
    <w:rsid w:val="00D7125B"/>
    <w:rsid w:val="00D71E82"/>
    <w:rsid w:val="00D7553F"/>
    <w:rsid w:val="00D75997"/>
    <w:rsid w:val="00D76CCC"/>
    <w:rsid w:val="00D77DED"/>
    <w:rsid w:val="00DA142B"/>
    <w:rsid w:val="00DA36A8"/>
    <w:rsid w:val="00DA577F"/>
    <w:rsid w:val="00DB06E4"/>
    <w:rsid w:val="00DB098F"/>
    <w:rsid w:val="00DB30F0"/>
    <w:rsid w:val="00DC3775"/>
    <w:rsid w:val="00DC7B41"/>
    <w:rsid w:val="00DD0551"/>
    <w:rsid w:val="00DD3048"/>
    <w:rsid w:val="00DD4CCE"/>
    <w:rsid w:val="00DD7187"/>
    <w:rsid w:val="00DD7CF5"/>
    <w:rsid w:val="00DE30C9"/>
    <w:rsid w:val="00DE53D3"/>
    <w:rsid w:val="00DE56F6"/>
    <w:rsid w:val="00DF04AC"/>
    <w:rsid w:val="00DF3C8B"/>
    <w:rsid w:val="00E01694"/>
    <w:rsid w:val="00E073AE"/>
    <w:rsid w:val="00E12C63"/>
    <w:rsid w:val="00E136BE"/>
    <w:rsid w:val="00E172F1"/>
    <w:rsid w:val="00E173C3"/>
    <w:rsid w:val="00E23D5D"/>
    <w:rsid w:val="00E273A0"/>
    <w:rsid w:val="00E30602"/>
    <w:rsid w:val="00E3437F"/>
    <w:rsid w:val="00E35C07"/>
    <w:rsid w:val="00E41584"/>
    <w:rsid w:val="00E42B61"/>
    <w:rsid w:val="00E43D66"/>
    <w:rsid w:val="00E46C5C"/>
    <w:rsid w:val="00E503B1"/>
    <w:rsid w:val="00E50999"/>
    <w:rsid w:val="00E52ED4"/>
    <w:rsid w:val="00E52FDD"/>
    <w:rsid w:val="00E54213"/>
    <w:rsid w:val="00E56607"/>
    <w:rsid w:val="00E60C3A"/>
    <w:rsid w:val="00E65C0E"/>
    <w:rsid w:val="00E72E7C"/>
    <w:rsid w:val="00E7394B"/>
    <w:rsid w:val="00E7452B"/>
    <w:rsid w:val="00E761EE"/>
    <w:rsid w:val="00E84555"/>
    <w:rsid w:val="00E92D45"/>
    <w:rsid w:val="00E9364B"/>
    <w:rsid w:val="00E951A0"/>
    <w:rsid w:val="00E961DB"/>
    <w:rsid w:val="00EA2A22"/>
    <w:rsid w:val="00EA47D5"/>
    <w:rsid w:val="00EB007F"/>
    <w:rsid w:val="00EB4BCB"/>
    <w:rsid w:val="00EB65DE"/>
    <w:rsid w:val="00EB6D09"/>
    <w:rsid w:val="00EC2B9F"/>
    <w:rsid w:val="00EC674F"/>
    <w:rsid w:val="00ED0183"/>
    <w:rsid w:val="00ED2E34"/>
    <w:rsid w:val="00ED2F6F"/>
    <w:rsid w:val="00ED4307"/>
    <w:rsid w:val="00EE0592"/>
    <w:rsid w:val="00EE3CAB"/>
    <w:rsid w:val="00EE5305"/>
    <w:rsid w:val="00EE5FC0"/>
    <w:rsid w:val="00EF17A9"/>
    <w:rsid w:val="00EF616D"/>
    <w:rsid w:val="00EF70AF"/>
    <w:rsid w:val="00F0345C"/>
    <w:rsid w:val="00F03468"/>
    <w:rsid w:val="00F055F2"/>
    <w:rsid w:val="00F06E4C"/>
    <w:rsid w:val="00F07176"/>
    <w:rsid w:val="00F119C6"/>
    <w:rsid w:val="00F129DE"/>
    <w:rsid w:val="00F13B03"/>
    <w:rsid w:val="00F14867"/>
    <w:rsid w:val="00F202FF"/>
    <w:rsid w:val="00F222F7"/>
    <w:rsid w:val="00F26CE2"/>
    <w:rsid w:val="00F26E14"/>
    <w:rsid w:val="00F331C5"/>
    <w:rsid w:val="00F3765D"/>
    <w:rsid w:val="00F3783C"/>
    <w:rsid w:val="00F37B1A"/>
    <w:rsid w:val="00F426B7"/>
    <w:rsid w:val="00F538AC"/>
    <w:rsid w:val="00F63E09"/>
    <w:rsid w:val="00F658FF"/>
    <w:rsid w:val="00F65BCA"/>
    <w:rsid w:val="00F72761"/>
    <w:rsid w:val="00F73C00"/>
    <w:rsid w:val="00F81766"/>
    <w:rsid w:val="00F82847"/>
    <w:rsid w:val="00F82B46"/>
    <w:rsid w:val="00F84CB0"/>
    <w:rsid w:val="00F91053"/>
    <w:rsid w:val="00F917D2"/>
    <w:rsid w:val="00F934B2"/>
    <w:rsid w:val="00F96295"/>
    <w:rsid w:val="00FA0B70"/>
    <w:rsid w:val="00FA0B86"/>
    <w:rsid w:val="00FA4DA8"/>
    <w:rsid w:val="00FA68E1"/>
    <w:rsid w:val="00FA70A3"/>
    <w:rsid w:val="00FB0249"/>
    <w:rsid w:val="00FB1C48"/>
    <w:rsid w:val="00FB74A8"/>
    <w:rsid w:val="00FC0397"/>
    <w:rsid w:val="00FC1294"/>
    <w:rsid w:val="00FC32C1"/>
    <w:rsid w:val="00FD33B8"/>
    <w:rsid w:val="00FD6B8C"/>
    <w:rsid w:val="00FE0246"/>
    <w:rsid w:val="00FE39B7"/>
    <w:rsid w:val="00FE44B2"/>
    <w:rsid w:val="00FE59E5"/>
    <w:rsid w:val="00FE5DE6"/>
    <w:rsid w:val="00FE6E24"/>
    <w:rsid w:val="00FE7652"/>
    <w:rsid w:val="00FE7E91"/>
    <w:rsid w:val="00FF4149"/>
    <w:rsid w:val="00FF6519"/>
    <w:rsid w:val="00FF6B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680A"/>
  <w15:chartTrackingRefBased/>
  <w15:docId w15:val="{EA56CC26-BD0D-4C7C-8935-408E37C6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4743"/>
    <w:pPr>
      <w:ind w:left="720"/>
      <w:contextualSpacing/>
    </w:pPr>
  </w:style>
  <w:style w:type="table" w:styleId="Tabela-Siatka">
    <w:name w:val="Table Grid"/>
    <w:basedOn w:val="Standardowy"/>
    <w:uiPriority w:val="59"/>
    <w:rsid w:val="00113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1B7112"/>
    <w:pPr>
      <w:tabs>
        <w:tab w:val="center" w:pos="4536"/>
        <w:tab w:val="right" w:pos="9072"/>
      </w:tabs>
      <w:spacing w:after="0" w:line="240" w:lineRule="auto"/>
    </w:pPr>
  </w:style>
  <w:style w:type="character" w:customStyle="1" w:styleId="NagwekZnak">
    <w:name w:val="Nagłówek Znak"/>
    <w:basedOn w:val="Domylnaczcionkaakapitu"/>
    <w:link w:val="Nagwek"/>
    <w:rsid w:val="001B7112"/>
  </w:style>
  <w:style w:type="paragraph" w:styleId="Stopka">
    <w:name w:val="footer"/>
    <w:basedOn w:val="Normalny"/>
    <w:link w:val="StopkaZnak"/>
    <w:uiPriority w:val="99"/>
    <w:unhideWhenUsed/>
    <w:rsid w:val="001B71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7112"/>
  </w:style>
  <w:style w:type="character" w:customStyle="1" w:styleId="st">
    <w:name w:val="st"/>
    <w:basedOn w:val="Domylnaczcionkaakapitu"/>
    <w:rsid w:val="004E7017"/>
  </w:style>
  <w:style w:type="character" w:styleId="Hipercze">
    <w:name w:val="Hyperlink"/>
    <w:basedOn w:val="Domylnaczcionkaakapitu"/>
    <w:uiPriority w:val="99"/>
    <w:unhideWhenUsed/>
    <w:rsid w:val="00CE783D"/>
    <w:rPr>
      <w:color w:val="0563C1" w:themeColor="hyperlink"/>
      <w:u w:val="single"/>
    </w:rPr>
  </w:style>
  <w:style w:type="paragraph" w:styleId="Tekstdymka">
    <w:name w:val="Balloon Text"/>
    <w:basedOn w:val="Normalny"/>
    <w:link w:val="TekstdymkaZnak"/>
    <w:uiPriority w:val="99"/>
    <w:semiHidden/>
    <w:unhideWhenUsed/>
    <w:rsid w:val="004620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2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40953">
      <w:bodyDiv w:val="1"/>
      <w:marLeft w:val="0"/>
      <w:marRight w:val="0"/>
      <w:marTop w:val="0"/>
      <w:marBottom w:val="0"/>
      <w:divBdr>
        <w:top w:val="none" w:sz="0" w:space="0" w:color="auto"/>
        <w:left w:val="none" w:sz="0" w:space="0" w:color="auto"/>
        <w:bottom w:val="none" w:sz="0" w:space="0" w:color="auto"/>
        <w:right w:val="none" w:sz="0" w:space="0" w:color="auto"/>
      </w:divBdr>
      <w:divsChild>
        <w:div w:id="478771238">
          <w:marLeft w:val="0"/>
          <w:marRight w:val="0"/>
          <w:marTop w:val="0"/>
          <w:marBottom w:val="0"/>
          <w:divBdr>
            <w:top w:val="none" w:sz="0" w:space="0" w:color="auto"/>
            <w:left w:val="none" w:sz="0" w:space="0" w:color="auto"/>
            <w:bottom w:val="none" w:sz="0" w:space="0" w:color="auto"/>
            <w:right w:val="none" w:sz="0" w:space="0" w:color="auto"/>
          </w:divBdr>
          <w:divsChild>
            <w:div w:id="2001932216">
              <w:marLeft w:val="0"/>
              <w:marRight w:val="0"/>
              <w:marTop w:val="0"/>
              <w:marBottom w:val="0"/>
              <w:divBdr>
                <w:top w:val="none" w:sz="0" w:space="0" w:color="auto"/>
                <w:left w:val="none" w:sz="0" w:space="0" w:color="auto"/>
                <w:bottom w:val="none" w:sz="0" w:space="0" w:color="auto"/>
                <w:right w:val="none" w:sz="0" w:space="0" w:color="auto"/>
              </w:divBdr>
              <w:divsChild>
                <w:div w:id="938679514">
                  <w:marLeft w:val="0"/>
                  <w:marRight w:val="0"/>
                  <w:marTop w:val="0"/>
                  <w:marBottom w:val="0"/>
                  <w:divBdr>
                    <w:top w:val="none" w:sz="0" w:space="0" w:color="auto"/>
                    <w:left w:val="none" w:sz="0" w:space="0" w:color="auto"/>
                    <w:bottom w:val="none" w:sz="0" w:space="0" w:color="auto"/>
                    <w:right w:val="none" w:sz="0" w:space="0" w:color="auto"/>
                  </w:divBdr>
                  <w:divsChild>
                    <w:div w:id="1122655006">
                      <w:marLeft w:val="0"/>
                      <w:marRight w:val="0"/>
                      <w:marTop w:val="0"/>
                      <w:marBottom w:val="0"/>
                      <w:divBdr>
                        <w:top w:val="none" w:sz="0" w:space="0" w:color="auto"/>
                        <w:left w:val="none" w:sz="0" w:space="0" w:color="auto"/>
                        <w:bottom w:val="none" w:sz="0" w:space="0" w:color="auto"/>
                        <w:right w:val="none" w:sz="0" w:space="0" w:color="auto"/>
                      </w:divBdr>
                      <w:divsChild>
                        <w:div w:id="1713260617">
                          <w:marLeft w:val="0"/>
                          <w:marRight w:val="0"/>
                          <w:marTop w:val="0"/>
                          <w:marBottom w:val="0"/>
                          <w:divBdr>
                            <w:top w:val="none" w:sz="0" w:space="0" w:color="auto"/>
                            <w:left w:val="none" w:sz="0" w:space="0" w:color="auto"/>
                            <w:bottom w:val="none" w:sz="0" w:space="0" w:color="auto"/>
                            <w:right w:val="none" w:sz="0" w:space="0" w:color="auto"/>
                          </w:divBdr>
                          <w:divsChild>
                            <w:div w:id="732389258">
                              <w:marLeft w:val="0"/>
                              <w:marRight w:val="300"/>
                              <w:marTop w:val="180"/>
                              <w:marBottom w:val="0"/>
                              <w:divBdr>
                                <w:top w:val="none" w:sz="0" w:space="0" w:color="auto"/>
                                <w:left w:val="none" w:sz="0" w:space="0" w:color="auto"/>
                                <w:bottom w:val="none" w:sz="0" w:space="0" w:color="auto"/>
                                <w:right w:val="none" w:sz="0" w:space="0" w:color="auto"/>
                              </w:divBdr>
                              <w:divsChild>
                                <w:div w:id="4771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381562">
          <w:marLeft w:val="0"/>
          <w:marRight w:val="0"/>
          <w:marTop w:val="0"/>
          <w:marBottom w:val="0"/>
          <w:divBdr>
            <w:top w:val="none" w:sz="0" w:space="0" w:color="auto"/>
            <w:left w:val="none" w:sz="0" w:space="0" w:color="auto"/>
            <w:bottom w:val="none" w:sz="0" w:space="0" w:color="auto"/>
            <w:right w:val="none" w:sz="0" w:space="0" w:color="auto"/>
          </w:divBdr>
          <w:divsChild>
            <w:div w:id="1532107959">
              <w:marLeft w:val="0"/>
              <w:marRight w:val="0"/>
              <w:marTop w:val="0"/>
              <w:marBottom w:val="0"/>
              <w:divBdr>
                <w:top w:val="none" w:sz="0" w:space="0" w:color="auto"/>
                <w:left w:val="none" w:sz="0" w:space="0" w:color="auto"/>
                <w:bottom w:val="none" w:sz="0" w:space="0" w:color="auto"/>
                <w:right w:val="none" w:sz="0" w:space="0" w:color="auto"/>
              </w:divBdr>
              <w:divsChild>
                <w:div w:id="1111976760">
                  <w:marLeft w:val="0"/>
                  <w:marRight w:val="0"/>
                  <w:marTop w:val="0"/>
                  <w:marBottom w:val="0"/>
                  <w:divBdr>
                    <w:top w:val="none" w:sz="0" w:space="0" w:color="auto"/>
                    <w:left w:val="none" w:sz="0" w:space="0" w:color="auto"/>
                    <w:bottom w:val="none" w:sz="0" w:space="0" w:color="auto"/>
                    <w:right w:val="none" w:sz="0" w:space="0" w:color="auto"/>
                  </w:divBdr>
                  <w:divsChild>
                    <w:div w:id="212426490">
                      <w:marLeft w:val="0"/>
                      <w:marRight w:val="0"/>
                      <w:marTop w:val="0"/>
                      <w:marBottom w:val="0"/>
                      <w:divBdr>
                        <w:top w:val="none" w:sz="0" w:space="0" w:color="auto"/>
                        <w:left w:val="none" w:sz="0" w:space="0" w:color="auto"/>
                        <w:bottom w:val="none" w:sz="0" w:space="0" w:color="auto"/>
                        <w:right w:val="none" w:sz="0" w:space="0" w:color="auto"/>
                      </w:divBdr>
                      <w:divsChild>
                        <w:div w:id="16690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388786">
      <w:bodyDiv w:val="1"/>
      <w:marLeft w:val="0"/>
      <w:marRight w:val="0"/>
      <w:marTop w:val="0"/>
      <w:marBottom w:val="0"/>
      <w:divBdr>
        <w:top w:val="none" w:sz="0" w:space="0" w:color="auto"/>
        <w:left w:val="none" w:sz="0" w:space="0" w:color="auto"/>
        <w:bottom w:val="none" w:sz="0" w:space="0" w:color="auto"/>
        <w:right w:val="none" w:sz="0" w:space="0" w:color="auto"/>
      </w:divBdr>
    </w:div>
    <w:div w:id="10447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EF046-BB82-402A-AE98-5E0ACD8C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8</Pages>
  <Words>3776</Words>
  <Characters>22656</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Pospieszny</dc:creator>
  <cp:keywords/>
  <dc:description/>
  <cp:lastModifiedBy>i.smiszko@kompass-consulting.pl</cp:lastModifiedBy>
  <cp:revision>52</cp:revision>
  <dcterms:created xsi:type="dcterms:W3CDTF">2016-10-04T14:25:00Z</dcterms:created>
  <dcterms:modified xsi:type="dcterms:W3CDTF">2021-05-24T08:46:00Z</dcterms:modified>
</cp:coreProperties>
</file>