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03642" w14:textId="45277B7A" w:rsidR="00C60369" w:rsidRPr="0088714E" w:rsidRDefault="00E12CA8" w:rsidP="0088714E">
      <w:pPr>
        <w:spacing w:line="240" w:lineRule="auto"/>
        <w:jc w:val="center"/>
        <w:outlineLvl w:val="0"/>
        <w:rPr>
          <w:rFonts w:ascii="Arial" w:hAnsi="Arial" w:cs="Arial"/>
          <w:b/>
          <w:bCs/>
        </w:rPr>
      </w:pPr>
      <w:bookmarkStart w:id="0" w:name="_Toc37430076"/>
      <w:r w:rsidRPr="00495E7F">
        <w:rPr>
          <w:rFonts w:ascii="Arial" w:hAnsi="Arial" w:cs="Arial"/>
          <w:b/>
          <w:bCs/>
        </w:rPr>
        <w:t xml:space="preserve">Załącznik nr 9 </w:t>
      </w:r>
      <w:r w:rsidR="00C60369" w:rsidRPr="00495E7F">
        <w:rPr>
          <w:rFonts w:ascii="Arial" w:hAnsi="Arial" w:cs="Arial"/>
          <w:b/>
          <w:bCs/>
        </w:rPr>
        <w:t>–</w:t>
      </w:r>
      <w:r w:rsidRPr="00495E7F">
        <w:rPr>
          <w:rFonts w:ascii="Arial" w:hAnsi="Arial" w:cs="Arial"/>
          <w:b/>
          <w:bCs/>
        </w:rPr>
        <w:t xml:space="preserve"> G</w:t>
      </w:r>
      <w:bookmarkEnd w:id="0"/>
      <w:r w:rsidRPr="00495E7F">
        <w:rPr>
          <w:rFonts w:ascii="Arial" w:hAnsi="Arial" w:cs="Arial"/>
          <w:b/>
          <w:bCs/>
        </w:rPr>
        <w:t>warancja</w:t>
      </w:r>
    </w:p>
    <w:p w14:paraId="32A6A4BB" w14:textId="66972F41" w:rsidR="00E12CA8" w:rsidRDefault="00E12CA8" w:rsidP="00940E9B">
      <w:pPr>
        <w:pStyle w:val="Akapitzlist"/>
        <w:numPr>
          <w:ilvl w:val="0"/>
          <w:numId w:val="1"/>
        </w:numPr>
        <w:tabs>
          <w:tab w:val="clear" w:pos="851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12CA8">
        <w:rPr>
          <w:rFonts w:ascii="Arial" w:hAnsi="Arial" w:cs="Arial"/>
          <w:b/>
          <w:bCs/>
          <w:sz w:val="20"/>
          <w:szCs w:val="20"/>
        </w:rPr>
        <w:t>PRZEDMIOT I OKRES GWARANCJI</w:t>
      </w:r>
    </w:p>
    <w:p w14:paraId="3E0A68E9" w14:textId="77777777" w:rsidR="00E12CA8" w:rsidRPr="00E12CA8" w:rsidRDefault="00E12CA8" w:rsidP="00E12CA8">
      <w:pPr>
        <w:pStyle w:val="Akapitzlist"/>
        <w:spacing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473FFCE2" w14:textId="77777777" w:rsidR="00940E9B" w:rsidRPr="00940E9B" w:rsidRDefault="00E12CA8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E12CA8">
        <w:rPr>
          <w:rFonts w:ascii="Arial" w:hAnsi="Arial" w:cs="Arial"/>
          <w:sz w:val="20"/>
          <w:szCs w:val="20"/>
        </w:rPr>
        <w:t xml:space="preserve">W ramach wynagrodzenia za Wdrożenie Wykonawca udziela Zamawiającemu Gwarancji na System </w:t>
      </w:r>
      <w:r w:rsidR="001848C7">
        <w:rPr>
          <w:rFonts w:ascii="Arial" w:hAnsi="Arial" w:cs="Arial"/>
          <w:sz w:val="20"/>
          <w:szCs w:val="20"/>
        </w:rPr>
        <w:t>oraz</w:t>
      </w:r>
      <w:r w:rsidRPr="00E12CA8">
        <w:rPr>
          <w:rFonts w:ascii="Arial" w:hAnsi="Arial" w:cs="Arial"/>
          <w:sz w:val="20"/>
          <w:szCs w:val="20"/>
        </w:rPr>
        <w:t xml:space="preserve"> wszelkie </w:t>
      </w:r>
      <w:r w:rsidR="00663BA9">
        <w:rPr>
          <w:rFonts w:ascii="Arial" w:hAnsi="Arial" w:cs="Arial"/>
          <w:sz w:val="20"/>
          <w:szCs w:val="20"/>
        </w:rPr>
        <w:t>Produkty</w:t>
      </w:r>
      <w:r w:rsidRPr="00E12CA8">
        <w:rPr>
          <w:rFonts w:ascii="Arial" w:hAnsi="Arial" w:cs="Arial"/>
          <w:sz w:val="20"/>
          <w:szCs w:val="20"/>
        </w:rPr>
        <w:t xml:space="preserve"> powstałe w wyniku </w:t>
      </w:r>
      <w:r w:rsidR="00663BA9">
        <w:rPr>
          <w:rFonts w:ascii="Arial" w:hAnsi="Arial" w:cs="Arial"/>
          <w:sz w:val="20"/>
          <w:szCs w:val="20"/>
        </w:rPr>
        <w:t>Wdrożenia</w:t>
      </w:r>
      <w:r w:rsidRPr="00E12CA8">
        <w:rPr>
          <w:rFonts w:ascii="Arial" w:hAnsi="Arial" w:cs="Arial"/>
          <w:sz w:val="20"/>
          <w:szCs w:val="20"/>
        </w:rPr>
        <w:t xml:space="preserve">. </w:t>
      </w:r>
    </w:p>
    <w:p w14:paraId="5F2831A1" w14:textId="77777777" w:rsidR="00940E9B" w:rsidRPr="00940E9B" w:rsidRDefault="00E12CA8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 xml:space="preserve">W ramach wynagrodzenia za Zlecenie </w:t>
      </w:r>
      <w:bookmarkStart w:id="1" w:name="_Hlk38796272"/>
      <w:r w:rsidRPr="00940E9B">
        <w:rPr>
          <w:rFonts w:ascii="Arial" w:hAnsi="Arial" w:cs="Arial"/>
          <w:sz w:val="20"/>
          <w:szCs w:val="20"/>
        </w:rPr>
        <w:t>Wykonawca udziela Zamawiającemu Gwarancji na Zlecenie</w:t>
      </w:r>
      <w:r w:rsidR="00055CDC" w:rsidRPr="00940E9B">
        <w:rPr>
          <w:rFonts w:ascii="Arial" w:hAnsi="Arial" w:cs="Arial"/>
          <w:sz w:val="20"/>
          <w:szCs w:val="20"/>
        </w:rPr>
        <w:t xml:space="preserve"> </w:t>
      </w:r>
      <w:r w:rsidR="001848C7" w:rsidRPr="00940E9B">
        <w:rPr>
          <w:rFonts w:ascii="Arial" w:hAnsi="Arial" w:cs="Arial"/>
          <w:sz w:val="20"/>
          <w:szCs w:val="20"/>
        </w:rPr>
        <w:t xml:space="preserve"> </w:t>
      </w:r>
      <w:r w:rsidR="00577F46" w:rsidRPr="00940E9B">
        <w:rPr>
          <w:rFonts w:ascii="Arial" w:hAnsi="Arial" w:cs="Arial"/>
          <w:sz w:val="20"/>
          <w:szCs w:val="20"/>
        </w:rPr>
        <w:t>oraz wszelkie</w:t>
      </w:r>
      <w:r w:rsidRPr="00940E9B">
        <w:rPr>
          <w:rFonts w:ascii="Arial" w:hAnsi="Arial" w:cs="Arial"/>
          <w:sz w:val="20"/>
          <w:szCs w:val="20"/>
        </w:rPr>
        <w:t xml:space="preserve"> </w:t>
      </w:r>
      <w:r w:rsidR="00663BA9" w:rsidRPr="00940E9B">
        <w:rPr>
          <w:rFonts w:ascii="Arial" w:hAnsi="Arial" w:cs="Arial"/>
          <w:sz w:val="20"/>
          <w:szCs w:val="20"/>
        </w:rPr>
        <w:t>Produkty</w:t>
      </w:r>
      <w:r w:rsidRPr="00940E9B">
        <w:rPr>
          <w:rFonts w:ascii="Arial" w:hAnsi="Arial" w:cs="Arial"/>
          <w:sz w:val="20"/>
          <w:szCs w:val="20"/>
        </w:rPr>
        <w:t xml:space="preserve"> powstałe w wyniku świadczenia </w:t>
      </w:r>
      <w:r w:rsidR="00663BA9" w:rsidRPr="00940E9B">
        <w:rPr>
          <w:rFonts w:ascii="Arial" w:hAnsi="Arial" w:cs="Arial"/>
          <w:sz w:val="20"/>
          <w:szCs w:val="20"/>
        </w:rPr>
        <w:t>usługi</w:t>
      </w:r>
      <w:r w:rsidRPr="00940E9B">
        <w:rPr>
          <w:rFonts w:ascii="Arial" w:hAnsi="Arial" w:cs="Arial"/>
          <w:sz w:val="20"/>
          <w:szCs w:val="20"/>
        </w:rPr>
        <w:t xml:space="preserve"> Rozwoju</w:t>
      </w:r>
      <w:bookmarkEnd w:id="1"/>
      <w:r w:rsidRPr="00940E9B">
        <w:rPr>
          <w:rFonts w:ascii="Arial" w:hAnsi="Arial" w:cs="Arial"/>
          <w:sz w:val="20"/>
          <w:szCs w:val="20"/>
        </w:rPr>
        <w:t xml:space="preserve">. </w:t>
      </w:r>
    </w:p>
    <w:p w14:paraId="1701FB13" w14:textId="77777777" w:rsidR="00940E9B" w:rsidRPr="00940E9B" w:rsidRDefault="00663BA9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>W ramach wynagrodzenia za Serwis Wykonawca udziela Zamawiającemu Gwarancji na wszelkie Produkty powstałe w wyniku świadczenia usługi Serwisu.</w:t>
      </w:r>
    </w:p>
    <w:p w14:paraId="5214A01B" w14:textId="6EB7AA02" w:rsidR="00C60369" w:rsidRPr="00940E9B" w:rsidRDefault="00E12CA8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45033467"/>
      <w:r w:rsidRPr="00940E9B">
        <w:rPr>
          <w:rFonts w:ascii="Arial" w:hAnsi="Arial" w:cs="Arial"/>
          <w:sz w:val="20"/>
          <w:szCs w:val="20"/>
        </w:rPr>
        <w:t>Wykonawca udziela Gwarancji na zasadach wskazanych poniżej na okres</w:t>
      </w:r>
      <w:r w:rsidR="00C60369" w:rsidRPr="00940E9B">
        <w:rPr>
          <w:rFonts w:ascii="Arial" w:hAnsi="Arial" w:cs="Arial"/>
          <w:sz w:val="20"/>
          <w:szCs w:val="20"/>
        </w:rPr>
        <w:t>:</w:t>
      </w:r>
    </w:p>
    <w:p w14:paraId="765A90CC" w14:textId="4765D145" w:rsidR="009C4CA4" w:rsidRPr="009C4CA4" w:rsidRDefault="00663BA9" w:rsidP="009C4CA4">
      <w:pPr>
        <w:pStyle w:val="Akapitzlist"/>
        <w:numPr>
          <w:ilvl w:val="2"/>
          <w:numId w:val="18"/>
        </w:numPr>
        <w:spacing w:line="240" w:lineRule="auto"/>
        <w:ind w:left="1701" w:hanging="85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System – na okres </w:t>
      </w:r>
      <w:r w:rsidR="00B8540C">
        <w:rPr>
          <w:rFonts w:ascii="Arial" w:hAnsi="Arial" w:cs="Arial"/>
          <w:sz w:val="20"/>
          <w:szCs w:val="20"/>
        </w:rPr>
        <w:t>1 roku</w:t>
      </w:r>
      <w:r w:rsidR="00E12CA8" w:rsidRPr="001075FF">
        <w:rPr>
          <w:rFonts w:ascii="Arial" w:hAnsi="Arial" w:cs="Arial"/>
          <w:sz w:val="20"/>
          <w:szCs w:val="20"/>
        </w:rPr>
        <w:t xml:space="preserve"> </w:t>
      </w:r>
      <w:r w:rsidR="00B8540C" w:rsidRPr="001075FF">
        <w:rPr>
          <w:rFonts w:ascii="Arial" w:hAnsi="Arial" w:cs="Arial"/>
          <w:sz w:val="20"/>
          <w:szCs w:val="20"/>
        </w:rPr>
        <w:t>liczon</w:t>
      </w:r>
      <w:r w:rsidR="00B8540C">
        <w:rPr>
          <w:rFonts w:ascii="Arial" w:hAnsi="Arial" w:cs="Arial"/>
          <w:sz w:val="20"/>
          <w:szCs w:val="20"/>
        </w:rPr>
        <w:t>ego</w:t>
      </w:r>
      <w:r w:rsidR="00B8540C" w:rsidRPr="001075FF">
        <w:rPr>
          <w:rFonts w:ascii="Arial" w:hAnsi="Arial" w:cs="Arial"/>
          <w:sz w:val="20"/>
          <w:szCs w:val="20"/>
        </w:rPr>
        <w:t xml:space="preserve"> </w:t>
      </w:r>
      <w:r w:rsidR="00E12CA8" w:rsidRPr="001075FF">
        <w:rPr>
          <w:rFonts w:ascii="Arial" w:hAnsi="Arial" w:cs="Arial"/>
          <w:sz w:val="20"/>
          <w:szCs w:val="20"/>
        </w:rPr>
        <w:t>od daty Odbioru Końcowego</w:t>
      </w:r>
      <w:r w:rsidR="001075FF">
        <w:rPr>
          <w:rFonts w:ascii="Arial" w:hAnsi="Arial" w:cs="Arial"/>
          <w:sz w:val="20"/>
          <w:szCs w:val="20"/>
        </w:rPr>
        <w:t>,</w:t>
      </w:r>
    </w:p>
    <w:p w14:paraId="1B851E35" w14:textId="414272F0" w:rsidR="009C4CA4" w:rsidRPr="009C4CA4" w:rsidRDefault="00663BA9" w:rsidP="009C4CA4">
      <w:pPr>
        <w:pStyle w:val="Akapitzlist"/>
        <w:numPr>
          <w:ilvl w:val="2"/>
          <w:numId w:val="18"/>
        </w:numPr>
        <w:spacing w:line="240" w:lineRule="auto"/>
        <w:ind w:left="1701" w:hanging="850"/>
        <w:jc w:val="both"/>
        <w:rPr>
          <w:rFonts w:ascii="Arial" w:hAnsi="Arial" w:cs="Arial"/>
          <w:b/>
          <w:bCs/>
          <w:sz w:val="20"/>
          <w:szCs w:val="20"/>
        </w:rPr>
      </w:pPr>
      <w:r w:rsidRPr="009C4CA4">
        <w:rPr>
          <w:rFonts w:ascii="Arial" w:hAnsi="Arial" w:cs="Arial"/>
          <w:sz w:val="20"/>
          <w:szCs w:val="20"/>
        </w:rPr>
        <w:t>na</w:t>
      </w:r>
      <w:r w:rsidR="00E12CA8" w:rsidRPr="009C4CA4">
        <w:rPr>
          <w:rFonts w:ascii="Arial" w:hAnsi="Arial" w:cs="Arial"/>
          <w:sz w:val="20"/>
          <w:szCs w:val="20"/>
        </w:rPr>
        <w:t xml:space="preserve"> Zlece</w:t>
      </w:r>
      <w:r w:rsidRPr="009C4CA4">
        <w:rPr>
          <w:rFonts w:ascii="Arial" w:hAnsi="Arial" w:cs="Arial"/>
          <w:sz w:val="20"/>
          <w:szCs w:val="20"/>
        </w:rPr>
        <w:t xml:space="preserve">nie </w:t>
      </w:r>
      <w:r w:rsidR="00E12CA8" w:rsidRPr="009C4CA4">
        <w:rPr>
          <w:rFonts w:ascii="Arial" w:hAnsi="Arial" w:cs="Arial"/>
          <w:sz w:val="20"/>
          <w:szCs w:val="20"/>
        </w:rPr>
        <w:t xml:space="preserve">– na okres </w:t>
      </w:r>
      <w:r w:rsidR="00B8540C">
        <w:rPr>
          <w:rFonts w:ascii="Arial" w:hAnsi="Arial" w:cs="Arial"/>
          <w:sz w:val="20"/>
          <w:szCs w:val="20"/>
        </w:rPr>
        <w:t>3</w:t>
      </w:r>
      <w:r w:rsidR="00B8540C" w:rsidRPr="009C4CA4">
        <w:rPr>
          <w:rFonts w:ascii="Arial" w:hAnsi="Arial" w:cs="Arial"/>
          <w:sz w:val="20"/>
          <w:szCs w:val="20"/>
        </w:rPr>
        <w:t xml:space="preserve"> </w:t>
      </w:r>
      <w:r w:rsidR="00E12CA8" w:rsidRPr="009C4CA4">
        <w:rPr>
          <w:rFonts w:ascii="Arial" w:hAnsi="Arial" w:cs="Arial"/>
          <w:sz w:val="20"/>
          <w:szCs w:val="20"/>
        </w:rPr>
        <w:t xml:space="preserve">miesięcy od daty Odbioru </w:t>
      </w:r>
      <w:r w:rsidRPr="009C4CA4">
        <w:rPr>
          <w:rFonts w:ascii="Arial" w:hAnsi="Arial" w:cs="Arial"/>
          <w:sz w:val="20"/>
          <w:szCs w:val="20"/>
        </w:rPr>
        <w:t xml:space="preserve">- </w:t>
      </w:r>
      <w:r w:rsidR="001075FF" w:rsidRPr="009C4CA4">
        <w:rPr>
          <w:rFonts w:ascii="Arial" w:hAnsi="Arial" w:cs="Arial"/>
          <w:sz w:val="20"/>
          <w:szCs w:val="20"/>
        </w:rPr>
        <w:t xml:space="preserve">chyba, że okres ten wygasłby w okresie trwania Gwarancji udzielonej na okres </w:t>
      </w:r>
      <w:r w:rsidR="00B8540C">
        <w:rPr>
          <w:rFonts w:ascii="Arial" w:hAnsi="Arial" w:cs="Arial"/>
          <w:sz w:val="20"/>
          <w:szCs w:val="20"/>
        </w:rPr>
        <w:t>1 roku</w:t>
      </w:r>
      <w:r w:rsidR="001075FF" w:rsidRPr="009C4CA4">
        <w:rPr>
          <w:rFonts w:ascii="Arial" w:hAnsi="Arial" w:cs="Arial"/>
          <w:sz w:val="20"/>
          <w:szCs w:val="20"/>
        </w:rPr>
        <w:t xml:space="preserve"> – wtedy Gwarancja dotycząca Zlecenia udzielona jest na okres </w:t>
      </w:r>
      <w:r w:rsidR="00567FA9" w:rsidRPr="009C4CA4">
        <w:rPr>
          <w:rFonts w:ascii="Arial" w:hAnsi="Arial" w:cs="Arial"/>
          <w:sz w:val="20"/>
          <w:szCs w:val="20"/>
        </w:rPr>
        <w:t>nie krótszy niż</w:t>
      </w:r>
      <w:r w:rsidR="001075FF" w:rsidRPr="009C4CA4">
        <w:rPr>
          <w:rFonts w:ascii="Arial" w:hAnsi="Arial" w:cs="Arial"/>
          <w:sz w:val="20"/>
          <w:szCs w:val="20"/>
        </w:rPr>
        <w:t xml:space="preserve"> okres pozostałej Gwarancji</w:t>
      </w:r>
      <w:r w:rsidRPr="009C4CA4">
        <w:rPr>
          <w:rFonts w:ascii="Arial" w:hAnsi="Arial" w:cs="Arial"/>
          <w:sz w:val="20"/>
          <w:szCs w:val="20"/>
        </w:rPr>
        <w:t>,</w:t>
      </w:r>
    </w:p>
    <w:p w14:paraId="599B3F77" w14:textId="3B2EA1DA" w:rsidR="001075FF" w:rsidRPr="009C4CA4" w:rsidRDefault="00663BA9" w:rsidP="009C4CA4">
      <w:pPr>
        <w:pStyle w:val="Akapitzlist"/>
        <w:numPr>
          <w:ilvl w:val="2"/>
          <w:numId w:val="18"/>
        </w:numPr>
        <w:spacing w:line="240" w:lineRule="auto"/>
        <w:ind w:left="1701" w:hanging="850"/>
        <w:jc w:val="both"/>
        <w:rPr>
          <w:rFonts w:ascii="Arial" w:hAnsi="Arial" w:cs="Arial"/>
          <w:b/>
          <w:bCs/>
          <w:sz w:val="20"/>
          <w:szCs w:val="20"/>
        </w:rPr>
      </w:pPr>
      <w:r w:rsidRPr="009C4CA4">
        <w:rPr>
          <w:rFonts w:ascii="Arial" w:hAnsi="Arial" w:cs="Arial"/>
          <w:sz w:val="20"/>
          <w:szCs w:val="20"/>
        </w:rPr>
        <w:t xml:space="preserve">na Produkt powstały w toku świadczenia usługi Serwisu – na okres </w:t>
      </w:r>
      <w:r w:rsidR="00B8540C">
        <w:rPr>
          <w:rFonts w:ascii="Arial" w:hAnsi="Arial" w:cs="Arial"/>
          <w:sz w:val="20"/>
          <w:szCs w:val="20"/>
        </w:rPr>
        <w:t>3</w:t>
      </w:r>
      <w:r w:rsidR="00B8540C" w:rsidRPr="009C4CA4">
        <w:rPr>
          <w:rFonts w:ascii="Arial" w:hAnsi="Arial" w:cs="Arial"/>
          <w:sz w:val="20"/>
          <w:szCs w:val="20"/>
        </w:rPr>
        <w:t xml:space="preserve"> </w:t>
      </w:r>
      <w:r w:rsidRPr="009C4CA4">
        <w:rPr>
          <w:rFonts w:ascii="Arial" w:hAnsi="Arial" w:cs="Arial"/>
          <w:sz w:val="20"/>
          <w:szCs w:val="20"/>
        </w:rPr>
        <w:t xml:space="preserve">miesięcy od daty Odbioru - chyba, że okres ten wygasłby w okresie trwania Gwarancji udzielonej na okres </w:t>
      </w:r>
      <w:r w:rsidR="00B8540C">
        <w:rPr>
          <w:rFonts w:ascii="Arial" w:hAnsi="Arial" w:cs="Arial"/>
          <w:sz w:val="20"/>
          <w:szCs w:val="20"/>
        </w:rPr>
        <w:t>1 roku</w:t>
      </w:r>
      <w:r w:rsidRPr="009C4CA4">
        <w:rPr>
          <w:rFonts w:ascii="Arial" w:hAnsi="Arial" w:cs="Arial"/>
          <w:sz w:val="20"/>
          <w:szCs w:val="20"/>
        </w:rPr>
        <w:t xml:space="preserve"> – wtedy Gwarancja dotycząca Produktu udzielona jest na okres nie krótszy niż okres pozostałej Gwarancji</w:t>
      </w:r>
      <w:r w:rsidR="001075FF" w:rsidRPr="009C4CA4">
        <w:rPr>
          <w:rFonts w:ascii="Arial" w:hAnsi="Arial" w:cs="Arial"/>
          <w:sz w:val="20"/>
          <w:szCs w:val="20"/>
        </w:rPr>
        <w:t>.</w:t>
      </w:r>
    </w:p>
    <w:p w14:paraId="1D56AD8F" w14:textId="0703F573" w:rsidR="00940E9B" w:rsidRPr="00940E9B" w:rsidRDefault="00E12CA8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1075FF">
        <w:rPr>
          <w:rFonts w:ascii="Arial" w:hAnsi="Arial" w:cs="Arial"/>
          <w:sz w:val="20"/>
          <w:szCs w:val="20"/>
        </w:rPr>
        <w:t>W przypadku rozwiązania Umowy przed dniem dokonania Odbioru Końcowego,</w:t>
      </w:r>
      <w:r w:rsidR="00055CDC">
        <w:rPr>
          <w:rFonts w:ascii="Arial" w:hAnsi="Arial" w:cs="Arial"/>
          <w:sz w:val="20"/>
          <w:szCs w:val="20"/>
        </w:rPr>
        <w:t xml:space="preserve"> pkt </w:t>
      </w:r>
      <w:r w:rsidR="00830D8B">
        <w:rPr>
          <w:rFonts w:ascii="Arial" w:hAnsi="Arial" w:cs="Arial"/>
          <w:sz w:val="20"/>
          <w:szCs w:val="20"/>
        </w:rPr>
        <w:t>1.</w:t>
      </w:r>
      <w:r w:rsidR="00055CDC">
        <w:rPr>
          <w:rFonts w:ascii="Arial" w:hAnsi="Arial" w:cs="Arial"/>
          <w:sz w:val="20"/>
          <w:szCs w:val="20"/>
        </w:rPr>
        <w:t>4</w:t>
      </w:r>
      <w:r w:rsidR="00830D8B">
        <w:rPr>
          <w:rFonts w:ascii="Arial" w:hAnsi="Arial" w:cs="Arial"/>
          <w:sz w:val="20"/>
          <w:szCs w:val="20"/>
        </w:rPr>
        <w:t>.</w:t>
      </w:r>
      <w:r w:rsidR="00055CDC">
        <w:rPr>
          <w:rFonts w:ascii="Arial" w:hAnsi="Arial" w:cs="Arial"/>
          <w:sz w:val="20"/>
          <w:szCs w:val="20"/>
        </w:rPr>
        <w:t xml:space="preserve"> powyżej nie stosuje się, a</w:t>
      </w:r>
      <w:r w:rsidRPr="001075FF">
        <w:rPr>
          <w:rFonts w:ascii="Arial" w:hAnsi="Arial" w:cs="Arial"/>
          <w:sz w:val="20"/>
          <w:szCs w:val="20"/>
        </w:rPr>
        <w:t xml:space="preserve"> Gwarancja jest udzielana z chwilą złożenia przez którąkolwiek ze Stron oświadczenia o rozwiązaniu (wypowiedzeniu, odstąpieniu) Umowy na okres </w:t>
      </w:r>
      <w:r w:rsidR="00B8540C">
        <w:rPr>
          <w:rFonts w:ascii="Arial" w:hAnsi="Arial" w:cs="Arial"/>
          <w:sz w:val="20"/>
          <w:szCs w:val="20"/>
        </w:rPr>
        <w:t>1 roku</w:t>
      </w:r>
      <w:r w:rsidRPr="001075FF">
        <w:rPr>
          <w:rFonts w:ascii="Arial" w:hAnsi="Arial" w:cs="Arial"/>
          <w:sz w:val="20"/>
          <w:szCs w:val="20"/>
        </w:rPr>
        <w:t xml:space="preserve"> od tej daty.</w:t>
      </w:r>
    </w:p>
    <w:bookmarkEnd w:id="2"/>
    <w:p w14:paraId="4B90933D" w14:textId="154DB2D3" w:rsidR="00055CDC" w:rsidRPr="00940E9B" w:rsidRDefault="00055CDC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 xml:space="preserve">Usuwanie Błędów Systemu oraz dokonywanie pozostałych świadczeń, o których mowa w pkt </w:t>
      </w:r>
      <w:r w:rsidR="00830D8B">
        <w:rPr>
          <w:rFonts w:ascii="Arial" w:hAnsi="Arial" w:cs="Arial"/>
          <w:sz w:val="20"/>
          <w:szCs w:val="20"/>
        </w:rPr>
        <w:t>2</w:t>
      </w:r>
      <w:r w:rsidRPr="00940E9B">
        <w:rPr>
          <w:rFonts w:ascii="Arial" w:hAnsi="Arial" w:cs="Arial"/>
          <w:sz w:val="20"/>
          <w:szCs w:val="20"/>
        </w:rPr>
        <w:t>.1</w:t>
      </w:r>
      <w:r w:rsidR="00830D8B">
        <w:rPr>
          <w:rFonts w:ascii="Arial" w:hAnsi="Arial" w:cs="Arial"/>
          <w:sz w:val="20"/>
          <w:szCs w:val="20"/>
        </w:rPr>
        <w:t>.</w:t>
      </w:r>
      <w:r w:rsidRPr="00940E9B">
        <w:rPr>
          <w:rFonts w:ascii="Arial" w:hAnsi="Arial" w:cs="Arial"/>
          <w:sz w:val="20"/>
          <w:szCs w:val="20"/>
        </w:rPr>
        <w:t>, na zasadach opisanych w niniejszym załączniku będzie realizowane wyłącznie, jeżeli w momencie wystąpienia Błędów Systemu nie będą świadczone usługi Serwisu, w szczególności w przypadku zakończenia świadczenia przez Wykonawcę usług Serwisu na skutek wypowiedzenia lub odstąpienia od Umowy</w:t>
      </w:r>
    </w:p>
    <w:p w14:paraId="0F1799E3" w14:textId="77777777" w:rsidR="001075FF" w:rsidRPr="001075FF" w:rsidRDefault="001075FF" w:rsidP="001075FF">
      <w:pPr>
        <w:pStyle w:val="Akapitzlist"/>
        <w:spacing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64BED778" w14:textId="77777777" w:rsidR="00940E9B" w:rsidRDefault="001075FF" w:rsidP="00940E9B">
      <w:pPr>
        <w:pStyle w:val="Akapitzlist"/>
        <w:numPr>
          <w:ilvl w:val="0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ZAKRES GWARANCJI</w:t>
      </w:r>
    </w:p>
    <w:p w14:paraId="41A053E6" w14:textId="3FA2C9E0" w:rsidR="003C047B" w:rsidRPr="00940E9B" w:rsidRDefault="003C047B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>W okresie Gwarancji Wykonawca zobowiązuje się do:</w:t>
      </w:r>
    </w:p>
    <w:p w14:paraId="53A6B014" w14:textId="77777777" w:rsidR="00914B0E" w:rsidRPr="00914B0E" w:rsidRDefault="003C047B" w:rsidP="00914B0E">
      <w:pPr>
        <w:pStyle w:val="Akapitzlist"/>
        <w:numPr>
          <w:ilvl w:val="2"/>
          <w:numId w:val="19"/>
        </w:numPr>
        <w:spacing w:line="240" w:lineRule="auto"/>
        <w:ind w:left="1701" w:hanging="85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Naprawy Błędów</w:t>
      </w:r>
      <w:r w:rsidR="00306C39">
        <w:rPr>
          <w:rFonts w:ascii="Arial" w:hAnsi="Arial" w:cs="Arial"/>
          <w:sz w:val="20"/>
          <w:szCs w:val="20"/>
        </w:rPr>
        <w:t xml:space="preserve"> Systemu</w:t>
      </w:r>
      <w:r>
        <w:rPr>
          <w:rFonts w:ascii="Arial" w:hAnsi="Arial" w:cs="Arial"/>
          <w:sz w:val="20"/>
          <w:szCs w:val="20"/>
        </w:rPr>
        <w:t>, również w nowych wersjach Systemu powstałych w wyniku modyfikacji, uaktualnień i Rozwoju</w:t>
      </w:r>
      <w:r w:rsidR="00567FA9">
        <w:rPr>
          <w:rFonts w:ascii="Arial" w:hAnsi="Arial" w:cs="Arial"/>
          <w:sz w:val="20"/>
          <w:szCs w:val="20"/>
        </w:rPr>
        <w:t xml:space="preserve"> we wskazanym czasie</w:t>
      </w:r>
      <w:r>
        <w:rPr>
          <w:rFonts w:ascii="Arial" w:hAnsi="Arial" w:cs="Arial"/>
          <w:sz w:val="20"/>
          <w:szCs w:val="20"/>
        </w:rPr>
        <w:t>, na zasadach opisanych w załączniku nr 7</w:t>
      </w:r>
      <w:r w:rsidR="00495E7F">
        <w:rPr>
          <w:rFonts w:ascii="Arial" w:hAnsi="Arial" w:cs="Arial"/>
          <w:sz w:val="20"/>
          <w:szCs w:val="20"/>
        </w:rPr>
        <w:t>;</w:t>
      </w:r>
    </w:p>
    <w:p w14:paraId="1E77D35E" w14:textId="77777777" w:rsidR="00914B0E" w:rsidRPr="00914B0E" w:rsidRDefault="003C047B" w:rsidP="00914B0E">
      <w:pPr>
        <w:pStyle w:val="Akapitzlist"/>
        <w:numPr>
          <w:ilvl w:val="2"/>
          <w:numId w:val="19"/>
        </w:numPr>
        <w:spacing w:line="240" w:lineRule="auto"/>
        <w:ind w:left="1701" w:hanging="850"/>
        <w:jc w:val="both"/>
        <w:rPr>
          <w:rFonts w:ascii="Arial" w:hAnsi="Arial" w:cs="Arial"/>
          <w:b/>
          <w:bCs/>
          <w:sz w:val="20"/>
          <w:szCs w:val="20"/>
        </w:rPr>
      </w:pPr>
      <w:r w:rsidRPr="00914B0E">
        <w:rPr>
          <w:rFonts w:ascii="Arial" w:hAnsi="Arial" w:cs="Arial"/>
          <w:sz w:val="20"/>
          <w:szCs w:val="20"/>
        </w:rPr>
        <w:t>zapewnienia Dostępności, tj. zapewnienia, że niezależnie od obowiązku usuwania Błędów Systemu zostaną dochowane wymagane parametry dla Dostępności Systemu – na poziomie określonym w załączniku nr 7;</w:t>
      </w:r>
    </w:p>
    <w:p w14:paraId="46C5C57C" w14:textId="77777777" w:rsidR="00914B0E" w:rsidRPr="00914B0E" w:rsidRDefault="003C047B" w:rsidP="00914B0E">
      <w:pPr>
        <w:pStyle w:val="Akapitzlist"/>
        <w:numPr>
          <w:ilvl w:val="2"/>
          <w:numId w:val="19"/>
        </w:numPr>
        <w:spacing w:line="240" w:lineRule="auto"/>
        <w:ind w:left="1701" w:hanging="850"/>
        <w:jc w:val="both"/>
        <w:rPr>
          <w:rFonts w:ascii="Arial" w:hAnsi="Arial" w:cs="Arial"/>
          <w:b/>
          <w:bCs/>
          <w:sz w:val="20"/>
          <w:szCs w:val="20"/>
        </w:rPr>
      </w:pPr>
      <w:r w:rsidRPr="00914B0E">
        <w:rPr>
          <w:rFonts w:ascii="Arial" w:hAnsi="Arial" w:cs="Arial"/>
          <w:sz w:val="20"/>
          <w:szCs w:val="20"/>
        </w:rPr>
        <w:t>prowadzenia działań zapobiegawczych w celu zminimalizowania ryzyka wystąpienia Błędów</w:t>
      </w:r>
      <w:r w:rsidR="00306C39" w:rsidRPr="00914B0E">
        <w:rPr>
          <w:rFonts w:ascii="Arial" w:hAnsi="Arial" w:cs="Arial"/>
          <w:sz w:val="20"/>
          <w:szCs w:val="20"/>
        </w:rPr>
        <w:t xml:space="preserve"> Systemu</w:t>
      </w:r>
      <w:r w:rsidRPr="00914B0E">
        <w:rPr>
          <w:rFonts w:ascii="Arial" w:hAnsi="Arial" w:cs="Arial"/>
          <w:sz w:val="20"/>
          <w:szCs w:val="20"/>
        </w:rPr>
        <w:t xml:space="preserve"> oraz wydłużenia czasu bezawaryjnej pracy Systemu;</w:t>
      </w:r>
    </w:p>
    <w:p w14:paraId="6B3A3141" w14:textId="77777777" w:rsidR="00914B0E" w:rsidRPr="00914B0E" w:rsidRDefault="003C047B" w:rsidP="00914B0E">
      <w:pPr>
        <w:pStyle w:val="Akapitzlist"/>
        <w:numPr>
          <w:ilvl w:val="2"/>
          <w:numId w:val="19"/>
        </w:numPr>
        <w:spacing w:line="240" w:lineRule="auto"/>
        <w:ind w:left="1701" w:hanging="850"/>
        <w:jc w:val="both"/>
        <w:rPr>
          <w:rFonts w:ascii="Arial" w:hAnsi="Arial" w:cs="Arial"/>
          <w:b/>
          <w:bCs/>
          <w:sz w:val="20"/>
          <w:szCs w:val="20"/>
        </w:rPr>
      </w:pPr>
      <w:r w:rsidRPr="00914B0E">
        <w:rPr>
          <w:rFonts w:ascii="Arial" w:hAnsi="Arial" w:cs="Arial"/>
          <w:sz w:val="20"/>
          <w:szCs w:val="20"/>
        </w:rPr>
        <w:t xml:space="preserve">odzyskiwania danych utraconych lub uszkodzonych w wyniku Błędów </w:t>
      </w:r>
      <w:r w:rsidR="00306C39" w:rsidRPr="00914B0E">
        <w:rPr>
          <w:rFonts w:ascii="Arial" w:hAnsi="Arial" w:cs="Arial"/>
          <w:sz w:val="20"/>
          <w:szCs w:val="20"/>
        </w:rPr>
        <w:t>Systemu</w:t>
      </w:r>
      <w:r w:rsidRPr="00914B0E">
        <w:rPr>
          <w:rFonts w:ascii="Arial" w:hAnsi="Arial" w:cs="Arial"/>
          <w:sz w:val="20"/>
          <w:szCs w:val="20"/>
        </w:rPr>
        <w:br/>
        <w:t>w terminach potwierdzonych elektronicznie przez Zamawiająceg</w:t>
      </w:r>
      <w:r w:rsidR="00495E7F" w:rsidRPr="00914B0E">
        <w:rPr>
          <w:rFonts w:ascii="Arial" w:hAnsi="Arial" w:cs="Arial"/>
          <w:sz w:val="20"/>
          <w:szCs w:val="20"/>
        </w:rPr>
        <w:t>o;</w:t>
      </w:r>
    </w:p>
    <w:p w14:paraId="32C04B3D" w14:textId="689D079E" w:rsidR="00495E7F" w:rsidRPr="00914B0E" w:rsidRDefault="00495E7F" w:rsidP="00914B0E">
      <w:pPr>
        <w:pStyle w:val="Akapitzlist"/>
        <w:numPr>
          <w:ilvl w:val="2"/>
          <w:numId w:val="19"/>
        </w:numPr>
        <w:spacing w:line="240" w:lineRule="auto"/>
        <w:ind w:left="1701" w:hanging="850"/>
        <w:jc w:val="both"/>
        <w:rPr>
          <w:rFonts w:ascii="Arial" w:hAnsi="Arial" w:cs="Arial"/>
          <w:b/>
          <w:bCs/>
          <w:sz w:val="20"/>
          <w:szCs w:val="20"/>
        </w:rPr>
      </w:pPr>
      <w:r w:rsidRPr="00914B0E">
        <w:rPr>
          <w:rFonts w:ascii="Arial" w:hAnsi="Arial" w:cs="Arial"/>
          <w:sz w:val="20"/>
          <w:szCs w:val="20"/>
        </w:rPr>
        <w:t xml:space="preserve">usuwania Błędów Dokumentacji. </w:t>
      </w:r>
    </w:p>
    <w:p w14:paraId="5EE4324E" w14:textId="60D21501" w:rsidR="00940E9B" w:rsidRPr="00940E9B" w:rsidRDefault="00E12CA8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uniknięcia wątpliwości przyjmuje się, że Wykonawca usunie wszystkie zgłoszone Błędy </w:t>
      </w:r>
      <w:r w:rsidR="00D740A9">
        <w:rPr>
          <w:rFonts w:ascii="Arial" w:hAnsi="Arial" w:cs="Arial"/>
          <w:sz w:val="20"/>
          <w:szCs w:val="20"/>
        </w:rPr>
        <w:t xml:space="preserve">Systemu </w:t>
      </w:r>
      <w:r>
        <w:rPr>
          <w:rFonts w:ascii="Arial" w:hAnsi="Arial" w:cs="Arial"/>
          <w:sz w:val="20"/>
          <w:szCs w:val="20"/>
        </w:rPr>
        <w:t>nawet pomimo zakończenia okresu gwarancyjnego, o ile zostały one zgłoszone przed zakończeniem terminu obowiązywania Gwarancji.</w:t>
      </w:r>
    </w:p>
    <w:p w14:paraId="161C99E3" w14:textId="77777777" w:rsidR="00940E9B" w:rsidRPr="00940E9B" w:rsidRDefault="00E12CA8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 xml:space="preserve">Usuwanie Błędów Dokumentacji jest realizowane zawsze w trybie Gwarancji niezależnie od tego czy w momencie zauważenia Błędów Dokumentacji nie będą świadczone usługi Serwisu. W okresie Gwarancji Wykonawca zobowiązuje się do usunięcia Błędów Dokumentacji również w nowych wersjach Dokumentacji powstałych w wyniku modyfikacji lub uaktualnień, a także w nowej Dokumentacji powstałej w związku z Rozwojem. Usunięcie Błędów Dokumentacji nastąpi nie później niż w ciągu 10 Dni Roboczych od dnia otrzymania przez Wykonawcę informacji o Błędach Dokumentacji na adres e-mail wskazany przez Wykonawcę Kierownikowi Projektu po stronie Zamawiającego.  </w:t>
      </w:r>
    </w:p>
    <w:p w14:paraId="75147AAD" w14:textId="77777777" w:rsidR="00940E9B" w:rsidRPr="00940E9B" w:rsidRDefault="00E12CA8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 xml:space="preserve">Gwarancja udzielona zostaje bez ograniczeń terytorialnych, tj. obejmuje terytorium Rzeczypospolitej Polskiej i całego świata. </w:t>
      </w:r>
    </w:p>
    <w:p w14:paraId="323AE9E6" w14:textId="77777777" w:rsidR="00940E9B" w:rsidRPr="00940E9B" w:rsidRDefault="00E12CA8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 xml:space="preserve">Umowa stanowi dokument gwarancyjny bez konieczności składania dodatkowego dokumentu na okoliczność udzielenia Gwarancji. Zamawiający nie jest zobowiązany do dostarczenia przedmiotu </w:t>
      </w:r>
      <w:r w:rsidR="00495E7F" w:rsidRPr="00940E9B">
        <w:rPr>
          <w:rFonts w:ascii="Arial" w:hAnsi="Arial" w:cs="Arial"/>
          <w:sz w:val="20"/>
          <w:szCs w:val="20"/>
        </w:rPr>
        <w:t>G</w:t>
      </w:r>
      <w:r w:rsidRPr="00940E9B">
        <w:rPr>
          <w:rFonts w:ascii="Arial" w:hAnsi="Arial" w:cs="Arial"/>
          <w:sz w:val="20"/>
          <w:szCs w:val="20"/>
        </w:rPr>
        <w:t xml:space="preserve">warancji lub jego elementu w celu świadczenia usług gwarancyjnych, w rozumieniu przepisów Kodeksu cywilnego o gwarancji, natomiast Zamawiający udostępni </w:t>
      </w:r>
      <w:r w:rsidRPr="00940E9B">
        <w:rPr>
          <w:rFonts w:ascii="Arial" w:hAnsi="Arial" w:cs="Arial"/>
          <w:sz w:val="20"/>
          <w:szCs w:val="20"/>
        </w:rPr>
        <w:lastRenderedPageBreak/>
        <w:t xml:space="preserve">Wykonawcy możliwość zdalnego dostępu bądź udostępni System lub poszczególne elementy Infrastruktury celem Naprawy i realizowania innych świadczeń gwarancyjnych. </w:t>
      </w:r>
    </w:p>
    <w:p w14:paraId="64EA3F79" w14:textId="77777777" w:rsidR="00940E9B" w:rsidRPr="00940E9B" w:rsidRDefault="00E12CA8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>Gwarancja nie wyłącza, nie ogranicza ani nie zawiesza uprawnień Zamawiającego wynikających z przepisów prawa o rękojmi za wady dzieła. Zamawiający uprawniony jest do wykonywania uprawnień z tytułu rękojmi za wady dzieła, niezależnie od uprawnień wynikających z Gwarancji.</w:t>
      </w:r>
    </w:p>
    <w:p w14:paraId="29FC095A" w14:textId="77777777" w:rsidR="00940E9B" w:rsidRPr="00940E9B" w:rsidRDefault="00455A35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 xml:space="preserve">Jeżeli w wyniku </w:t>
      </w:r>
      <w:r w:rsidR="00A04927" w:rsidRPr="00940E9B">
        <w:rPr>
          <w:rFonts w:ascii="Arial" w:hAnsi="Arial" w:cs="Arial"/>
          <w:sz w:val="20"/>
          <w:szCs w:val="20"/>
        </w:rPr>
        <w:t>Gwarancji</w:t>
      </w:r>
      <w:r w:rsidRPr="00940E9B">
        <w:rPr>
          <w:rFonts w:ascii="Arial" w:hAnsi="Arial" w:cs="Arial"/>
          <w:sz w:val="20"/>
          <w:szCs w:val="20"/>
        </w:rPr>
        <w:t xml:space="preserve"> Wykonawca </w:t>
      </w:r>
      <w:r w:rsidR="00495E7F" w:rsidRPr="00940E9B">
        <w:rPr>
          <w:rFonts w:ascii="Arial" w:hAnsi="Arial" w:cs="Arial"/>
          <w:sz w:val="20"/>
          <w:szCs w:val="20"/>
        </w:rPr>
        <w:t>dostarczył</w:t>
      </w:r>
      <w:r w:rsidRPr="00940E9B">
        <w:rPr>
          <w:rFonts w:ascii="Arial" w:hAnsi="Arial" w:cs="Arial"/>
          <w:sz w:val="20"/>
          <w:szCs w:val="20"/>
        </w:rPr>
        <w:t xml:space="preserve"> Poprawkę</w:t>
      </w:r>
      <w:r w:rsidR="00495E7F" w:rsidRPr="00940E9B">
        <w:rPr>
          <w:rFonts w:ascii="Arial" w:hAnsi="Arial" w:cs="Arial"/>
          <w:sz w:val="20"/>
          <w:szCs w:val="20"/>
        </w:rPr>
        <w:t xml:space="preserve">, Łatę </w:t>
      </w:r>
      <w:r w:rsidRPr="00940E9B">
        <w:rPr>
          <w:rFonts w:ascii="Arial" w:hAnsi="Arial" w:cs="Arial"/>
          <w:sz w:val="20"/>
          <w:szCs w:val="20"/>
        </w:rPr>
        <w:t xml:space="preserve">lub </w:t>
      </w:r>
      <w:r w:rsidR="00495E7F" w:rsidRPr="00940E9B">
        <w:rPr>
          <w:rFonts w:ascii="Arial" w:hAnsi="Arial" w:cs="Arial"/>
          <w:sz w:val="20"/>
          <w:szCs w:val="20"/>
        </w:rPr>
        <w:t xml:space="preserve">Obejście albo </w:t>
      </w:r>
      <w:r w:rsidRPr="00940E9B">
        <w:rPr>
          <w:rFonts w:ascii="Arial" w:hAnsi="Arial" w:cs="Arial"/>
          <w:sz w:val="20"/>
          <w:szCs w:val="20"/>
        </w:rPr>
        <w:t xml:space="preserve">dokonał modyfikacji Dokumentacji albo Kodu Źródłowego albo taką Dokumentację lub Kod Źródłowy wytworzył, będą one przedmiotem Odbioru zgodnie z załącznikiem nr 6. </w:t>
      </w:r>
    </w:p>
    <w:p w14:paraId="2AEF5B0E" w14:textId="77777777" w:rsidR="00940E9B" w:rsidRPr="00940E9B" w:rsidRDefault="0088714E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940E9B">
        <w:rPr>
          <w:rFonts w:ascii="Arial" w:hAnsi="Arial" w:cs="Arial"/>
          <w:sz w:val="20"/>
          <w:szCs w:val="20"/>
        </w:rPr>
        <w:t xml:space="preserve">Dla uniknięcia wszelkich wątpliwości, Strony zgodnie postanawiają, że w okresie trwania Gwarancji Zamawiający upoważniony jest do wprowadzania samodzielnie lub poprzez wskazane przez Zamawiającego osoby trzecie dowolnych zmian w Systemie oraz </w:t>
      </w:r>
      <w:r w:rsidR="009D0754" w:rsidRPr="00940E9B">
        <w:rPr>
          <w:rFonts w:ascii="Arial" w:hAnsi="Arial" w:cs="Arial"/>
          <w:sz w:val="20"/>
          <w:szCs w:val="20"/>
        </w:rPr>
        <w:t>Produktach</w:t>
      </w:r>
      <w:r w:rsidRPr="00940E9B">
        <w:rPr>
          <w:rFonts w:ascii="Arial" w:hAnsi="Arial" w:cs="Arial"/>
          <w:sz w:val="20"/>
          <w:szCs w:val="20"/>
        </w:rPr>
        <w:t>.</w:t>
      </w:r>
    </w:p>
    <w:p w14:paraId="4F304DDE" w14:textId="4147B5C8" w:rsidR="00495E7F" w:rsidRPr="00940E9B" w:rsidRDefault="00495E7F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45044528"/>
      <w:r w:rsidRPr="00940E9B">
        <w:rPr>
          <w:rFonts w:ascii="Arial" w:hAnsi="Arial" w:cs="Arial"/>
          <w:sz w:val="20"/>
          <w:szCs w:val="20"/>
        </w:rPr>
        <w:t>Dokonywanie przez Zamawiającego samodzielnych działań dotyczących Systemu, a także ingerencji lub zmian w Systemie, w szczególności poprzez nieautoryzowane przez Wykonawcę modyfikowanie Systemu, nie wpływa na zakres uprawnień Zamawiającego wynikających z Gwarancji w odniesieniu do elementów Systemu, które zostały dostarczone oraz wdrożone przez Wykonawcę, w szczególności takie działania Zamawiającego nie powodują wygaśnięcia uprawnień z tytułu Gwarancji</w:t>
      </w:r>
      <w:r w:rsidR="002A6BA5">
        <w:rPr>
          <w:rFonts w:ascii="Arial" w:hAnsi="Arial" w:cs="Arial"/>
          <w:sz w:val="20"/>
          <w:szCs w:val="20"/>
        </w:rPr>
        <w:t>, chyba, że takie nieautoryz</w:t>
      </w:r>
      <w:r w:rsidR="00C4089B">
        <w:rPr>
          <w:rFonts w:ascii="Arial" w:hAnsi="Arial" w:cs="Arial"/>
          <w:sz w:val="20"/>
          <w:szCs w:val="20"/>
        </w:rPr>
        <w:t>o</w:t>
      </w:r>
      <w:r w:rsidR="002A6BA5">
        <w:rPr>
          <w:rFonts w:ascii="Arial" w:hAnsi="Arial" w:cs="Arial"/>
          <w:sz w:val="20"/>
          <w:szCs w:val="20"/>
        </w:rPr>
        <w:t>wane przez Wykonawcę</w:t>
      </w:r>
      <w:r w:rsidR="00033635">
        <w:rPr>
          <w:rFonts w:ascii="Arial" w:hAnsi="Arial" w:cs="Arial"/>
          <w:sz w:val="20"/>
          <w:szCs w:val="20"/>
        </w:rPr>
        <w:t>, zawinione</w:t>
      </w:r>
      <w:r w:rsidR="002A6BA5">
        <w:rPr>
          <w:rFonts w:ascii="Arial" w:hAnsi="Arial" w:cs="Arial"/>
          <w:sz w:val="20"/>
          <w:szCs w:val="20"/>
        </w:rPr>
        <w:t xml:space="preserve"> działanie było przyczyną wystąpienia Błędu lub innej wady. Ciężar udowodnienia faktu, że wystąpienie Błędu lub innej wady było konsekwencją </w:t>
      </w:r>
      <w:r w:rsidR="00033635">
        <w:rPr>
          <w:rFonts w:ascii="Arial" w:hAnsi="Arial" w:cs="Arial"/>
          <w:sz w:val="20"/>
          <w:szCs w:val="20"/>
        </w:rPr>
        <w:t xml:space="preserve">zawinionego </w:t>
      </w:r>
      <w:r w:rsidR="002A6BA5">
        <w:rPr>
          <w:rFonts w:ascii="Arial" w:hAnsi="Arial" w:cs="Arial"/>
          <w:sz w:val="20"/>
          <w:szCs w:val="20"/>
        </w:rPr>
        <w:t>działania Zamawiającego nieautoryzowanego przez Wykonawcę spoczywa na Wykonawcy</w:t>
      </w:r>
      <w:r w:rsidRPr="00940E9B">
        <w:rPr>
          <w:rFonts w:ascii="Arial" w:hAnsi="Arial" w:cs="Arial"/>
          <w:sz w:val="20"/>
          <w:szCs w:val="20"/>
        </w:rPr>
        <w:t xml:space="preserve">. </w:t>
      </w:r>
    </w:p>
    <w:bookmarkEnd w:id="3"/>
    <w:p w14:paraId="17047FD4" w14:textId="77777777" w:rsidR="002F5D88" w:rsidRDefault="002F5D88" w:rsidP="002F5D88">
      <w:pPr>
        <w:pStyle w:val="Akapitzlist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B66018A" w14:textId="57A09532" w:rsidR="002F5D88" w:rsidRDefault="002F5D88" w:rsidP="00940E9B">
      <w:pPr>
        <w:pStyle w:val="Akapitzlist"/>
        <w:numPr>
          <w:ilvl w:val="0"/>
          <w:numId w:val="16"/>
        </w:numPr>
        <w:spacing w:line="24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2F5D88">
        <w:rPr>
          <w:rFonts w:ascii="Arial" w:hAnsi="Arial" w:cs="Arial"/>
          <w:b/>
          <w:bCs/>
          <w:sz w:val="20"/>
          <w:szCs w:val="20"/>
        </w:rPr>
        <w:t>KARY UMOWNE Z TYTUŁU NIEDOTRZYMANIA WARUNKÓW GWARANCJI</w:t>
      </w:r>
    </w:p>
    <w:p w14:paraId="00BC90DA" w14:textId="470A8B85" w:rsidR="009D71C2" w:rsidRDefault="009D71C2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526887">
        <w:rPr>
          <w:rFonts w:ascii="Arial" w:hAnsi="Arial" w:cs="Arial"/>
          <w:sz w:val="20"/>
          <w:szCs w:val="20"/>
        </w:rPr>
        <w:t>Zamawiający naliczy</w:t>
      </w:r>
      <w:r>
        <w:rPr>
          <w:rFonts w:ascii="Arial" w:hAnsi="Arial" w:cs="Arial"/>
          <w:sz w:val="20"/>
          <w:szCs w:val="20"/>
        </w:rPr>
        <w:t xml:space="preserve"> następujące</w:t>
      </w:r>
      <w:r w:rsidRPr="00526887">
        <w:rPr>
          <w:rFonts w:ascii="Arial" w:hAnsi="Arial" w:cs="Arial"/>
          <w:sz w:val="20"/>
          <w:szCs w:val="20"/>
        </w:rPr>
        <w:t xml:space="preserve"> kary umowne za niedochowanie </w:t>
      </w:r>
      <w:r>
        <w:rPr>
          <w:rFonts w:ascii="Arial" w:hAnsi="Arial" w:cs="Arial"/>
          <w:sz w:val="20"/>
          <w:szCs w:val="20"/>
        </w:rPr>
        <w:t xml:space="preserve">Czasu Reakcji, Czasu Naprawy lub </w:t>
      </w:r>
      <w:r w:rsidRPr="00526887">
        <w:rPr>
          <w:rFonts w:ascii="Arial" w:hAnsi="Arial" w:cs="Arial"/>
          <w:sz w:val="20"/>
          <w:szCs w:val="20"/>
        </w:rPr>
        <w:t>poziomu Dostępności:</w:t>
      </w:r>
    </w:p>
    <w:tbl>
      <w:tblPr>
        <w:tblStyle w:val="Tabela-Siatka"/>
        <w:tblW w:w="8358" w:type="dxa"/>
        <w:tblInd w:w="716" w:type="dxa"/>
        <w:tblLook w:val="04A0" w:firstRow="1" w:lastRow="0" w:firstColumn="1" w:lastColumn="0" w:noHBand="0" w:noVBand="1"/>
      </w:tblPr>
      <w:tblGrid>
        <w:gridCol w:w="3686"/>
        <w:gridCol w:w="4672"/>
      </w:tblGrid>
      <w:tr w:rsidR="00D740A9" w14:paraId="34A316D0" w14:textId="77777777" w:rsidTr="416E1E14">
        <w:tc>
          <w:tcPr>
            <w:tcW w:w="3686" w:type="dxa"/>
          </w:tcPr>
          <w:p w14:paraId="6F7D1EF8" w14:textId="18D818AD" w:rsidR="00D740A9" w:rsidRDefault="00D740A9" w:rsidP="00BE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naliczenia kary umownej:</w:t>
            </w:r>
          </w:p>
        </w:tc>
        <w:tc>
          <w:tcPr>
            <w:tcW w:w="4672" w:type="dxa"/>
          </w:tcPr>
          <w:p w14:paraId="2E19F39A" w14:textId="0C832064" w:rsidR="00D740A9" w:rsidRDefault="00D740A9" w:rsidP="00BE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kary umownej:</w:t>
            </w:r>
          </w:p>
        </w:tc>
      </w:tr>
      <w:tr w:rsidR="00D740A9" w14:paraId="6BD5C684" w14:textId="77777777" w:rsidTr="416E1E14">
        <w:tc>
          <w:tcPr>
            <w:tcW w:w="3686" w:type="dxa"/>
          </w:tcPr>
          <w:p w14:paraId="1AB2B734" w14:textId="353330BB" w:rsidR="00D740A9" w:rsidRPr="00422A5B" w:rsidRDefault="000A258A" w:rsidP="00BE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A5B">
              <w:rPr>
                <w:rFonts w:ascii="Arial" w:hAnsi="Arial" w:cs="Arial"/>
                <w:sz w:val="20"/>
                <w:szCs w:val="20"/>
              </w:rPr>
              <w:t>każd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22A5B">
              <w:rPr>
                <w:rFonts w:ascii="Arial" w:hAnsi="Arial" w:cs="Arial"/>
                <w:sz w:val="20"/>
                <w:szCs w:val="20"/>
              </w:rPr>
              <w:t xml:space="preserve"> rozpoczęt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22A5B"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22A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0A9" w:rsidRPr="00422A5B">
              <w:rPr>
                <w:rFonts w:ascii="Arial" w:hAnsi="Arial" w:cs="Arial"/>
                <w:sz w:val="20"/>
                <w:szCs w:val="20"/>
              </w:rPr>
              <w:t>opóźnienia dotrzymania Czasu Reakcji</w:t>
            </w:r>
          </w:p>
        </w:tc>
        <w:tc>
          <w:tcPr>
            <w:tcW w:w="4672" w:type="dxa"/>
          </w:tcPr>
          <w:p w14:paraId="31AAFF2D" w14:textId="3DEBFAAB" w:rsidR="00D740A9" w:rsidRPr="00422A5B" w:rsidRDefault="77598431" w:rsidP="00830D8B">
            <w:pPr>
              <w:pStyle w:val="Akapitzlist"/>
              <w:numPr>
                <w:ilvl w:val="2"/>
                <w:numId w:val="16"/>
              </w:numPr>
              <w:spacing w:line="240" w:lineRule="auto"/>
              <w:ind w:left="31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1</w:t>
            </w:r>
            <w:r w:rsidR="00EF79D8" w:rsidRPr="416E1E14">
              <w:rPr>
                <w:rFonts w:ascii="Arial" w:hAnsi="Arial" w:cs="Arial"/>
                <w:sz w:val="20"/>
                <w:szCs w:val="20"/>
              </w:rPr>
              <w:t>00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>,00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 xml:space="preserve"> zł w przypadku Błędu Krytycznego;</w:t>
            </w:r>
          </w:p>
          <w:p w14:paraId="2EA139EF" w14:textId="20FC4D50" w:rsidR="00D740A9" w:rsidRPr="00422A5B" w:rsidRDefault="00EF79D8" w:rsidP="00940E9B">
            <w:pPr>
              <w:pStyle w:val="Akapitzlist"/>
              <w:numPr>
                <w:ilvl w:val="2"/>
                <w:numId w:val="16"/>
              </w:numPr>
              <w:spacing w:line="240" w:lineRule="auto"/>
              <w:ind w:left="32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1</w:t>
            </w:r>
            <w:r w:rsidR="3AEE6FEE" w:rsidRPr="416E1E14">
              <w:rPr>
                <w:rFonts w:ascii="Arial" w:hAnsi="Arial" w:cs="Arial"/>
                <w:sz w:val="20"/>
                <w:szCs w:val="20"/>
              </w:rPr>
              <w:t>0</w:t>
            </w:r>
            <w:r w:rsidRPr="416E1E14">
              <w:rPr>
                <w:rFonts w:ascii="Arial" w:hAnsi="Arial" w:cs="Arial"/>
                <w:sz w:val="20"/>
                <w:szCs w:val="20"/>
              </w:rPr>
              <w:t>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>,00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 xml:space="preserve"> zł w przypadku Błędu Poważnego;</w:t>
            </w:r>
          </w:p>
          <w:p w14:paraId="423FA8FD" w14:textId="0A2EABB7" w:rsidR="00D740A9" w:rsidRPr="00422A5B" w:rsidRDefault="61C6BD50" w:rsidP="00940E9B">
            <w:pPr>
              <w:pStyle w:val="Akapitzlist"/>
              <w:numPr>
                <w:ilvl w:val="2"/>
                <w:numId w:val="16"/>
              </w:numPr>
              <w:spacing w:line="240" w:lineRule="auto"/>
              <w:ind w:left="32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5</w:t>
            </w:r>
            <w:r w:rsidR="00EF79D8" w:rsidRPr="416E1E14">
              <w:rPr>
                <w:rFonts w:ascii="Arial" w:hAnsi="Arial" w:cs="Arial"/>
                <w:sz w:val="20"/>
                <w:szCs w:val="20"/>
              </w:rPr>
              <w:t>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>,00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 xml:space="preserve"> zł w przypadku Błędu Niskiego;</w:t>
            </w:r>
          </w:p>
          <w:p w14:paraId="552AF3BF" w14:textId="3B7E410E" w:rsidR="00D740A9" w:rsidRPr="00422A5B" w:rsidRDefault="00EF79D8" w:rsidP="00940E9B">
            <w:pPr>
              <w:pStyle w:val="Akapitzlist"/>
              <w:numPr>
                <w:ilvl w:val="2"/>
                <w:numId w:val="16"/>
              </w:numPr>
              <w:spacing w:line="240" w:lineRule="auto"/>
              <w:ind w:left="32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1</w:t>
            </w:r>
            <w:r w:rsidR="39AD24F0" w:rsidRPr="416E1E14">
              <w:rPr>
                <w:rFonts w:ascii="Arial" w:hAnsi="Arial" w:cs="Arial"/>
                <w:sz w:val="20"/>
                <w:szCs w:val="20"/>
              </w:rPr>
              <w:t>0</w:t>
            </w:r>
            <w:r w:rsidRPr="416E1E14">
              <w:rPr>
                <w:rFonts w:ascii="Arial" w:hAnsi="Arial" w:cs="Arial"/>
                <w:sz w:val="20"/>
                <w:szCs w:val="20"/>
              </w:rPr>
              <w:t>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>,00</w:t>
            </w:r>
            <w:r w:rsidRPr="416E1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 xml:space="preserve">zł w przypadku Błędu Wydajności. </w:t>
            </w:r>
          </w:p>
        </w:tc>
      </w:tr>
      <w:tr w:rsidR="00D740A9" w14:paraId="4CEAC99E" w14:textId="77777777" w:rsidTr="416E1E14">
        <w:tc>
          <w:tcPr>
            <w:tcW w:w="3686" w:type="dxa"/>
          </w:tcPr>
          <w:p w14:paraId="21E9DC02" w14:textId="0CEA310A" w:rsidR="00D740A9" w:rsidRPr="00422A5B" w:rsidRDefault="000A258A" w:rsidP="00BE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A5B">
              <w:rPr>
                <w:rFonts w:ascii="Arial" w:hAnsi="Arial" w:cs="Arial"/>
                <w:sz w:val="20"/>
                <w:szCs w:val="20"/>
              </w:rPr>
              <w:t>każd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22A5B">
              <w:rPr>
                <w:rFonts w:ascii="Arial" w:hAnsi="Arial" w:cs="Arial"/>
                <w:sz w:val="20"/>
                <w:szCs w:val="20"/>
              </w:rPr>
              <w:t xml:space="preserve"> rozpoczęt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22A5B"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22A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0A9" w:rsidRPr="00422A5B">
              <w:rPr>
                <w:rFonts w:ascii="Arial" w:hAnsi="Arial" w:cs="Arial"/>
                <w:sz w:val="20"/>
                <w:szCs w:val="20"/>
              </w:rPr>
              <w:t>opóźnienia dotrzymania Czasu Naprawy</w:t>
            </w:r>
          </w:p>
        </w:tc>
        <w:tc>
          <w:tcPr>
            <w:tcW w:w="4672" w:type="dxa"/>
          </w:tcPr>
          <w:p w14:paraId="27057974" w14:textId="75928B0D" w:rsidR="00D740A9" w:rsidRPr="00422A5B" w:rsidRDefault="60FB9AD2" w:rsidP="009D71C2">
            <w:pPr>
              <w:pStyle w:val="Akapitzlist"/>
              <w:numPr>
                <w:ilvl w:val="2"/>
                <w:numId w:val="8"/>
              </w:numPr>
              <w:tabs>
                <w:tab w:val="clear" w:pos="1701"/>
              </w:tabs>
              <w:spacing w:line="240" w:lineRule="auto"/>
              <w:ind w:left="320" w:hanging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2</w:t>
            </w:r>
            <w:r w:rsidR="00EF79D8" w:rsidRPr="416E1E14">
              <w:rPr>
                <w:rFonts w:ascii="Arial" w:hAnsi="Arial" w:cs="Arial"/>
                <w:sz w:val="20"/>
                <w:szCs w:val="20"/>
              </w:rPr>
              <w:t>00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>,00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 xml:space="preserve"> zł w przypadku Błędu Krytycznego;</w:t>
            </w:r>
          </w:p>
          <w:p w14:paraId="18111901" w14:textId="5D1BA423" w:rsidR="00D740A9" w:rsidRPr="00422A5B" w:rsidRDefault="3872BE30" w:rsidP="009D71C2">
            <w:pPr>
              <w:pStyle w:val="Akapitzlist"/>
              <w:numPr>
                <w:ilvl w:val="2"/>
                <w:numId w:val="8"/>
              </w:numPr>
              <w:tabs>
                <w:tab w:val="clear" w:pos="1701"/>
              </w:tabs>
              <w:spacing w:line="240" w:lineRule="auto"/>
              <w:ind w:left="32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1</w:t>
            </w:r>
            <w:r w:rsidR="00EF79D8" w:rsidRPr="416E1E14">
              <w:rPr>
                <w:rFonts w:ascii="Arial" w:hAnsi="Arial" w:cs="Arial"/>
                <w:sz w:val="20"/>
                <w:szCs w:val="20"/>
              </w:rPr>
              <w:t>50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>zł w przypadku Błędu Poważnego;</w:t>
            </w:r>
          </w:p>
          <w:p w14:paraId="5420AB64" w14:textId="0874B5EC" w:rsidR="00D740A9" w:rsidRPr="00422A5B" w:rsidRDefault="21F554AE" w:rsidP="009D71C2">
            <w:pPr>
              <w:pStyle w:val="Akapitzlist"/>
              <w:numPr>
                <w:ilvl w:val="2"/>
                <w:numId w:val="8"/>
              </w:numPr>
              <w:tabs>
                <w:tab w:val="clear" w:pos="1701"/>
              </w:tabs>
              <w:spacing w:line="240" w:lineRule="auto"/>
              <w:ind w:left="32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1</w:t>
            </w:r>
            <w:r w:rsidR="00EF79D8" w:rsidRPr="416E1E14">
              <w:rPr>
                <w:rFonts w:ascii="Arial" w:hAnsi="Arial" w:cs="Arial"/>
                <w:sz w:val="20"/>
                <w:szCs w:val="20"/>
              </w:rPr>
              <w:t>00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>,00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 xml:space="preserve"> zł w przypadku Błędu Niskiego;</w:t>
            </w:r>
          </w:p>
          <w:p w14:paraId="23AA0767" w14:textId="0073E519" w:rsidR="00D740A9" w:rsidRPr="00422A5B" w:rsidRDefault="3F60F6C7" w:rsidP="009D71C2">
            <w:pPr>
              <w:pStyle w:val="Akapitzlist"/>
              <w:numPr>
                <w:ilvl w:val="2"/>
                <w:numId w:val="8"/>
              </w:numPr>
              <w:tabs>
                <w:tab w:val="clear" w:pos="1701"/>
              </w:tabs>
              <w:spacing w:line="240" w:lineRule="auto"/>
              <w:ind w:left="32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1</w:t>
            </w:r>
            <w:r w:rsidR="00EF79D8" w:rsidRPr="416E1E14">
              <w:rPr>
                <w:rFonts w:ascii="Arial" w:hAnsi="Arial" w:cs="Arial"/>
                <w:sz w:val="20"/>
                <w:szCs w:val="20"/>
              </w:rPr>
              <w:t>50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>,00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 xml:space="preserve"> zł w przypadku Błędu Wydajności.</w:t>
            </w:r>
          </w:p>
        </w:tc>
      </w:tr>
      <w:tr w:rsidR="00D740A9" w14:paraId="3E21A211" w14:textId="77777777" w:rsidTr="416E1E14">
        <w:tc>
          <w:tcPr>
            <w:tcW w:w="3686" w:type="dxa"/>
          </w:tcPr>
          <w:p w14:paraId="28E2EF6D" w14:textId="792892B2" w:rsidR="00D740A9" w:rsidRPr="00422A5B" w:rsidRDefault="00D740A9" w:rsidP="00BE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 xml:space="preserve">obniżenie poziomu Dostępności poniżej </w:t>
            </w:r>
            <w:r w:rsidR="00D86FDA" w:rsidRPr="416E1E14">
              <w:rPr>
                <w:rFonts w:ascii="Arial" w:hAnsi="Arial" w:cs="Arial"/>
                <w:sz w:val="20"/>
                <w:szCs w:val="20"/>
              </w:rPr>
              <w:t>9</w:t>
            </w:r>
            <w:r w:rsidR="3BA3B50F" w:rsidRPr="416E1E14">
              <w:rPr>
                <w:rFonts w:ascii="Arial" w:hAnsi="Arial" w:cs="Arial"/>
                <w:sz w:val="20"/>
                <w:szCs w:val="20"/>
              </w:rPr>
              <w:t>7,5</w:t>
            </w:r>
            <w:r w:rsidRPr="416E1E14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4672" w:type="dxa"/>
          </w:tcPr>
          <w:p w14:paraId="2507FA7F" w14:textId="2490B3B9" w:rsidR="00D740A9" w:rsidRPr="00422A5B" w:rsidRDefault="0862DD8A" w:rsidP="00BE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1</w:t>
            </w:r>
            <w:r w:rsidR="00D86FDA" w:rsidRPr="416E1E14">
              <w:rPr>
                <w:rFonts w:ascii="Arial" w:hAnsi="Arial" w:cs="Arial"/>
                <w:sz w:val="20"/>
                <w:szCs w:val="20"/>
              </w:rPr>
              <w:t>.000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>,00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 xml:space="preserve"> zł za każdy rozpoczęty punkt procentowy obniżenia poziomu Dostępności.</w:t>
            </w:r>
          </w:p>
        </w:tc>
      </w:tr>
      <w:tr w:rsidR="00D740A9" w14:paraId="2558C29D" w14:textId="77777777" w:rsidTr="416E1E14">
        <w:tc>
          <w:tcPr>
            <w:tcW w:w="3686" w:type="dxa"/>
          </w:tcPr>
          <w:p w14:paraId="35F3924C" w14:textId="12B0ED40" w:rsidR="00D740A9" w:rsidRPr="00422A5B" w:rsidRDefault="00D740A9" w:rsidP="00BE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A5B">
              <w:rPr>
                <w:rFonts w:ascii="Arial" w:hAnsi="Arial" w:cs="Arial"/>
                <w:sz w:val="20"/>
                <w:szCs w:val="20"/>
              </w:rPr>
              <w:t xml:space="preserve">obniżenie poziomu Dostępności poniżej </w:t>
            </w:r>
            <w:r w:rsidR="00D86FDA" w:rsidRPr="00AD3C1F">
              <w:rPr>
                <w:rFonts w:ascii="Arial" w:hAnsi="Arial" w:cs="Arial"/>
                <w:sz w:val="20"/>
                <w:szCs w:val="20"/>
              </w:rPr>
              <w:t>90</w:t>
            </w:r>
            <w:r w:rsidRPr="00422A5B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4672" w:type="dxa"/>
          </w:tcPr>
          <w:p w14:paraId="5C402F05" w14:textId="5E4B855D" w:rsidR="00D740A9" w:rsidRPr="00422A5B" w:rsidRDefault="4C1E6A71" w:rsidP="00BE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16E1E14">
              <w:rPr>
                <w:rFonts w:ascii="Arial" w:hAnsi="Arial" w:cs="Arial"/>
                <w:sz w:val="20"/>
                <w:szCs w:val="20"/>
              </w:rPr>
              <w:t>2</w:t>
            </w:r>
            <w:r w:rsidR="00D86FDA" w:rsidRPr="416E1E14">
              <w:rPr>
                <w:rFonts w:ascii="Arial" w:hAnsi="Arial" w:cs="Arial"/>
                <w:sz w:val="20"/>
                <w:szCs w:val="20"/>
              </w:rPr>
              <w:t>.000</w:t>
            </w:r>
            <w:r w:rsidR="00BD3367" w:rsidRPr="416E1E14">
              <w:rPr>
                <w:rFonts w:ascii="Arial" w:hAnsi="Arial" w:cs="Arial"/>
                <w:sz w:val="20"/>
                <w:szCs w:val="20"/>
              </w:rPr>
              <w:t>,00</w:t>
            </w:r>
            <w:r w:rsidR="00D740A9" w:rsidRPr="416E1E14">
              <w:rPr>
                <w:rFonts w:ascii="Arial" w:hAnsi="Arial" w:cs="Arial"/>
                <w:sz w:val="20"/>
                <w:szCs w:val="20"/>
              </w:rPr>
              <w:t xml:space="preserve"> zł za każdy rozpoczęty punkt procentowy obniżenia poziomu Dostępności</w:t>
            </w:r>
            <w:r w:rsidR="000A258A" w:rsidRPr="416E1E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5733183" w14:textId="2E904DC5" w:rsidR="009D71C2" w:rsidRDefault="009D71C2" w:rsidP="009D71C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C3F55B" w14:textId="586460E9" w:rsidR="000375A5" w:rsidRPr="00526887" w:rsidRDefault="000375A5" w:rsidP="00940E9B">
      <w:pPr>
        <w:pStyle w:val="Akapitzlist"/>
        <w:numPr>
          <w:ilvl w:val="1"/>
          <w:numId w:val="16"/>
        </w:numPr>
        <w:spacing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bookmarkStart w:id="4" w:name="_Hlk38657237"/>
      <w:r w:rsidRPr="00526887">
        <w:rPr>
          <w:rFonts w:ascii="Arial" w:hAnsi="Arial" w:cs="Arial"/>
          <w:sz w:val="20"/>
          <w:szCs w:val="20"/>
        </w:rPr>
        <w:t xml:space="preserve">W zakresie </w:t>
      </w:r>
      <w:r w:rsidR="00E93367">
        <w:rPr>
          <w:rFonts w:ascii="Arial" w:hAnsi="Arial" w:cs="Arial"/>
          <w:sz w:val="20"/>
          <w:szCs w:val="20"/>
        </w:rPr>
        <w:t xml:space="preserve">kwestii </w:t>
      </w:r>
      <w:r w:rsidR="00457598">
        <w:rPr>
          <w:rFonts w:ascii="Arial" w:hAnsi="Arial" w:cs="Arial"/>
          <w:sz w:val="20"/>
          <w:szCs w:val="20"/>
        </w:rPr>
        <w:t>dotyczący</w:t>
      </w:r>
      <w:r w:rsidR="00E93367">
        <w:rPr>
          <w:rFonts w:ascii="Arial" w:hAnsi="Arial" w:cs="Arial"/>
          <w:sz w:val="20"/>
          <w:szCs w:val="20"/>
        </w:rPr>
        <w:t>ch</w:t>
      </w:r>
      <w:r w:rsidR="004575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kar umownych </w:t>
      </w:r>
      <w:r w:rsidRPr="00526887">
        <w:rPr>
          <w:rFonts w:ascii="Arial" w:hAnsi="Arial" w:cs="Arial"/>
          <w:sz w:val="20"/>
          <w:szCs w:val="20"/>
        </w:rPr>
        <w:t>nieuregulowany</w:t>
      </w:r>
      <w:r w:rsidR="00457598">
        <w:rPr>
          <w:rFonts w:ascii="Arial" w:hAnsi="Arial" w:cs="Arial"/>
          <w:sz w:val="20"/>
          <w:szCs w:val="20"/>
        </w:rPr>
        <w:t>m</w:t>
      </w:r>
      <w:r w:rsidRPr="00526887">
        <w:rPr>
          <w:rFonts w:ascii="Arial" w:hAnsi="Arial" w:cs="Arial"/>
          <w:sz w:val="20"/>
          <w:szCs w:val="20"/>
        </w:rPr>
        <w:t xml:space="preserve"> niniejszym załącznikiem stosuje się Umowę. </w:t>
      </w:r>
      <w:bookmarkEnd w:id="4"/>
    </w:p>
    <w:p w14:paraId="710444B2" w14:textId="77777777" w:rsidR="000375A5" w:rsidRPr="009D71C2" w:rsidRDefault="000375A5" w:rsidP="009D71C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DE592D" w14:textId="77777777" w:rsidR="0029545D" w:rsidRDefault="0029545D"/>
    <w:sectPr w:rsidR="0029545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437B6" w14:textId="77777777" w:rsidR="00D91732" w:rsidRDefault="00D91732" w:rsidP="00B66532">
      <w:pPr>
        <w:spacing w:after="0" w:line="240" w:lineRule="auto"/>
      </w:pPr>
      <w:r>
        <w:separator/>
      </w:r>
    </w:p>
  </w:endnote>
  <w:endnote w:type="continuationSeparator" w:id="0">
    <w:p w14:paraId="2C8553B6" w14:textId="77777777" w:rsidR="00D91732" w:rsidRDefault="00D91732" w:rsidP="00B6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9845915"/>
      <w:docPartObj>
        <w:docPartGallery w:val="Page Numbers (Bottom of Page)"/>
        <w:docPartUnique/>
      </w:docPartObj>
    </w:sdtPr>
    <w:sdtEndPr/>
    <w:sdtContent>
      <w:p w14:paraId="5B449537" w14:textId="09981C46" w:rsidR="00B66532" w:rsidRDefault="00B665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323B1" w14:textId="77777777" w:rsidR="00B66532" w:rsidRDefault="00B66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B1E72" w14:textId="77777777" w:rsidR="00D91732" w:rsidRDefault="00D91732" w:rsidP="00B66532">
      <w:pPr>
        <w:spacing w:after="0" w:line="240" w:lineRule="auto"/>
      </w:pPr>
      <w:r>
        <w:separator/>
      </w:r>
    </w:p>
  </w:footnote>
  <w:footnote w:type="continuationSeparator" w:id="0">
    <w:p w14:paraId="74651B30" w14:textId="77777777" w:rsidR="00D91732" w:rsidRDefault="00D91732" w:rsidP="00B66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A6CB9"/>
    <w:multiLevelType w:val="hybridMultilevel"/>
    <w:tmpl w:val="8D520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6589"/>
    <w:multiLevelType w:val="multilevel"/>
    <w:tmpl w:val="C124043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850"/>
      </w:pPr>
      <w:rPr>
        <w:rFonts w:ascii="Arial" w:eastAsiaTheme="minorHAnsi" w:hAnsi="Arial" w:cs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EC4F95"/>
    <w:multiLevelType w:val="multilevel"/>
    <w:tmpl w:val="9234753A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2C932DFC"/>
    <w:multiLevelType w:val="multilevel"/>
    <w:tmpl w:val="90E4F8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516E8B"/>
    <w:multiLevelType w:val="hybridMultilevel"/>
    <w:tmpl w:val="A482BA20"/>
    <w:lvl w:ilvl="0" w:tplc="720464B0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430CE4"/>
    <w:multiLevelType w:val="multilevel"/>
    <w:tmpl w:val="22A2F4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850"/>
      </w:pPr>
      <w:rPr>
        <w:rFonts w:ascii="Arial" w:eastAsiaTheme="minorHAnsi" w:hAnsi="Arial" w:cs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0B0683E"/>
    <w:multiLevelType w:val="multilevel"/>
    <w:tmpl w:val="E146F83C"/>
    <w:lvl w:ilvl="0">
      <w:start w:val="1"/>
      <w:numFmt w:val="decimal"/>
      <w:pStyle w:val="Nagwek1"/>
      <w:suff w:val="space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"/>
      <w:lvlText w:val="%2."/>
      <w:lvlJc w:val="left"/>
      <w:pPr>
        <w:tabs>
          <w:tab w:val="num" w:pos="709"/>
        </w:tabs>
        <w:ind w:left="709" w:hanging="709"/>
      </w:pPr>
      <w:rPr>
        <w:rFonts w:asciiTheme="minorHAnsi" w:eastAsia="Times New Roman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asciiTheme="minorHAnsi" w:hAnsiTheme="minorHAnsi" w:cstheme="minorHAnsi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pStyle w:val="Podpunkt"/>
      <w:lvlText w:val="%2.%4"/>
      <w:lvlJc w:val="left"/>
      <w:pPr>
        <w:tabs>
          <w:tab w:val="num" w:pos="1701"/>
        </w:tabs>
        <w:ind w:left="1701" w:hanging="567"/>
      </w:pPr>
      <w:rPr>
        <w:rFonts w:ascii="Arial" w:eastAsia="Times New Roman" w:hAnsi="Arial" w:cs="Arial"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7D50798"/>
    <w:multiLevelType w:val="multilevel"/>
    <w:tmpl w:val="C764F4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850"/>
      </w:pPr>
      <w:rPr>
        <w:rFonts w:ascii="Arial" w:eastAsiaTheme="minorHAnsi" w:hAnsi="Arial" w:cs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1A0D29"/>
    <w:multiLevelType w:val="multilevel"/>
    <w:tmpl w:val="44840CD4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6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  <w:b w:val="0"/>
      </w:rPr>
    </w:lvl>
  </w:abstractNum>
  <w:abstractNum w:abstractNumId="9" w15:restartNumberingAfterBreak="0">
    <w:nsid w:val="4A90292C"/>
    <w:multiLevelType w:val="multilevel"/>
    <w:tmpl w:val="54943D50"/>
    <w:lvl w:ilvl="0">
      <w:start w:val="3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851" w:hanging="851"/>
      </w:pPr>
      <w:rPr>
        <w:rFonts w:ascii="Arial" w:eastAsiaTheme="minorHAnsi" w:hAnsi="Arial" w:cs="Arial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850"/>
      </w:pPr>
      <w:rPr>
        <w:rFonts w:ascii="Arial" w:eastAsiaTheme="minorHAnsi" w:hAnsi="Arial" w:cs="Aria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6B7D66"/>
    <w:multiLevelType w:val="multilevel"/>
    <w:tmpl w:val="0A4AF40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6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  <w:b w:val="0"/>
      </w:rPr>
    </w:lvl>
  </w:abstractNum>
  <w:abstractNum w:abstractNumId="11" w15:restartNumberingAfterBreak="0">
    <w:nsid w:val="5CFE392C"/>
    <w:multiLevelType w:val="multilevel"/>
    <w:tmpl w:val="22A2F4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850"/>
      </w:pPr>
      <w:rPr>
        <w:rFonts w:ascii="Arial" w:eastAsiaTheme="minorHAnsi" w:hAnsi="Arial" w:cs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28F51F5"/>
    <w:multiLevelType w:val="multilevel"/>
    <w:tmpl w:val="22A2F4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850"/>
      </w:pPr>
      <w:rPr>
        <w:rFonts w:ascii="Arial" w:eastAsiaTheme="minorHAnsi" w:hAnsi="Arial" w:cs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727ED1"/>
    <w:multiLevelType w:val="multilevel"/>
    <w:tmpl w:val="C764F4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851" w:hanging="851"/>
      </w:pPr>
      <w:rPr>
        <w:rFonts w:ascii="Arial" w:eastAsiaTheme="minorHAnsi" w:hAnsi="Arial" w:cs="Arial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850"/>
      </w:pPr>
      <w:rPr>
        <w:rFonts w:ascii="Arial" w:eastAsiaTheme="minorHAnsi" w:hAnsi="Arial" w:cs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26C74BC"/>
    <w:multiLevelType w:val="hybridMultilevel"/>
    <w:tmpl w:val="3E12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A2D9A"/>
    <w:multiLevelType w:val="hybridMultilevel"/>
    <w:tmpl w:val="801E86AE"/>
    <w:lvl w:ilvl="0" w:tplc="E1B21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35E68"/>
    <w:multiLevelType w:val="multilevel"/>
    <w:tmpl w:val="48F2B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Arial" w:eastAsiaTheme="minorHAnsi" w:hAnsi="Arial" w:cs="Arial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0"/>
  </w:num>
  <w:num w:numId="5">
    <w:abstractNumId w:val="12"/>
  </w:num>
  <w:num w:numId="6">
    <w:abstractNumId w:val="13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6"/>
  </w:num>
  <w:num w:numId="17">
    <w:abstractNumId w:val="2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A8"/>
    <w:rsid w:val="00033635"/>
    <w:rsid w:val="000375A5"/>
    <w:rsid w:val="00055CDC"/>
    <w:rsid w:val="0006723B"/>
    <w:rsid w:val="000752D1"/>
    <w:rsid w:val="00096C88"/>
    <w:rsid w:val="000A258A"/>
    <w:rsid w:val="000F2E17"/>
    <w:rsid w:val="001075FF"/>
    <w:rsid w:val="00127977"/>
    <w:rsid w:val="0018266A"/>
    <w:rsid w:val="001848C7"/>
    <w:rsid w:val="0023649E"/>
    <w:rsid w:val="00247762"/>
    <w:rsid w:val="0029545D"/>
    <w:rsid w:val="002A6BA5"/>
    <w:rsid w:val="002C769B"/>
    <w:rsid w:val="002F5D88"/>
    <w:rsid w:val="00306C39"/>
    <w:rsid w:val="00326B69"/>
    <w:rsid w:val="00344D88"/>
    <w:rsid w:val="00380C03"/>
    <w:rsid w:val="00395F5E"/>
    <w:rsid w:val="003C047B"/>
    <w:rsid w:val="00422A5B"/>
    <w:rsid w:val="00455A35"/>
    <w:rsid w:val="00457598"/>
    <w:rsid w:val="00495E7F"/>
    <w:rsid w:val="00504DF6"/>
    <w:rsid w:val="00522133"/>
    <w:rsid w:val="00532628"/>
    <w:rsid w:val="005551B6"/>
    <w:rsid w:val="00567FA9"/>
    <w:rsid w:val="00577F46"/>
    <w:rsid w:val="005F086C"/>
    <w:rsid w:val="0062031B"/>
    <w:rsid w:val="00663BA9"/>
    <w:rsid w:val="00677246"/>
    <w:rsid w:val="00795491"/>
    <w:rsid w:val="00830D8B"/>
    <w:rsid w:val="00833670"/>
    <w:rsid w:val="0088714E"/>
    <w:rsid w:val="008A02FE"/>
    <w:rsid w:val="008D1F34"/>
    <w:rsid w:val="008E62AA"/>
    <w:rsid w:val="00914B0E"/>
    <w:rsid w:val="00940E9B"/>
    <w:rsid w:val="00954E25"/>
    <w:rsid w:val="0098097F"/>
    <w:rsid w:val="009C4CA4"/>
    <w:rsid w:val="009D0754"/>
    <w:rsid w:val="009D71C2"/>
    <w:rsid w:val="00A04927"/>
    <w:rsid w:val="00A055A2"/>
    <w:rsid w:val="00AA795B"/>
    <w:rsid w:val="00AB4735"/>
    <w:rsid w:val="00AC225C"/>
    <w:rsid w:val="00AE7DD0"/>
    <w:rsid w:val="00B33C0B"/>
    <w:rsid w:val="00B66532"/>
    <w:rsid w:val="00B8540C"/>
    <w:rsid w:val="00BC29D2"/>
    <w:rsid w:val="00BD3367"/>
    <w:rsid w:val="00C4089B"/>
    <w:rsid w:val="00C60369"/>
    <w:rsid w:val="00CB63CE"/>
    <w:rsid w:val="00D362B7"/>
    <w:rsid w:val="00D740A9"/>
    <w:rsid w:val="00D7545C"/>
    <w:rsid w:val="00D86FDA"/>
    <w:rsid w:val="00D91732"/>
    <w:rsid w:val="00D973B8"/>
    <w:rsid w:val="00E12CA8"/>
    <w:rsid w:val="00E87B4D"/>
    <w:rsid w:val="00E93367"/>
    <w:rsid w:val="00EF2FE4"/>
    <w:rsid w:val="00EF79D8"/>
    <w:rsid w:val="00F932B6"/>
    <w:rsid w:val="0862DD8A"/>
    <w:rsid w:val="165D294A"/>
    <w:rsid w:val="21F554AE"/>
    <w:rsid w:val="2ED6B2DC"/>
    <w:rsid w:val="3872BE30"/>
    <w:rsid w:val="39AD24F0"/>
    <w:rsid w:val="3AEE6FEE"/>
    <w:rsid w:val="3B763342"/>
    <w:rsid w:val="3BA3B50F"/>
    <w:rsid w:val="3F60F6C7"/>
    <w:rsid w:val="416E1E14"/>
    <w:rsid w:val="4C1E6A71"/>
    <w:rsid w:val="58BE3A18"/>
    <w:rsid w:val="60FB9AD2"/>
    <w:rsid w:val="61C6BD50"/>
    <w:rsid w:val="6F712252"/>
    <w:rsid w:val="77598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490D"/>
  <w15:chartTrackingRefBased/>
  <w15:docId w15:val="{4C7DA1D5-A966-4C0C-8C4B-1DE143AD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567FA9"/>
    <w:pPr>
      <w:keepNext/>
      <w:numPr>
        <w:numId w:val="1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E12C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CA8"/>
    <w:rPr>
      <w:sz w:val="20"/>
      <w:szCs w:val="20"/>
    </w:rPr>
  </w:style>
  <w:style w:type="character" w:customStyle="1" w:styleId="AkapitzlistZnak">
    <w:name w:val="Akapit z listą Znak"/>
    <w:aliases w:val="Preambuła Znak,Lista num Znak,Akapit z listą BS Znak"/>
    <w:link w:val="Akapitzlist"/>
    <w:uiPriority w:val="34"/>
    <w:locked/>
    <w:rsid w:val="00E12CA8"/>
  </w:style>
  <w:style w:type="paragraph" w:styleId="Akapitzlist">
    <w:name w:val="List Paragraph"/>
    <w:aliases w:val="Preambuła,Lista num,Akapit z listą BS"/>
    <w:basedOn w:val="Normalny"/>
    <w:link w:val="AkapitzlistZnak"/>
    <w:uiPriority w:val="34"/>
    <w:qFormat/>
    <w:rsid w:val="00E12CA8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2CA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A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D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532"/>
  </w:style>
  <w:style w:type="paragraph" w:styleId="Stopka">
    <w:name w:val="footer"/>
    <w:basedOn w:val="Normalny"/>
    <w:link w:val="StopkaZnak"/>
    <w:uiPriority w:val="99"/>
    <w:unhideWhenUsed/>
    <w:rsid w:val="00B6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53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2"/>
    <w:rPr>
      <w:b/>
      <w:bCs/>
      <w:sz w:val="20"/>
      <w:szCs w:val="20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567FA9"/>
    <w:rPr>
      <w:rFonts w:ascii="Times New Roman" w:eastAsia="Times New Roman" w:hAnsi="Times New Roman" w:cs="Arial"/>
      <w:b/>
      <w:bCs/>
      <w:caps/>
      <w:kern w:val="32"/>
      <w:sz w:val="24"/>
      <w:szCs w:val="32"/>
      <w:lang w:eastAsia="pl-PL"/>
    </w:rPr>
  </w:style>
  <w:style w:type="paragraph" w:customStyle="1" w:styleId="Punkt">
    <w:name w:val="Punkt"/>
    <w:basedOn w:val="Tekstpodstawowy"/>
    <w:rsid w:val="00567FA9"/>
    <w:pPr>
      <w:numPr>
        <w:ilvl w:val="1"/>
        <w:numId w:val="11"/>
      </w:numPr>
      <w:tabs>
        <w:tab w:val="clear" w:pos="709"/>
        <w:tab w:val="num" w:pos="1134"/>
      </w:tabs>
      <w:spacing w:after="16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567FA9"/>
    <w:pPr>
      <w:numPr>
        <w:ilvl w:val="3"/>
      </w:numPr>
      <w:tabs>
        <w:tab w:val="clear" w:pos="1701"/>
      </w:tabs>
      <w:ind w:left="1728" w:hanging="648"/>
    </w:pPr>
  </w:style>
  <w:style w:type="paragraph" w:customStyle="1" w:styleId="Punkt2">
    <w:name w:val="Punkt_2"/>
    <w:basedOn w:val="Punkt"/>
    <w:rsid w:val="00567FA9"/>
    <w:pPr>
      <w:numPr>
        <w:ilvl w:val="0"/>
        <w:numId w:val="0"/>
      </w:numPr>
    </w:pPr>
  </w:style>
  <w:style w:type="paragraph" w:styleId="Bezodstpw">
    <w:name w:val="No Spacing"/>
    <w:aliases w:val="1.1"/>
    <w:basedOn w:val="Normalny"/>
    <w:uiPriority w:val="1"/>
    <w:qFormat/>
    <w:rsid w:val="00567FA9"/>
    <w:pPr>
      <w:tabs>
        <w:tab w:val="left" w:pos="1560"/>
      </w:tabs>
      <w:ind w:left="992" w:hanging="652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7F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3B139DEE15D45B976C3D53CD7F6FE" ma:contentTypeVersion="2" ma:contentTypeDescription="Utwórz nowy dokument." ma:contentTypeScope="" ma:versionID="1c12a37694f87aba6f4f6cfd89f60cd9">
  <xsd:schema xmlns:xsd="http://www.w3.org/2001/XMLSchema" xmlns:xs="http://www.w3.org/2001/XMLSchema" xmlns:p="http://schemas.microsoft.com/office/2006/metadata/properties" xmlns:ns2="0434326b-d01b-479d-9bc6-ab330723b778" targetNamespace="http://schemas.microsoft.com/office/2006/metadata/properties" ma:root="true" ma:fieldsID="980b4f7627174fe2c7b343187ce2fdc3" ns2:_="">
    <xsd:import namespace="0434326b-d01b-479d-9bc6-ab330723b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326b-d01b-479d-9bc6-ab330723b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48907-1158-4D7A-A61A-C09B0DDAA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C4966-BCD1-4BAE-AAF2-386B7472D679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434326b-d01b-479d-9bc6-ab330723b77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7F912A-2E99-4FA0-A0EB-8FDACA543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4326b-d01b-479d-9bc6-ab330723b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Kęciek</dc:creator>
  <cp:keywords/>
  <dc:description/>
  <cp:lastModifiedBy>Elżbieta Jasińska</cp:lastModifiedBy>
  <cp:revision>2</cp:revision>
  <dcterms:created xsi:type="dcterms:W3CDTF">2020-07-09T15:01:00Z</dcterms:created>
  <dcterms:modified xsi:type="dcterms:W3CDTF">2020-07-09T15:01:00Z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0x01010069B3B139DEE15D45B976C3D53CD7F6FE</vt:lpwstr>
  </property>
</Properties>
</file>