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C7" w:rsidRPr="00545E0F" w:rsidRDefault="003510C7" w:rsidP="008877B0">
      <w:pPr>
        <w:jc w:val="right"/>
        <w:rPr>
          <w:rFonts w:ascii="Arial Narrow" w:hAnsi="Arial Narrow" w:cs="Arial"/>
          <w:b/>
          <w:sz w:val="20"/>
          <w:szCs w:val="20"/>
        </w:rPr>
      </w:pPr>
    </w:p>
    <w:p w:rsidR="008877B0" w:rsidRPr="00545E0F" w:rsidRDefault="008877B0" w:rsidP="008877B0">
      <w:pPr>
        <w:jc w:val="right"/>
        <w:rPr>
          <w:rFonts w:ascii="Arial Narrow" w:hAnsi="Arial Narrow" w:cs="Arial"/>
          <w:b/>
        </w:rPr>
      </w:pPr>
      <w:r w:rsidRPr="00545E0F">
        <w:rPr>
          <w:rFonts w:ascii="Arial Narrow" w:hAnsi="Arial Narrow" w:cs="Arial"/>
          <w:b/>
        </w:rPr>
        <w:t xml:space="preserve">Załącznik nr </w:t>
      </w:r>
      <w:r w:rsidR="00967F09" w:rsidRPr="00545E0F">
        <w:rPr>
          <w:rFonts w:ascii="Arial Narrow" w:hAnsi="Arial Narrow" w:cs="Arial"/>
          <w:b/>
        </w:rPr>
        <w:t>3</w:t>
      </w:r>
      <w:r w:rsidR="003510C7" w:rsidRPr="00545E0F">
        <w:rPr>
          <w:rFonts w:ascii="Arial Narrow" w:hAnsi="Arial Narrow" w:cs="Arial"/>
          <w:b/>
        </w:rPr>
        <w:t xml:space="preserve"> do Zapytania </w:t>
      </w:r>
      <w:r w:rsidR="003510C7" w:rsidRPr="00522740">
        <w:rPr>
          <w:rFonts w:ascii="Arial Narrow" w:hAnsi="Arial Narrow" w:cs="Arial"/>
          <w:b/>
        </w:rPr>
        <w:t xml:space="preserve">Ofertowego </w:t>
      </w:r>
      <w:r w:rsidR="00A81244" w:rsidRPr="00522740">
        <w:rPr>
          <w:rFonts w:ascii="Arial Narrow" w:hAnsi="Arial Narrow" w:cs="Arial"/>
          <w:b/>
        </w:rPr>
        <w:t xml:space="preserve">nr </w:t>
      </w:r>
      <w:r w:rsidR="00C44BBB" w:rsidRPr="00B93FC8">
        <w:rPr>
          <w:rFonts w:ascii="Arial Narrow" w:hAnsi="Arial Narrow" w:cs="Arial"/>
          <w:b/>
        </w:rPr>
        <w:t>01/FEPW/1.2/2025</w:t>
      </w:r>
    </w:p>
    <w:p w:rsidR="0027536B" w:rsidRPr="00545E0F" w:rsidRDefault="0027536B" w:rsidP="0087157A">
      <w:pPr>
        <w:spacing w:after="0"/>
        <w:rPr>
          <w:rFonts w:ascii="Arial Narrow" w:hAnsi="Arial Narrow" w:cs="Arial"/>
          <w:i/>
        </w:rPr>
      </w:pPr>
    </w:p>
    <w:p w:rsidR="008877B0" w:rsidRPr="00545E0F" w:rsidRDefault="0087157A" w:rsidP="0087157A">
      <w:pPr>
        <w:spacing w:after="0"/>
        <w:rPr>
          <w:rFonts w:ascii="Arial Narrow" w:hAnsi="Arial Narrow" w:cs="Arial"/>
          <w:i/>
        </w:rPr>
      </w:pPr>
      <w:r w:rsidRPr="00545E0F">
        <w:rPr>
          <w:rFonts w:ascii="Arial Narrow" w:hAnsi="Arial Narrow" w:cs="Arial"/>
          <w:i/>
        </w:rPr>
        <w:t>………….………………………………</w:t>
      </w:r>
    </w:p>
    <w:p w:rsidR="0087157A" w:rsidRPr="00545E0F" w:rsidRDefault="0087157A" w:rsidP="0087157A">
      <w:pPr>
        <w:spacing w:after="0"/>
        <w:ind w:firstLine="708"/>
        <w:rPr>
          <w:rFonts w:ascii="Arial Narrow" w:hAnsi="Arial Narrow" w:cs="Arial"/>
          <w:i/>
        </w:rPr>
      </w:pPr>
      <w:proofErr w:type="gramStart"/>
      <w:r w:rsidRPr="00545E0F">
        <w:rPr>
          <w:rFonts w:ascii="Arial Narrow" w:hAnsi="Arial Narrow" w:cs="Arial"/>
          <w:i/>
        </w:rPr>
        <w:t>pieczęć</w:t>
      </w:r>
      <w:proofErr w:type="gramEnd"/>
      <w:r w:rsidRPr="00545E0F">
        <w:rPr>
          <w:rFonts w:ascii="Arial Narrow" w:hAnsi="Arial Narrow" w:cs="Arial"/>
          <w:i/>
        </w:rPr>
        <w:t xml:space="preserve"> oferenta</w:t>
      </w:r>
    </w:p>
    <w:p w:rsidR="008877B0" w:rsidRPr="00545E0F" w:rsidRDefault="008877B0" w:rsidP="008877B0">
      <w:pPr>
        <w:jc w:val="right"/>
        <w:rPr>
          <w:rFonts w:ascii="Arial Narrow" w:hAnsi="Arial Narrow" w:cs="Arial"/>
          <w:sz w:val="20"/>
          <w:szCs w:val="20"/>
        </w:rPr>
      </w:pPr>
    </w:p>
    <w:p w:rsidR="008877B0" w:rsidRPr="00522740" w:rsidRDefault="0027536B" w:rsidP="0027536B">
      <w:pPr>
        <w:pStyle w:val="Bezodstpw"/>
        <w:jc w:val="center"/>
        <w:rPr>
          <w:rFonts w:ascii="Arial Narrow" w:hAnsi="Arial Narrow"/>
          <w:b/>
        </w:rPr>
      </w:pPr>
      <w:r w:rsidRPr="00522740">
        <w:rPr>
          <w:rFonts w:ascii="Arial Narrow" w:hAnsi="Arial Narrow"/>
          <w:b/>
        </w:rPr>
        <w:t>PARAMETRY OFEROWANE</w:t>
      </w:r>
    </w:p>
    <w:p w:rsidR="00141E46" w:rsidRPr="00C44BBB" w:rsidRDefault="000765A6" w:rsidP="00C44BBB">
      <w:pPr>
        <w:pStyle w:val="Bezodstpw"/>
        <w:jc w:val="center"/>
        <w:rPr>
          <w:rFonts w:ascii="Arial Narrow" w:hAnsi="Arial Narrow"/>
          <w:b/>
        </w:rPr>
      </w:pPr>
      <w:r>
        <w:rPr>
          <w:rFonts w:ascii="Arial Narrow" w:eastAsia="Calibri" w:hAnsi="Arial Narrow" w:cs="Arial"/>
          <w:b/>
          <w:i/>
        </w:rPr>
        <w:t xml:space="preserve"> </w:t>
      </w:r>
      <w:r w:rsidR="00C44BBB" w:rsidRPr="00C44BBB">
        <w:rPr>
          <w:rFonts w:ascii="Arial Narrow" w:hAnsi="Arial Narrow"/>
          <w:b/>
        </w:rPr>
        <w:t>NA DOSTAWĘ, MONTAŻ I URUCHOMIENIE AUTOMATYCZNEGO MAGAZYNU RUR I PÓŁPRODUKTÓW</w:t>
      </w:r>
    </w:p>
    <w:p w:rsidR="00104FF1" w:rsidRPr="00545E0F" w:rsidRDefault="00104FF1" w:rsidP="0087157A">
      <w:pPr>
        <w:spacing w:after="0"/>
        <w:jc w:val="center"/>
        <w:rPr>
          <w:rFonts w:ascii="Arial Narrow" w:hAnsi="Arial Narrow" w:cs="Arial"/>
          <w:i/>
        </w:rPr>
      </w:pPr>
    </w:p>
    <w:p w:rsidR="00104FF1" w:rsidRPr="001C7FBA" w:rsidRDefault="00463F22" w:rsidP="003475AC">
      <w:pPr>
        <w:spacing w:after="0"/>
        <w:jc w:val="both"/>
        <w:rPr>
          <w:rFonts w:ascii="Arial Narrow" w:hAnsi="Arial Narrow" w:cs="Arial"/>
        </w:rPr>
      </w:pPr>
      <w:r w:rsidRPr="001C7FBA">
        <w:rPr>
          <w:rFonts w:ascii="Arial Narrow" w:hAnsi="Arial Narrow" w:cs="Arial"/>
        </w:rPr>
        <w:t>D</w:t>
      </w:r>
      <w:r w:rsidR="00967F09" w:rsidRPr="001C7FBA">
        <w:rPr>
          <w:rFonts w:ascii="Arial Narrow" w:hAnsi="Arial Narrow" w:cs="Arial"/>
        </w:rPr>
        <w:t>otyczy</w:t>
      </w:r>
      <w:r w:rsidR="00CF5D05" w:rsidRPr="001C7FBA">
        <w:rPr>
          <w:rFonts w:ascii="Arial Narrow" w:hAnsi="Arial Narrow" w:cs="Arial"/>
        </w:rPr>
        <w:t>:</w:t>
      </w:r>
      <w:r w:rsidR="00967F09" w:rsidRPr="001C7FBA">
        <w:rPr>
          <w:rFonts w:ascii="Arial Narrow" w:hAnsi="Arial Narrow" w:cs="Arial"/>
        </w:rPr>
        <w:t xml:space="preserve"> Zapytania </w:t>
      </w:r>
      <w:r w:rsidR="00967F09" w:rsidRPr="00522740">
        <w:rPr>
          <w:rFonts w:ascii="Arial Narrow" w:hAnsi="Arial Narrow" w:cs="Arial"/>
        </w:rPr>
        <w:t>ofert</w:t>
      </w:r>
      <w:r w:rsidR="001218B3" w:rsidRPr="00522740">
        <w:rPr>
          <w:rFonts w:ascii="Arial Narrow" w:hAnsi="Arial Narrow" w:cs="Arial"/>
        </w:rPr>
        <w:t xml:space="preserve">owego nr </w:t>
      </w:r>
      <w:r w:rsidR="00C44BBB" w:rsidRPr="00B93FC8">
        <w:rPr>
          <w:rFonts w:ascii="Arial Narrow" w:hAnsi="Arial Narrow" w:cs="Arial"/>
        </w:rPr>
        <w:t xml:space="preserve">01/FEPW/1.2/2025 </w:t>
      </w:r>
      <w:proofErr w:type="gramStart"/>
      <w:r w:rsidR="00A81244" w:rsidRPr="00522740">
        <w:rPr>
          <w:rFonts w:ascii="Arial Narrow" w:hAnsi="Arial Narrow" w:cs="Arial"/>
        </w:rPr>
        <w:t>planowanego</w:t>
      </w:r>
      <w:proofErr w:type="gramEnd"/>
      <w:r w:rsidR="00A81244" w:rsidRPr="001C7FBA">
        <w:rPr>
          <w:rFonts w:ascii="Arial Narrow" w:hAnsi="Arial Narrow" w:cs="Arial"/>
        </w:rPr>
        <w:t xml:space="preserve"> do dofinansowani</w:t>
      </w:r>
      <w:r w:rsidR="00C26207" w:rsidRPr="001C7FBA">
        <w:rPr>
          <w:rFonts w:ascii="Arial Narrow" w:hAnsi="Arial Narrow" w:cs="Arial"/>
        </w:rPr>
        <w:t>a</w:t>
      </w:r>
      <w:r w:rsidR="00A81244" w:rsidRPr="001C7FBA">
        <w:rPr>
          <w:rFonts w:ascii="Arial Narrow" w:hAnsi="Arial Narrow" w:cs="Arial"/>
        </w:rPr>
        <w:t xml:space="preserve"> w ramach</w:t>
      </w:r>
      <w:r w:rsidR="00A81244" w:rsidRPr="00B93FC8">
        <w:rPr>
          <w:rFonts w:ascii="Arial Narrow" w:hAnsi="Arial Narrow" w:cs="Arial"/>
        </w:rPr>
        <w:t xml:space="preserve"> </w:t>
      </w:r>
      <w:r w:rsidR="001C7FBA" w:rsidRPr="00B93FC8">
        <w:rPr>
          <w:rFonts w:ascii="Arial Narrow" w:hAnsi="Arial Narrow" w:cs="Arial"/>
        </w:rPr>
        <w:t>projektu pt. „</w:t>
      </w:r>
      <w:r w:rsidR="00C44BBB" w:rsidRPr="00B93FC8">
        <w:rPr>
          <w:rFonts w:ascii="Arial Narrow" w:hAnsi="Arial Narrow" w:cs="Arial"/>
          <w:i/>
        </w:rPr>
        <w:t>Transformacja firmy FME Food Machinery Europe Sp. z o.</w:t>
      </w:r>
      <w:proofErr w:type="gramStart"/>
      <w:r w:rsidR="00C44BBB" w:rsidRPr="00B93FC8">
        <w:rPr>
          <w:rFonts w:ascii="Arial Narrow" w:hAnsi="Arial Narrow" w:cs="Arial"/>
          <w:i/>
        </w:rPr>
        <w:t>o</w:t>
      </w:r>
      <w:proofErr w:type="gramEnd"/>
      <w:r w:rsidR="00C44BBB" w:rsidRPr="00B93FC8">
        <w:rPr>
          <w:rFonts w:ascii="Arial Narrow" w:hAnsi="Arial Narrow" w:cs="Arial"/>
          <w:i/>
        </w:rPr>
        <w:t xml:space="preserve">. </w:t>
      </w:r>
      <w:proofErr w:type="gramStart"/>
      <w:r w:rsidR="00C44BBB" w:rsidRPr="00B93FC8">
        <w:rPr>
          <w:rFonts w:ascii="Arial Narrow" w:hAnsi="Arial Narrow" w:cs="Arial"/>
          <w:i/>
        </w:rPr>
        <w:t>w</w:t>
      </w:r>
      <w:proofErr w:type="gramEnd"/>
      <w:r w:rsidR="00C44BBB" w:rsidRPr="00B93FC8">
        <w:rPr>
          <w:rFonts w:ascii="Arial Narrow" w:hAnsi="Arial Narrow" w:cs="Arial"/>
          <w:i/>
        </w:rPr>
        <w:t xml:space="preserve"> kierunku Przemysłu 4.0</w:t>
      </w:r>
      <w:r w:rsidR="00C44BBB" w:rsidRPr="00B93FC8">
        <w:rPr>
          <w:rFonts w:ascii="Arial Narrow" w:hAnsi="Arial Narrow" w:cs="Arial"/>
        </w:rPr>
        <w:t xml:space="preserve">” </w:t>
      </w:r>
      <w:r w:rsidR="001C7FBA" w:rsidRPr="00B93FC8">
        <w:rPr>
          <w:rFonts w:ascii="Arial Narrow" w:hAnsi="Arial Narrow" w:cs="Arial"/>
        </w:rPr>
        <w:t xml:space="preserve"> </w:t>
      </w:r>
      <w:proofErr w:type="gramStart"/>
      <w:r w:rsidR="001C7FBA" w:rsidRPr="00B93FC8">
        <w:rPr>
          <w:rFonts w:ascii="Arial Narrow" w:hAnsi="Arial Narrow" w:cs="Arial"/>
        </w:rPr>
        <w:t>realizowanego</w:t>
      </w:r>
      <w:proofErr w:type="gramEnd"/>
      <w:r w:rsidR="001C7FBA" w:rsidRPr="00B93FC8">
        <w:rPr>
          <w:rFonts w:ascii="Arial Narrow" w:hAnsi="Arial Narrow" w:cs="Arial"/>
        </w:rPr>
        <w:t xml:space="preserve"> w ramach Programu Fundusze Europejskie dla Polski Wschodniej 2021-2027, Działanie </w:t>
      </w:r>
      <w:r w:rsidR="00C44BBB" w:rsidRPr="00B93FC8">
        <w:rPr>
          <w:rFonts w:ascii="Arial Narrow" w:hAnsi="Arial Narrow" w:cs="Arial"/>
        </w:rPr>
        <w:t>FEPW.01.02 Automatyzacja i robotyzacja w MŚP.</w:t>
      </w:r>
    </w:p>
    <w:p w:rsidR="00CF5D05" w:rsidRPr="001C7FBA" w:rsidRDefault="00CF5D05" w:rsidP="003475AC">
      <w:pPr>
        <w:spacing w:after="0"/>
        <w:jc w:val="both"/>
        <w:rPr>
          <w:rFonts w:ascii="Arial Narrow" w:hAnsi="Arial Narrow" w:cs="Arial"/>
        </w:rPr>
      </w:pPr>
    </w:p>
    <w:p w:rsidR="00B93FC8" w:rsidRPr="00545E0F" w:rsidRDefault="0027536B" w:rsidP="003475AC">
      <w:pPr>
        <w:spacing w:after="0"/>
        <w:jc w:val="both"/>
        <w:rPr>
          <w:rFonts w:ascii="Arial Narrow" w:hAnsi="Arial Narrow" w:cs="Arial"/>
          <w:b/>
        </w:rPr>
      </w:pPr>
      <w:r w:rsidRPr="00545E0F">
        <w:rPr>
          <w:rFonts w:ascii="Arial Narrow" w:hAnsi="Arial Narrow" w:cs="Arial"/>
          <w:b/>
        </w:rPr>
        <w:t xml:space="preserve">Należy </w:t>
      </w: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596"/>
        <w:gridCol w:w="3539"/>
        <w:gridCol w:w="2759"/>
        <w:gridCol w:w="2394"/>
      </w:tblGrid>
      <w:tr w:rsidR="00B93FC8" w:rsidRPr="00E95B8E" w:rsidTr="00B93FC8">
        <w:trPr>
          <w:trHeight w:val="530"/>
        </w:trPr>
        <w:tc>
          <w:tcPr>
            <w:tcW w:w="596" w:type="dxa"/>
            <w:vAlign w:val="center"/>
          </w:tcPr>
          <w:p w:rsidR="00B93FC8" w:rsidRPr="00E95B8E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Calibri Light"/>
                <w:b/>
                <w:sz w:val="20"/>
                <w:szCs w:val="20"/>
              </w:rPr>
            </w:pPr>
            <w:r w:rsidRPr="00E95B8E">
              <w:rPr>
                <w:rFonts w:ascii="Arial Narrow" w:eastAsia="Calibri" w:hAnsi="Arial Narrow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3539" w:type="dxa"/>
            <w:vAlign w:val="center"/>
          </w:tcPr>
          <w:p w:rsidR="00B93FC8" w:rsidRPr="00E95B8E" w:rsidRDefault="00B93FC8" w:rsidP="006332A5">
            <w:pPr>
              <w:jc w:val="center"/>
              <w:rPr>
                <w:rFonts w:ascii="Arial Narrow" w:eastAsia="Calibri" w:hAnsi="Arial Narrow" w:cs="Calibri Light"/>
                <w:b/>
                <w:sz w:val="20"/>
                <w:szCs w:val="20"/>
              </w:rPr>
            </w:pPr>
            <w:r w:rsidRPr="00E95B8E">
              <w:rPr>
                <w:rFonts w:ascii="Arial Narrow" w:eastAsia="Calibri" w:hAnsi="Arial Narrow" w:cs="Calibri Light"/>
                <w:b/>
                <w:sz w:val="20"/>
                <w:szCs w:val="20"/>
              </w:rPr>
              <w:t>PARAMETR</w:t>
            </w:r>
          </w:p>
        </w:tc>
        <w:tc>
          <w:tcPr>
            <w:tcW w:w="2759" w:type="dxa"/>
            <w:vAlign w:val="center"/>
          </w:tcPr>
          <w:p w:rsidR="00B93FC8" w:rsidRPr="00E95B8E" w:rsidRDefault="00B93FC8" w:rsidP="006332A5">
            <w:pPr>
              <w:jc w:val="center"/>
              <w:rPr>
                <w:rFonts w:ascii="Arial Narrow" w:eastAsia="Calibri" w:hAnsi="Arial Narrow" w:cs="Calibri Light"/>
                <w:b/>
                <w:sz w:val="20"/>
                <w:szCs w:val="20"/>
              </w:rPr>
            </w:pPr>
            <w:r w:rsidRPr="00E95B8E">
              <w:rPr>
                <w:rFonts w:ascii="Arial Narrow" w:eastAsia="Calibri" w:hAnsi="Arial Narrow" w:cs="Calibri Light"/>
                <w:b/>
                <w:sz w:val="20"/>
                <w:szCs w:val="20"/>
              </w:rPr>
              <w:t>WARTOŚĆ WYMAGANA</w:t>
            </w:r>
          </w:p>
        </w:tc>
        <w:tc>
          <w:tcPr>
            <w:tcW w:w="2394" w:type="dxa"/>
          </w:tcPr>
          <w:p w:rsidR="00B93FC8" w:rsidRDefault="00B93FC8" w:rsidP="006332A5">
            <w:pPr>
              <w:jc w:val="center"/>
              <w:rPr>
                <w:rFonts w:ascii="Arial Narrow" w:eastAsia="Calibri" w:hAnsi="Arial Narrow" w:cs="Calibri Light"/>
                <w:b/>
                <w:sz w:val="20"/>
                <w:szCs w:val="20"/>
              </w:rPr>
            </w:pPr>
          </w:p>
          <w:p w:rsidR="00B93FC8" w:rsidRPr="00E95B8E" w:rsidRDefault="00B93FC8" w:rsidP="006332A5">
            <w:pPr>
              <w:jc w:val="center"/>
              <w:rPr>
                <w:rFonts w:ascii="Arial Narrow" w:eastAsia="Calibri" w:hAnsi="Arial Narrow" w:cs="Calibri Light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Calibri Light"/>
                <w:b/>
                <w:sz w:val="20"/>
                <w:szCs w:val="20"/>
              </w:rPr>
              <w:t>WARTOŚĆ OFEROWANA</w:t>
            </w:r>
          </w:p>
        </w:tc>
      </w:tr>
      <w:tr w:rsidR="00B93FC8" w:rsidRPr="00E95B8E" w:rsidTr="00BB448D">
        <w:trPr>
          <w:trHeight w:val="530"/>
        </w:trPr>
        <w:tc>
          <w:tcPr>
            <w:tcW w:w="9288" w:type="dxa"/>
            <w:gridSpan w:val="4"/>
            <w:vAlign w:val="center"/>
          </w:tcPr>
          <w:p w:rsidR="00B93FC8" w:rsidRDefault="00B93FC8" w:rsidP="006332A5">
            <w:pPr>
              <w:pStyle w:val="Akapitzlist1"/>
              <w:spacing w:line="276" w:lineRule="auto"/>
              <w:ind w:left="142"/>
              <w:jc w:val="both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  <w:t>REGAŁY AUTOMATYCZNE- 2 SZT</w:t>
            </w:r>
          </w:p>
        </w:tc>
      </w:tr>
      <w:tr w:rsidR="00B93FC8" w:rsidRPr="00E95B8E" w:rsidTr="00B93FC8">
        <w:tc>
          <w:tcPr>
            <w:tcW w:w="596" w:type="dxa"/>
            <w:vAlign w:val="center"/>
          </w:tcPr>
          <w:p w:rsidR="00B93FC8" w:rsidRPr="00E95B8E" w:rsidRDefault="00B93FC8" w:rsidP="00B93FC8">
            <w:pPr>
              <w:numPr>
                <w:ilvl w:val="0"/>
                <w:numId w:val="5"/>
              </w:numPr>
              <w:spacing w:line="259" w:lineRule="auto"/>
              <w:ind w:left="313" w:hanging="313"/>
              <w:contextualSpacing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93FC8" w:rsidRPr="00AA47EC" w:rsidRDefault="00B93FC8" w:rsidP="006332A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Regał wyposażony w d</w:t>
            </w:r>
            <w:r w:rsidRPr="008B6BE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wie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kolumny składowania oraz kolumnę transportową wyposażoną</w:t>
            </w:r>
            <w:r w:rsidRPr="008B6BE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w windę do przemieszczania półek </w:t>
            </w:r>
          </w:p>
        </w:tc>
        <w:tc>
          <w:tcPr>
            <w:tcW w:w="2759" w:type="dxa"/>
            <w:vAlign w:val="center"/>
          </w:tcPr>
          <w:p w:rsidR="00B93FC8" w:rsidRPr="00E95B8E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Calibri Light"/>
                <w:sz w:val="20"/>
                <w:szCs w:val="20"/>
              </w:rPr>
            </w:pPr>
            <w:r>
              <w:rPr>
                <w:rFonts w:ascii="Arial Narrow" w:eastAsia="Calibri" w:hAnsi="Arial Narrow" w:cs="Calibri Light"/>
                <w:sz w:val="20"/>
                <w:szCs w:val="20"/>
              </w:rPr>
              <w:t>TAK</w:t>
            </w:r>
          </w:p>
        </w:tc>
        <w:tc>
          <w:tcPr>
            <w:tcW w:w="2394" w:type="dxa"/>
          </w:tcPr>
          <w:p w:rsidR="00B93FC8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</w:tr>
      <w:tr w:rsidR="00B93FC8" w:rsidRPr="00E95B8E" w:rsidTr="00B93FC8">
        <w:tc>
          <w:tcPr>
            <w:tcW w:w="596" w:type="dxa"/>
            <w:vAlign w:val="center"/>
          </w:tcPr>
          <w:p w:rsidR="00B93FC8" w:rsidRPr="00E95B8E" w:rsidRDefault="00B93FC8" w:rsidP="00B93FC8">
            <w:pPr>
              <w:numPr>
                <w:ilvl w:val="0"/>
                <w:numId w:val="5"/>
              </w:numPr>
              <w:spacing w:line="259" w:lineRule="auto"/>
              <w:ind w:left="313" w:hanging="313"/>
              <w:contextualSpacing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93FC8" w:rsidRPr="002516DF" w:rsidRDefault="00B93FC8" w:rsidP="006332A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516DF">
              <w:rPr>
                <w:rFonts w:ascii="Arial Narrow" w:eastAsia="Times New Roman" w:hAnsi="Arial Narrow" w:cs="Times New Roman"/>
                <w:sz w:val="20"/>
                <w:szCs w:val="20"/>
              </w:rPr>
              <w:t>Regał wyposażony w zewnętrzne okno dostępowe z pojedynczym systemem dostawy półek wysuwanych poza obrys kolumn magazynu, co umożliwia załadunek i rozładunek przy użyciu suwnicy</w:t>
            </w:r>
          </w:p>
        </w:tc>
        <w:tc>
          <w:tcPr>
            <w:tcW w:w="2759" w:type="dxa"/>
            <w:vAlign w:val="center"/>
          </w:tcPr>
          <w:p w:rsidR="00B93FC8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Calibri Light"/>
                <w:sz w:val="20"/>
                <w:szCs w:val="20"/>
              </w:rPr>
            </w:pPr>
            <w:r>
              <w:rPr>
                <w:rFonts w:ascii="Arial Narrow" w:eastAsia="Calibri" w:hAnsi="Arial Narrow" w:cs="Calibri Light"/>
                <w:sz w:val="20"/>
                <w:szCs w:val="20"/>
              </w:rPr>
              <w:t>TAK</w:t>
            </w:r>
          </w:p>
        </w:tc>
        <w:tc>
          <w:tcPr>
            <w:tcW w:w="2394" w:type="dxa"/>
          </w:tcPr>
          <w:p w:rsidR="00B93FC8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</w:tr>
      <w:tr w:rsidR="00B93FC8" w:rsidRPr="00E95B8E" w:rsidTr="00B93FC8">
        <w:tc>
          <w:tcPr>
            <w:tcW w:w="596" w:type="dxa"/>
            <w:vAlign w:val="center"/>
          </w:tcPr>
          <w:p w:rsidR="00B93FC8" w:rsidRPr="00E95B8E" w:rsidRDefault="00B93FC8" w:rsidP="00B93FC8">
            <w:pPr>
              <w:numPr>
                <w:ilvl w:val="0"/>
                <w:numId w:val="5"/>
              </w:numPr>
              <w:spacing w:line="259" w:lineRule="auto"/>
              <w:ind w:left="313" w:hanging="313"/>
              <w:contextualSpacing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93FC8" w:rsidRPr="00AA47EC" w:rsidRDefault="00B93FC8" w:rsidP="006332A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B6BE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Stacja pracuje w trybie </w:t>
            </w:r>
            <w:r w:rsidRPr="002516DF">
              <w:rPr>
                <w:rFonts w:ascii="Arial Narrow" w:eastAsia="Times New Roman" w:hAnsi="Arial Narrow" w:cs="Times New Roman"/>
                <w:sz w:val="20"/>
                <w:szCs w:val="20"/>
              </w:rPr>
              <w:t>automatycznym, z możliwością ręcznej interwencji</w:t>
            </w:r>
            <w:r w:rsidRPr="008B6BE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(przywołania wybranej półki bądź produktu) </w:t>
            </w:r>
            <w:r w:rsidRPr="008B6BEB">
              <w:rPr>
                <w:rFonts w:ascii="Arial Narrow" w:eastAsia="Times New Roman" w:hAnsi="Arial Narrow" w:cs="Times New Roman"/>
                <w:sz w:val="20"/>
                <w:szCs w:val="20"/>
              </w:rPr>
              <w:t>przez operatora, co zapewnia elastyczność i bezpieczeństwo obsługi.</w:t>
            </w:r>
          </w:p>
        </w:tc>
        <w:tc>
          <w:tcPr>
            <w:tcW w:w="2759" w:type="dxa"/>
            <w:vAlign w:val="center"/>
          </w:tcPr>
          <w:p w:rsidR="00B93FC8" w:rsidRPr="00E95B8E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Calibri Light"/>
                <w:sz w:val="20"/>
                <w:szCs w:val="20"/>
              </w:rPr>
            </w:pPr>
            <w:r>
              <w:rPr>
                <w:rFonts w:ascii="Arial Narrow" w:eastAsia="Calibri" w:hAnsi="Arial Narrow" w:cs="Calibri Light"/>
                <w:sz w:val="20"/>
                <w:szCs w:val="20"/>
              </w:rPr>
              <w:t>TAK</w:t>
            </w:r>
          </w:p>
        </w:tc>
        <w:tc>
          <w:tcPr>
            <w:tcW w:w="2394" w:type="dxa"/>
          </w:tcPr>
          <w:p w:rsidR="00B93FC8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</w:tr>
      <w:tr w:rsidR="00B93FC8" w:rsidRPr="00E95B8E" w:rsidTr="00B93FC8">
        <w:tc>
          <w:tcPr>
            <w:tcW w:w="596" w:type="dxa"/>
            <w:vAlign w:val="center"/>
          </w:tcPr>
          <w:p w:rsidR="00B93FC8" w:rsidRPr="00E95B8E" w:rsidRDefault="00B93FC8" w:rsidP="00B93FC8">
            <w:pPr>
              <w:numPr>
                <w:ilvl w:val="0"/>
                <w:numId w:val="5"/>
              </w:numPr>
              <w:spacing w:line="259" w:lineRule="auto"/>
              <w:ind w:left="313" w:hanging="313"/>
              <w:contextualSpacing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93FC8" w:rsidRPr="00DD17EB" w:rsidRDefault="00B93FC8" w:rsidP="006332A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D17E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Standardowe półki o wymiarach: </w:t>
            </w:r>
          </w:p>
          <w:p w:rsidR="00B93FC8" w:rsidRPr="00DD17EB" w:rsidRDefault="00B93FC8" w:rsidP="006332A5">
            <w:pPr>
              <w:pStyle w:val="Tekstkomentarza"/>
              <w:jc w:val="center"/>
              <w:rPr>
                <w:rFonts w:ascii="Arial Narrow" w:eastAsia="Times New Roman" w:hAnsi="Arial Narrow" w:cs="Times New Roman"/>
              </w:rPr>
            </w:pPr>
            <w:r w:rsidRPr="00DD17EB">
              <w:rPr>
                <w:rFonts w:ascii="Arial Narrow" w:eastAsia="Times New Roman" w:hAnsi="Arial Narrow" w:cs="Times New Roman"/>
              </w:rPr>
              <w:t>6200 mm x 840 mm x 240 mm</w:t>
            </w:r>
          </w:p>
          <w:p w:rsidR="00B93FC8" w:rsidRPr="00DD17EB" w:rsidRDefault="00B93FC8" w:rsidP="006332A5">
            <w:pPr>
              <w:pStyle w:val="Tekstkomentarza"/>
              <w:jc w:val="center"/>
              <w:rPr>
                <w:rFonts w:ascii="Arial Narrow" w:eastAsia="Times New Roman" w:hAnsi="Arial Narrow" w:cs="Times New Roman"/>
              </w:rPr>
            </w:pPr>
            <w:r w:rsidRPr="00DD17EB">
              <w:rPr>
                <w:rFonts w:ascii="Arial Narrow" w:eastAsia="Calibri" w:hAnsi="Arial Narrow" w:cs="Times New Roman"/>
              </w:rPr>
              <w:t>Min. 40 półek w regale</w:t>
            </w:r>
          </w:p>
        </w:tc>
        <w:tc>
          <w:tcPr>
            <w:tcW w:w="2759" w:type="dxa"/>
            <w:vAlign w:val="center"/>
          </w:tcPr>
          <w:p w:rsidR="00B93FC8" w:rsidRPr="00DD17EB" w:rsidRDefault="00B93FC8" w:rsidP="006332A5">
            <w:pPr>
              <w:jc w:val="center"/>
              <w:rPr>
                <w:rFonts w:ascii="Arial Narrow" w:eastAsia="Calibri" w:hAnsi="Arial Narrow" w:cs="Calibri Light"/>
                <w:sz w:val="20"/>
                <w:szCs w:val="20"/>
              </w:rPr>
            </w:pPr>
            <w:r w:rsidRPr="00DD17EB">
              <w:rPr>
                <w:rFonts w:ascii="Arial Narrow" w:eastAsia="Calibri" w:hAnsi="Arial Narrow" w:cs="Calibri Light"/>
                <w:sz w:val="20"/>
                <w:szCs w:val="20"/>
              </w:rPr>
              <w:t>TAK</w:t>
            </w:r>
          </w:p>
        </w:tc>
        <w:tc>
          <w:tcPr>
            <w:tcW w:w="2394" w:type="dxa"/>
          </w:tcPr>
          <w:p w:rsidR="00B93FC8" w:rsidRPr="00DD17EB" w:rsidRDefault="00B93FC8" w:rsidP="006332A5">
            <w:pPr>
              <w:jc w:val="center"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</w:tr>
      <w:tr w:rsidR="00B93FC8" w:rsidRPr="00E95B8E" w:rsidTr="00B93FC8">
        <w:tc>
          <w:tcPr>
            <w:tcW w:w="596" w:type="dxa"/>
            <w:vAlign w:val="center"/>
          </w:tcPr>
          <w:p w:rsidR="00B93FC8" w:rsidRPr="00E95B8E" w:rsidRDefault="00B93FC8" w:rsidP="00B93FC8">
            <w:pPr>
              <w:numPr>
                <w:ilvl w:val="0"/>
                <w:numId w:val="5"/>
              </w:numPr>
              <w:spacing w:line="259" w:lineRule="auto"/>
              <w:ind w:left="313" w:hanging="313"/>
              <w:contextualSpacing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93FC8" w:rsidRPr="00AA47EC" w:rsidRDefault="00B93FC8" w:rsidP="006332A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B6BEB">
              <w:rPr>
                <w:rFonts w:ascii="Arial Narrow" w:eastAsia="Times New Roman" w:hAnsi="Arial Narrow" w:cs="Times New Roman"/>
                <w:sz w:val="20"/>
                <w:szCs w:val="20"/>
              </w:rPr>
              <w:t>Możliwość składowania artykułów z różnych materiałów, takich jak stal nierdzewna, aluminium, stal ocynkowana i stal czarna.</w:t>
            </w:r>
          </w:p>
        </w:tc>
        <w:tc>
          <w:tcPr>
            <w:tcW w:w="2759" w:type="dxa"/>
            <w:vAlign w:val="center"/>
          </w:tcPr>
          <w:p w:rsidR="00B93FC8" w:rsidRPr="00E95B8E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Calibri Light"/>
                <w:sz w:val="20"/>
                <w:szCs w:val="20"/>
              </w:rPr>
            </w:pPr>
            <w:r>
              <w:rPr>
                <w:rFonts w:ascii="Arial Narrow" w:eastAsia="Calibri" w:hAnsi="Arial Narrow" w:cs="Calibri Light"/>
                <w:sz w:val="20"/>
                <w:szCs w:val="20"/>
              </w:rPr>
              <w:t>TAK</w:t>
            </w:r>
          </w:p>
        </w:tc>
        <w:tc>
          <w:tcPr>
            <w:tcW w:w="2394" w:type="dxa"/>
          </w:tcPr>
          <w:p w:rsidR="00B93FC8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</w:tr>
      <w:tr w:rsidR="00B93FC8" w:rsidRPr="00E95B8E" w:rsidTr="00B93FC8">
        <w:tc>
          <w:tcPr>
            <w:tcW w:w="596" w:type="dxa"/>
            <w:vAlign w:val="center"/>
          </w:tcPr>
          <w:p w:rsidR="00B93FC8" w:rsidRPr="00E95B8E" w:rsidRDefault="00B93FC8" w:rsidP="00B93FC8">
            <w:pPr>
              <w:numPr>
                <w:ilvl w:val="0"/>
                <w:numId w:val="5"/>
              </w:numPr>
              <w:spacing w:line="259" w:lineRule="auto"/>
              <w:ind w:left="313" w:hanging="313"/>
              <w:contextualSpacing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93FC8" w:rsidRPr="00AA47EC" w:rsidRDefault="00B93FC8" w:rsidP="006332A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B6BEB">
              <w:rPr>
                <w:rFonts w:ascii="Arial Narrow" w:eastAsia="Times New Roman" w:hAnsi="Arial Narrow" w:cs="Times New Roman"/>
                <w:sz w:val="20"/>
                <w:szCs w:val="20"/>
              </w:rPr>
              <w:t>Dotykowy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zewnętrzny</w:t>
            </w:r>
            <w:r w:rsidRPr="008B6BE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panel operatorski, umożliwia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jący intuicyjną obsługę systemu (duże ikony, kontrastowy wyświetlacz)</w:t>
            </w:r>
          </w:p>
        </w:tc>
        <w:tc>
          <w:tcPr>
            <w:tcW w:w="2759" w:type="dxa"/>
            <w:vAlign w:val="center"/>
          </w:tcPr>
          <w:p w:rsidR="00B93FC8" w:rsidRPr="00E95B8E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Calibri Light"/>
                <w:sz w:val="20"/>
                <w:szCs w:val="20"/>
              </w:rPr>
            </w:pPr>
            <w:r>
              <w:rPr>
                <w:rFonts w:ascii="Arial Narrow" w:eastAsia="Calibri" w:hAnsi="Arial Narrow" w:cs="Calibri Light"/>
                <w:sz w:val="20"/>
                <w:szCs w:val="20"/>
              </w:rPr>
              <w:t>TAK</w:t>
            </w:r>
          </w:p>
        </w:tc>
        <w:tc>
          <w:tcPr>
            <w:tcW w:w="2394" w:type="dxa"/>
          </w:tcPr>
          <w:p w:rsidR="00B93FC8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</w:tr>
      <w:tr w:rsidR="00B93FC8" w:rsidRPr="00E95B8E" w:rsidTr="00B93FC8">
        <w:tc>
          <w:tcPr>
            <w:tcW w:w="596" w:type="dxa"/>
            <w:vAlign w:val="center"/>
          </w:tcPr>
          <w:p w:rsidR="00B93FC8" w:rsidRPr="00E95B8E" w:rsidRDefault="00B93FC8" w:rsidP="00B93FC8">
            <w:pPr>
              <w:numPr>
                <w:ilvl w:val="0"/>
                <w:numId w:val="5"/>
              </w:numPr>
              <w:spacing w:line="259" w:lineRule="auto"/>
              <w:ind w:left="313" w:hanging="313"/>
              <w:contextualSpacing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93FC8" w:rsidRPr="00E95B8E" w:rsidRDefault="00B93FC8" w:rsidP="006332A5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Nośność półek </w:t>
            </w:r>
          </w:p>
        </w:tc>
        <w:tc>
          <w:tcPr>
            <w:tcW w:w="2759" w:type="dxa"/>
            <w:vAlign w:val="center"/>
          </w:tcPr>
          <w:p w:rsidR="00B93FC8" w:rsidRPr="00E95B8E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</w:rPr>
              <w:t>nie</w:t>
            </w:r>
            <w:proofErr w:type="gramEnd"/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 mniej niż 990 kg</w:t>
            </w:r>
          </w:p>
        </w:tc>
        <w:tc>
          <w:tcPr>
            <w:tcW w:w="2394" w:type="dxa"/>
          </w:tcPr>
          <w:p w:rsidR="00B93FC8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B93FC8" w:rsidRPr="00E95B8E" w:rsidTr="00B93FC8">
        <w:tc>
          <w:tcPr>
            <w:tcW w:w="596" w:type="dxa"/>
            <w:vAlign w:val="center"/>
          </w:tcPr>
          <w:p w:rsidR="00B93FC8" w:rsidRPr="00E95B8E" w:rsidRDefault="00B93FC8" w:rsidP="00B93FC8">
            <w:pPr>
              <w:numPr>
                <w:ilvl w:val="0"/>
                <w:numId w:val="5"/>
              </w:numPr>
              <w:spacing w:line="259" w:lineRule="auto"/>
              <w:ind w:left="313" w:hanging="313"/>
              <w:contextualSpacing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93FC8" w:rsidRPr="00A777FB" w:rsidRDefault="00B93FC8" w:rsidP="006332A5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777FB">
              <w:rPr>
                <w:rFonts w:ascii="Arial Narrow" w:eastAsia="Calibri" w:hAnsi="Arial Narrow" w:cs="Times New Roman"/>
                <w:sz w:val="20"/>
                <w:szCs w:val="20"/>
              </w:rPr>
              <w:t xml:space="preserve">Max. masa regału (urządzenie wraz z załadunkiem) </w:t>
            </w:r>
          </w:p>
        </w:tc>
        <w:tc>
          <w:tcPr>
            <w:tcW w:w="2759" w:type="dxa"/>
            <w:vAlign w:val="center"/>
          </w:tcPr>
          <w:p w:rsidR="00B93FC8" w:rsidRPr="00A777FB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777FB">
              <w:rPr>
                <w:rFonts w:ascii="Arial Narrow" w:eastAsia="Calibri" w:hAnsi="Arial Narrow" w:cs="Times New Roman"/>
                <w:sz w:val="20"/>
                <w:szCs w:val="20"/>
              </w:rPr>
              <w:t>59 000 kg</w:t>
            </w:r>
          </w:p>
        </w:tc>
        <w:tc>
          <w:tcPr>
            <w:tcW w:w="2394" w:type="dxa"/>
          </w:tcPr>
          <w:p w:rsidR="00B93FC8" w:rsidRPr="00A777FB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B93FC8" w:rsidRPr="00E95B8E" w:rsidTr="00B93FC8">
        <w:tc>
          <w:tcPr>
            <w:tcW w:w="596" w:type="dxa"/>
            <w:vAlign w:val="center"/>
          </w:tcPr>
          <w:p w:rsidR="00B93FC8" w:rsidRPr="00E95B8E" w:rsidRDefault="00B93FC8" w:rsidP="00B93FC8">
            <w:pPr>
              <w:numPr>
                <w:ilvl w:val="0"/>
                <w:numId w:val="5"/>
              </w:numPr>
              <w:spacing w:line="259" w:lineRule="auto"/>
              <w:ind w:left="313" w:hanging="313"/>
              <w:contextualSpacing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93FC8" w:rsidRPr="00E95B8E" w:rsidRDefault="00B93FC8" w:rsidP="006332A5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Max wysokość magazynu</w:t>
            </w:r>
          </w:p>
        </w:tc>
        <w:tc>
          <w:tcPr>
            <w:tcW w:w="2759" w:type="dxa"/>
            <w:vAlign w:val="center"/>
          </w:tcPr>
          <w:p w:rsidR="00B93FC8" w:rsidRPr="00E95B8E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7680 mm</w:t>
            </w:r>
          </w:p>
        </w:tc>
        <w:tc>
          <w:tcPr>
            <w:tcW w:w="2394" w:type="dxa"/>
          </w:tcPr>
          <w:p w:rsidR="00B93FC8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B93FC8" w:rsidRPr="00E95B8E" w:rsidTr="00B93FC8">
        <w:trPr>
          <w:trHeight w:val="510"/>
        </w:trPr>
        <w:tc>
          <w:tcPr>
            <w:tcW w:w="596" w:type="dxa"/>
            <w:vAlign w:val="center"/>
          </w:tcPr>
          <w:p w:rsidR="00B93FC8" w:rsidRPr="00E95B8E" w:rsidRDefault="00B93FC8" w:rsidP="00B93FC8">
            <w:pPr>
              <w:numPr>
                <w:ilvl w:val="0"/>
                <w:numId w:val="5"/>
              </w:numPr>
              <w:spacing w:line="259" w:lineRule="auto"/>
              <w:ind w:left="313" w:hanging="313"/>
              <w:contextualSpacing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93FC8" w:rsidRPr="00E95B8E" w:rsidRDefault="00B93FC8" w:rsidP="006332A5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Dynamiczny pomiar wysokości artykułów ze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</w:rPr>
              <w:t>skokiem co</w:t>
            </w:r>
            <w:proofErr w:type="gramEnd"/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 25 mm</w:t>
            </w:r>
          </w:p>
        </w:tc>
        <w:tc>
          <w:tcPr>
            <w:tcW w:w="2759" w:type="dxa"/>
            <w:vAlign w:val="center"/>
          </w:tcPr>
          <w:p w:rsidR="00B93FC8" w:rsidRPr="00E95B8E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TAK</w:t>
            </w:r>
          </w:p>
        </w:tc>
        <w:tc>
          <w:tcPr>
            <w:tcW w:w="2394" w:type="dxa"/>
          </w:tcPr>
          <w:p w:rsidR="00B93FC8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B93FC8" w:rsidRPr="00E95B8E" w:rsidTr="00B93FC8">
        <w:tc>
          <w:tcPr>
            <w:tcW w:w="596" w:type="dxa"/>
            <w:vAlign w:val="center"/>
          </w:tcPr>
          <w:p w:rsidR="00B93FC8" w:rsidRPr="00E95B8E" w:rsidRDefault="00B93FC8" w:rsidP="00B93FC8">
            <w:pPr>
              <w:numPr>
                <w:ilvl w:val="0"/>
                <w:numId w:val="5"/>
              </w:numPr>
              <w:spacing w:line="259" w:lineRule="auto"/>
              <w:ind w:left="313" w:hanging="313"/>
              <w:contextualSpacing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93FC8" w:rsidRPr="00E95B8E" w:rsidRDefault="00B93FC8" w:rsidP="006332A5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Automatyczny pomiar wagi półki (kontrola obciążenia) </w:t>
            </w:r>
          </w:p>
        </w:tc>
        <w:tc>
          <w:tcPr>
            <w:tcW w:w="2759" w:type="dxa"/>
            <w:vAlign w:val="center"/>
          </w:tcPr>
          <w:p w:rsidR="00B93FC8" w:rsidRPr="00E95B8E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TAK</w:t>
            </w:r>
          </w:p>
        </w:tc>
        <w:tc>
          <w:tcPr>
            <w:tcW w:w="2394" w:type="dxa"/>
          </w:tcPr>
          <w:p w:rsidR="00B93FC8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B93FC8" w:rsidRPr="00E95B8E" w:rsidTr="00CD62C8">
        <w:tc>
          <w:tcPr>
            <w:tcW w:w="9288" w:type="dxa"/>
            <w:gridSpan w:val="4"/>
            <w:vAlign w:val="center"/>
          </w:tcPr>
          <w:p w:rsidR="00B93FC8" w:rsidRDefault="00B93FC8" w:rsidP="00B93FC8">
            <w:pPr>
              <w:spacing w:line="259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  <w:t>OPROGRAMOWANIE DO ZARZĄDZANIA 2 SZT. REGAŁÓW AUTOMATYCZNYCH</w:t>
            </w:r>
          </w:p>
        </w:tc>
      </w:tr>
      <w:tr w:rsidR="00B93FC8" w:rsidRPr="00E95B8E" w:rsidTr="00B93FC8">
        <w:tc>
          <w:tcPr>
            <w:tcW w:w="596" w:type="dxa"/>
            <w:vAlign w:val="center"/>
          </w:tcPr>
          <w:p w:rsidR="00B93FC8" w:rsidRPr="00E95B8E" w:rsidRDefault="00B93FC8" w:rsidP="00B93FC8">
            <w:pPr>
              <w:numPr>
                <w:ilvl w:val="0"/>
                <w:numId w:val="5"/>
              </w:numPr>
              <w:spacing w:line="259" w:lineRule="auto"/>
              <w:ind w:left="313" w:hanging="313"/>
              <w:contextualSpacing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93FC8" w:rsidRPr="00EB7B42" w:rsidRDefault="00B93FC8" w:rsidP="006332A5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2471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Oprogramowanie WMS do zarządzania 2 szt. regałów automatycznych </w:t>
            </w:r>
          </w:p>
        </w:tc>
        <w:tc>
          <w:tcPr>
            <w:tcW w:w="2759" w:type="dxa"/>
            <w:vAlign w:val="center"/>
          </w:tcPr>
          <w:p w:rsidR="00B93FC8" w:rsidRPr="00EB7B42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EB7B42">
              <w:rPr>
                <w:rFonts w:ascii="Arial Narrow" w:eastAsia="Calibri" w:hAnsi="Arial Narrow" w:cs="Times New Roman"/>
                <w:sz w:val="20"/>
                <w:szCs w:val="20"/>
              </w:rPr>
              <w:t>TAK</w:t>
            </w:r>
          </w:p>
        </w:tc>
        <w:tc>
          <w:tcPr>
            <w:tcW w:w="2394" w:type="dxa"/>
          </w:tcPr>
          <w:p w:rsidR="00B93FC8" w:rsidRPr="00EB7B42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B93FC8" w:rsidRPr="00E95B8E" w:rsidTr="00B93FC8">
        <w:tc>
          <w:tcPr>
            <w:tcW w:w="596" w:type="dxa"/>
            <w:vAlign w:val="center"/>
          </w:tcPr>
          <w:p w:rsidR="00B93FC8" w:rsidRPr="00E95B8E" w:rsidRDefault="00B93FC8" w:rsidP="00B93FC8">
            <w:pPr>
              <w:numPr>
                <w:ilvl w:val="0"/>
                <w:numId w:val="5"/>
              </w:numPr>
              <w:spacing w:line="259" w:lineRule="auto"/>
              <w:ind w:left="313" w:hanging="313"/>
              <w:contextualSpacing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93FC8" w:rsidRPr="00EB7B42" w:rsidRDefault="00B93FC8" w:rsidP="006332A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B7B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Oprogramowanie zarządzające ruchem półek w magazynie, które monitoruje pozycję i stan artykułów, bazując na danych takich jak numer artykułu, nazwa, lokalizacja, ilość i waga </w:t>
            </w:r>
          </w:p>
        </w:tc>
        <w:tc>
          <w:tcPr>
            <w:tcW w:w="2759" w:type="dxa"/>
            <w:vAlign w:val="center"/>
          </w:tcPr>
          <w:p w:rsidR="00B93FC8" w:rsidRPr="00EB7B42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EB7B42">
              <w:rPr>
                <w:rFonts w:ascii="Arial Narrow" w:eastAsia="Calibri" w:hAnsi="Arial Narrow" w:cs="Times New Roman"/>
                <w:sz w:val="20"/>
                <w:szCs w:val="20"/>
              </w:rPr>
              <w:t>TAK</w:t>
            </w:r>
          </w:p>
        </w:tc>
        <w:tc>
          <w:tcPr>
            <w:tcW w:w="2394" w:type="dxa"/>
          </w:tcPr>
          <w:p w:rsidR="00B93FC8" w:rsidRPr="00EB7B42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B93FC8" w:rsidRPr="00E95B8E" w:rsidTr="00B93FC8">
        <w:tc>
          <w:tcPr>
            <w:tcW w:w="596" w:type="dxa"/>
            <w:vAlign w:val="center"/>
          </w:tcPr>
          <w:p w:rsidR="00B93FC8" w:rsidRPr="00E95B8E" w:rsidRDefault="00B93FC8" w:rsidP="00B93FC8">
            <w:pPr>
              <w:numPr>
                <w:ilvl w:val="0"/>
                <w:numId w:val="5"/>
              </w:numPr>
              <w:spacing w:line="259" w:lineRule="auto"/>
              <w:ind w:left="313" w:hanging="313"/>
              <w:contextualSpacing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93FC8" w:rsidRPr="00EB7B42" w:rsidRDefault="00B93FC8" w:rsidP="006332A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B7B42">
              <w:rPr>
                <w:rFonts w:ascii="Arial Narrow" w:eastAsia="Times New Roman" w:hAnsi="Arial Narrow" w:cs="Times New Roman"/>
                <w:sz w:val="20"/>
                <w:szCs w:val="20"/>
              </w:rPr>
              <w:t>System sterujący magazynem powinien być zintegrowany z istniejącym w firmie systemem ERP, co umożliwi automatyczne aktualizowanie stanów magazynowych oraz przywoływanie danych o materiałach w czasie rzeczywistym.</w:t>
            </w:r>
          </w:p>
        </w:tc>
        <w:tc>
          <w:tcPr>
            <w:tcW w:w="2759" w:type="dxa"/>
            <w:vAlign w:val="center"/>
          </w:tcPr>
          <w:p w:rsidR="00B93FC8" w:rsidRPr="00EB7B42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EB7B42">
              <w:rPr>
                <w:rFonts w:ascii="Arial Narrow" w:eastAsia="Calibri" w:hAnsi="Arial Narrow" w:cs="Times New Roman"/>
                <w:sz w:val="20"/>
                <w:szCs w:val="20"/>
              </w:rPr>
              <w:t>TAK</w:t>
            </w:r>
          </w:p>
        </w:tc>
        <w:tc>
          <w:tcPr>
            <w:tcW w:w="2394" w:type="dxa"/>
          </w:tcPr>
          <w:p w:rsidR="00B93FC8" w:rsidRPr="00EB7B42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B93FC8" w:rsidRPr="00E95B8E" w:rsidTr="00B93FC8">
        <w:tc>
          <w:tcPr>
            <w:tcW w:w="596" w:type="dxa"/>
            <w:vAlign w:val="center"/>
          </w:tcPr>
          <w:p w:rsidR="00B93FC8" w:rsidRPr="00E95B8E" w:rsidRDefault="00B93FC8" w:rsidP="00B93FC8">
            <w:pPr>
              <w:numPr>
                <w:ilvl w:val="0"/>
                <w:numId w:val="5"/>
              </w:numPr>
              <w:spacing w:line="259" w:lineRule="auto"/>
              <w:ind w:left="313" w:hanging="313"/>
              <w:contextualSpacing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93FC8" w:rsidRPr="00EB7B42" w:rsidRDefault="00B93FC8" w:rsidP="006332A5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B7B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Licencja wieczysta </w:t>
            </w:r>
          </w:p>
        </w:tc>
        <w:tc>
          <w:tcPr>
            <w:tcW w:w="2759" w:type="dxa"/>
            <w:vAlign w:val="center"/>
          </w:tcPr>
          <w:p w:rsidR="00B93FC8" w:rsidRPr="00EB7B42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Calibri Light"/>
                <w:sz w:val="20"/>
                <w:szCs w:val="20"/>
              </w:rPr>
            </w:pPr>
            <w:r w:rsidRPr="00EB7B42">
              <w:rPr>
                <w:rFonts w:ascii="Arial Narrow" w:eastAsia="Calibri" w:hAnsi="Arial Narrow" w:cs="Calibri Light"/>
                <w:sz w:val="20"/>
                <w:szCs w:val="20"/>
              </w:rPr>
              <w:t>TAK</w:t>
            </w:r>
          </w:p>
        </w:tc>
        <w:tc>
          <w:tcPr>
            <w:tcW w:w="2394" w:type="dxa"/>
          </w:tcPr>
          <w:p w:rsidR="00B93FC8" w:rsidRPr="00EB7B42" w:rsidRDefault="00B93FC8" w:rsidP="006332A5">
            <w:pPr>
              <w:spacing w:line="259" w:lineRule="auto"/>
              <w:jc w:val="center"/>
              <w:rPr>
                <w:rFonts w:ascii="Arial Narrow" w:eastAsia="Calibri" w:hAnsi="Arial Narrow" w:cs="Calibri Light"/>
                <w:sz w:val="20"/>
                <w:szCs w:val="20"/>
              </w:rPr>
            </w:pPr>
          </w:p>
        </w:tc>
      </w:tr>
    </w:tbl>
    <w:p w:rsidR="0087157A" w:rsidRDefault="0027536B" w:rsidP="003475AC">
      <w:pPr>
        <w:spacing w:after="0"/>
        <w:jc w:val="both"/>
        <w:rPr>
          <w:rFonts w:ascii="Arial Narrow" w:hAnsi="Arial Narrow" w:cs="Arial"/>
        </w:rPr>
      </w:pPr>
      <w:proofErr w:type="gramStart"/>
      <w:r w:rsidRPr="00545E0F">
        <w:rPr>
          <w:rFonts w:ascii="Arial Narrow" w:hAnsi="Arial Narrow" w:cs="Arial"/>
          <w:b/>
        </w:rPr>
        <w:t>uzupełnić</w:t>
      </w:r>
      <w:proofErr w:type="gramEnd"/>
      <w:r w:rsidRPr="00545E0F">
        <w:rPr>
          <w:rFonts w:ascii="Arial Narrow" w:hAnsi="Arial Narrow" w:cs="Arial"/>
          <w:b/>
        </w:rPr>
        <w:t xml:space="preserve"> wyłącznie kolumnę „Wartość oferowana”.</w:t>
      </w:r>
      <w:r w:rsidRPr="00545E0F">
        <w:rPr>
          <w:rFonts w:ascii="Arial Narrow" w:hAnsi="Arial Narrow" w:cs="Arial"/>
        </w:rPr>
        <w:t xml:space="preserve"> </w:t>
      </w:r>
    </w:p>
    <w:p w:rsidR="00CF5D05" w:rsidRDefault="00CF5D05" w:rsidP="003475AC">
      <w:pPr>
        <w:spacing w:after="0"/>
        <w:jc w:val="both"/>
        <w:rPr>
          <w:rFonts w:ascii="Arial Narrow" w:hAnsi="Arial Narrow" w:cs="Arial"/>
        </w:rPr>
      </w:pPr>
    </w:p>
    <w:p w:rsidR="001218B3" w:rsidRDefault="001218B3" w:rsidP="00545E0F">
      <w:pPr>
        <w:spacing w:after="0"/>
        <w:rPr>
          <w:rFonts w:ascii="Arial Narrow" w:hAnsi="Arial Narrow" w:cs="Arial"/>
        </w:rPr>
      </w:pPr>
    </w:p>
    <w:p w:rsidR="00B93FC8" w:rsidRDefault="00B93FC8" w:rsidP="00545E0F">
      <w:pPr>
        <w:spacing w:after="0"/>
        <w:rPr>
          <w:rFonts w:ascii="Arial Narrow" w:hAnsi="Arial Narrow" w:cs="Arial"/>
        </w:rPr>
      </w:pPr>
    </w:p>
    <w:p w:rsidR="00B93FC8" w:rsidRPr="00545E0F" w:rsidRDefault="00B93FC8" w:rsidP="00545E0F">
      <w:pPr>
        <w:spacing w:after="0"/>
        <w:rPr>
          <w:rFonts w:ascii="Arial Narrow" w:eastAsia="Calibri" w:hAnsi="Arial Narrow" w:cs="Arial"/>
          <w:sz w:val="20"/>
          <w:szCs w:val="20"/>
        </w:rPr>
      </w:pPr>
    </w:p>
    <w:p w:rsidR="008877B0" w:rsidRPr="00545E0F" w:rsidRDefault="0024683D" w:rsidP="00CF7221">
      <w:pPr>
        <w:spacing w:after="0"/>
        <w:ind w:left="4254"/>
        <w:jc w:val="right"/>
        <w:rPr>
          <w:rFonts w:ascii="Arial Narrow" w:eastAsia="Calibri" w:hAnsi="Arial Narrow" w:cs="Arial"/>
          <w:sz w:val="20"/>
          <w:szCs w:val="20"/>
        </w:rPr>
      </w:pPr>
      <w:r w:rsidRPr="00545E0F">
        <w:rPr>
          <w:rFonts w:ascii="Arial Narrow" w:eastAsia="Calibri" w:hAnsi="Arial Narrow" w:cs="Arial"/>
          <w:sz w:val="20"/>
          <w:szCs w:val="20"/>
        </w:rPr>
        <w:t>……….</w:t>
      </w:r>
      <w:r w:rsidR="008877B0" w:rsidRPr="00545E0F">
        <w:rPr>
          <w:rFonts w:ascii="Arial Narrow" w:eastAsia="Calibri" w:hAnsi="Arial Narrow" w:cs="Arial"/>
          <w:sz w:val="20"/>
          <w:szCs w:val="20"/>
        </w:rPr>
        <w:t>…..……………………………………………………..</w:t>
      </w:r>
    </w:p>
    <w:p w:rsidR="008877B0" w:rsidRPr="00545E0F" w:rsidRDefault="008877B0" w:rsidP="00CF7221">
      <w:pPr>
        <w:spacing w:after="0"/>
        <w:ind w:left="3540" w:firstLine="708"/>
        <w:jc w:val="right"/>
        <w:rPr>
          <w:rFonts w:ascii="Arial Narrow" w:eastAsia="Calibri" w:hAnsi="Arial Narrow" w:cs="Arial"/>
          <w:i/>
          <w:sz w:val="20"/>
          <w:szCs w:val="20"/>
        </w:rPr>
      </w:pPr>
      <w:r w:rsidRPr="00545E0F">
        <w:rPr>
          <w:rFonts w:ascii="Arial Narrow" w:eastAsia="Calibri" w:hAnsi="Arial Narrow" w:cs="Arial"/>
          <w:i/>
          <w:sz w:val="20"/>
          <w:szCs w:val="20"/>
        </w:rPr>
        <w:t>Czytelny podpis uprawnionego przedstawiciela Oferenta</w:t>
      </w:r>
    </w:p>
    <w:p w:rsidR="003510C7" w:rsidRPr="00545E0F" w:rsidRDefault="008877B0" w:rsidP="00CF7221">
      <w:pPr>
        <w:ind w:left="4248"/>
        <w:jc w:val="right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 w:rsidRPr="00545E0F">
        <w:rPr>
          <w:rFonts w:ascii="Arial Narrow" w:eastAsia="Times New Roman" w:hAnsi="Arial Narrow" w:cs="Arial"/>
          <w:i/>
          <w:sz w:val="20"/>
          <w:szCs w:val="20"/>
        </w:rPr>
        <w:t xml:space="preserve"> oraz pieczęć </w:t>
      </w:r>
      <w:proofErr w:type="gramStart"/>
      <w:r w:rsidRPr="00545E0F">
        <w:rPr>
          <w:rFonts w:ascii="Arial Narrow" w:eastAsia="Times New Roman" w:hAnsi="Arial Narrow" w:cs="Arial"/>
          <w:i/>
          <w:sz w:val="20"/>
          <w:szCs w:val="20"/>
        </w:rPr>
        <w:t>firmowa (jeśli</w:t>
      </w:r>
      <w:proofErr w:type="gramEnd"/>
      <w:r w:rsidRPr="00545E0F">
        <w:rPr>
          <w:rFonts w:ascii="Arial Narrow" w:eastAsia="Times New Roman" w:hAnsi="Arial Narrow" w:cs="Arial"/>
          <w:i/>
          <w:sz w:val="20"/>
          <w:szCs w:val="20"/>
        </w:rPr>
        <w:t xml:space="preserve"> podmiot posiada pieczęć firmową</w:t>
      </w:r>
      <w:r w:rsidR="009B4F6C" w:rsidRPr="00545E0F">
        <w:rPr>
          <w:rFonts w:ascii="Arial Narrow" w:eastAsia="Times New Roman" w:hAnsi="Arial Narrow" w:cs="Arial"/>
          <w:i/>
          <w:sz w:val="20"/>
          <w:szCs w:val="20"/>
        </w:rPr>
        <w:t>)</w:t>
      </w:r>
    </w:p>
    <w:sectPr w:rsidR="003510C7" w:rsidRPr="00545E0F" w:rsidSect="00545E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0B6" w:rsidRDefault="000370B6" w:rsidP="008877B0">
      <w:pPr>
        <w:spacing w:after="0" w:line="240" w:lineRule="auto"/>
      </w:pPr>
      <w:r>
        <w:separator/>
      </w:r>
    </w:p>
  </w:endnote>
  <w:endnote w:type="continuationSeparator" w:id="0">
    <w:p w:rsidR="000370B6" w:rsidRDefault="000370B6" w:rsidP="0088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4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0B6" w:rsidRDefault="000370B6" w:rsidP="008877B0">
      <w:pPr>
        <w:spacing w:after="0" w:line="240" w:lineRule="auto"/>
      </w:pPr>
      <w:r>
        <w:separator/>
      </w:r>
    </w:p>
  </w:footnote>
  <w:footnote w:type="continuationSeparator" w:id="0">
    <w:p w:rsidR="000370B6" w:rsidRDefault="000370B6" w:rsidP="0088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E0F" w:rsidRPr="00545E0F" w:rsidRDefault="001C7FBA" w:rsidP="00545E0F">
    <w:pPr>
      <w:pStyle w:val="Nagwek"/>
    </w:pPr>
    <w:r w:rsidRPr="008408A5">
      <w:rPr>
        <w:noProof/>
      </w:rPr>
      <w:drawing>
        <wp:inline distT="0" distB="0" distL="0" distR="0" wp14:anchorId="7A6AB462" wp14:editId="6A970963">
          <wp:extent cx="5759450" cy="510540"/>
          <wp:effectExtent l="0" t="0" r="0" b="3810"/>
          <wp:docPr id="57" name="Obraz 57" descr="Pasek logotypów funduszy Europejskich: logotyp Fundusze Europejskie dla Polski Wschodniej, logotyp Rzeczpospolita Polska, Dofinansowane przez Unię Europrjską. 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sek logotypów funduszy Europejskich: logotyp Fundusze Europejskie dla Polski Wschodniej, logotyp Rzeczpospolita Polska, Dofinansowane przez Unię Europrjską. Logotyp PARP Grupa PF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13738"/>
    <w:multiLevelType w:val="hybridMultilevel"/>
    <w:tmpl w:val="5E486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EA6"/>
    <w:multiLevelType w:val="hybridMultilevel"/>
    <w:tmpl w:val="51629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A242E"/>
    <w:multiLevelType w:val="hybridMultilevel"/>
    <w:tmpl w:val="7ED07B1C"/>
    <w:lvl w:ilvl="0" w:tplc="51AC8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628E1"/>
    <w:multiLevelType w:val="hybridMultilevel"/>
    <w:tmpl w:val="066E08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27AE1"/>
    <w:multiLevelType w:val="hybridMultilevel"/>
    <w:tmpl w:val="A21EE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77B0"/>
    <w:rsid w:val="000370B6"/>
    <w:rsid w:val="000765A6"/>
    <w:rsid w:val="000B21CB"/>
    <w:rsid w:val="000B31B7"/>
    <w:rsid w:val="00104FF1"/>
    <w:rsid w:val="00110E52"/>
    <w:rsid w:val="001218B3"/>
    <w:rsid w:val="00141E46"/>
    <w:rsid w:val="001425BA"/>
    <w:rsid w:val="001629DC"/>
    <w:rsid w:val="001942BD"/>
    <w:rsid w:val="00197B3E"/>
    <w:rsid w:val="001C7FBA"/>
    <w:rsid w:val="001F0BD6"/>
    <w:rsid w:val="0024683D"/>
    <w:rsid w:val="00260A62"/>
    <w:rsid w:val="002679E6"/>
    <w:rsid w:val="0027536B"/>
    <w:rsid w:val="002B2B5B"/>
    <w:rsid w:val="002D01DC"/>
    <w:rsid w:val="002E120D"/>
    <w:rsid w:val="00307102"/>
    <w:rsid w:val="00326C86"/>
    <w:rsid w:val="003475AC"/>
    <w:rsid w:val="003510C7"/>
    <w:rsid w:val="003A7219"/>
    <w:rsid w:val="004303EE"/>
    <w:rsid w:val="00463F22"/>
    <w:rsid w:val="004941C2"/>
    <w:rsid w:val="004C7CC7"/>
    <w:rsid w:val="00504ECE"/>
    <w:rsid w:val="00522740"/>
    <w:rsid w:val="00545E0F"/>
    <w:rsid w:val="00555E21"/>
    <w:rsid w:val="0058702A"/>
    <w:rsid w:val="00641EB8"/>
    <w:rsid w:val="00687D07"/>
    <w:rsid w:val="006A7090"/>
    <w:rsid w:val="006B6F7E"/>
    <w:rsid w:val="00720EC9"/>
    <w:rsid w:val="00766F0D"/>
    <w:rsid w:val="00780FAA"/>
    <w:rsid w:val="0087157A"/>
    <w:rsid w:val="008877B0"/>
    <w:rsid w:val="008A0BAA"/>
    <w:rsid w:val="008A24DF"/>
    <w:rsid w:val="008A3386"/>
    <w:rsid w:val="008A4E5B"/>
    <w:rsid w:val="008C7D95"/>
    <w:rsid w:val="008E6632"/>
    <w:rsid w:val="008E7998"/>
    <w:rsid w:val="00943F38"/>
    <w:rsid w:val="00967F09"/>
    <w:rsid w:val="009B4F6C"/>
    <w:rsid w:val="00A01A78"/>
    <w:rsid w:val="00A6271A"/>
    <w:rsid w:val="00A81244"/>
    <w:rsid w:val="00AD4509"/>
    <w:rsid w:val="00B17A99"/>
    <w:rsid w:val="00B30B81"/>
    <w:rsid w:val="00B86AE7"/>
    <w:rsid w:val="00B93FC8"/>
    <w:rsid w:val="00B97204"/>
    <w:rsid w:val="00BE48B7"/>
    <w:rsid w:val="00C15A6B"/>
    <w:rsid w:val="00C26207"/>
    <w:rsid w:val="00C44BBB"/>
    <w:rsid w:val="00C94CBB"/>
    <w:rsid w:val="00CF5D05"/>
    <w:rsid w:val="00CF7221"/>
    <w:rsid w:val="00D21E03"/>
    <w:rsid w:val="00D614A3"/>
    <w:rsid w:val="00DA27F3"/>
    <w:rsid w:val="00E21456"/>
    <w:rsid w:val="00E71D61"/>
    <w:rsid w:val="00EA3EBC"/>
    <w:rsid w:val="00F16EE6"/>
    <w:rsid w:val="00F40656"/>
    <w:rsid w:val="00F418D2"/>
    <w:rsid w:val="00F4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9CF8AE82-0723-4784-A3EE-84A90B50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E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7B0"/>
  </w:style>
  <w:style w:type="paragraph" w:styleId="Stopka">
    <w:name w:val="footer"/>
    <w:basedOn w:val="Normalny"/>
    <w:link w:val="StopkaZnak"/>
    <w:uiPriority w:val="99"/>
    <w:unhideWhenUsed/>
    <w:rsid w:val="0088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7B0"/>
  </w:style>
  <w:style w:type="paragraph" w:styleId="Tekstdymka">
    <w:name w:val="Balloon Text"/>
    <w:basedOn w:val="Normalny"/>
    <w:link w:val="TekstdymkaZnak"/>
    <w:uiPriority w:val="99"/>
    <w:semiHidden/>
    <w:unhideWhenUsed/>
    <w:rsid w:val="0088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7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942BD"/>
    <w:pPr>
      <w:ind w:left="720"/>
      <w:contextualSpacing/>
    </w:pPr>
  </w:style>
  <w:style w:type="table" w:styleId="Tabela-Siatka">
    <w:name w:val="Table Grid"/>
    <w:basedOn w:val="Standardowy"/>
    <w:uiPriority w:val="59"/>
    <w:rsid w:val="009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53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27536B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E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1">
    <w:name w:val="Normalny1"/>
    <w:rsid w:val="00B86AE7"/>
    <w:rPr>
      <w:rFonts w:ascii="Calibri" w:eastAsia="Calibri" w:hAnsi="Calibri" w:cs="Calibri"/>
    </w:rPr>
  </w:style>
  <w:style w:type="table" w:customStyle="1" w:styleId="Tabela-Siatka3">
    <w:name w:val="Tabela - Siatka3"/>
    <w:basedOn w:val="Standardowy"/>
    <w:next w:val="Tabela-Siatka"/>
    <w:uiPriority w:val="39"/>
    <w:rsid w:val="00A8124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262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qFormat/>
    <w:rsid w:val="00B93FC8"/>
    <w:pPr>
      <w:suppressAutoHyphens/>
      <w:spacing w:after="160" w:line="252" w:lineRule="auto"/>
      <w:ind w:left="720"/>
    </w:pPr>
    <w:rPr>
      <w:rFonts w:ascii="Calibri" w:eastAsia="SimSun" w:hAnsi="Calibri" w:cs="font264"/>
      <w:lang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93FC8"/>
    <w:pPr>
      <w:suppressAutoHyphens/>
      <w:spacing w:after="160" w:line="240" w:lineRule="auto"/>
    </w:pPr>
    <w:rPr>
      <w:rFonts w:ascii="Calibri" w:eastAsia="SimSun" w:hAnsi="Calibri" w:cs="font264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B93FC8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B93FC8"/>
    <w:rPr>
      <w:rFonts w:ascii="Calibri" w:eastAsia="SimSun" w:hAnsi="Calibri" w:cs="font264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INNpuls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Wacnik</dc:creator>
  <cp:lastModifiedBy>Sabina Jurasz</cp:lastModifiedBy>
  <cp:revision>24</cp:revision>
  <dcterms:created xsi:type="dcterms:W3CDTF">2019-11-06T12:04:00Z</dcterms:created>
  <dcterms:modified xsi:type="dcterms:W3CDTF">2025-07-11T06:40:00Z</dcterms:modified>
</cp:coreProperties>
</file>