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1F9" w:rsidRDefault="00B621F9" w:rsidP="0008261E">
      <w:pPr>
        <w:rPr>
          <w:b/>
          <w:bCs/>
        </w:rPr>
      </w:pP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1. Cel i Zakres Zamówienia</w:t>
      </w:r>
    </w:p>
    <w:p w:rsidR="0008261E" w:rsidRDefault="0008261E" w:rsidP="0008261E">
      <w:r w:rsidRPr="0008261E">
        <w:t xml:space="preserve">Przedmiotem </w:t>
      </w:r>
      <w:r>
        <w:t>niniejszego zamówienia jest oszacowanie wartości dotyczącego</w:t>
      </w:r>
      <w:r w:rsidRPr="0008261E">
        <w:t xml:space="preserve"> zaprojektowani</w:t>
      </w:r>
      <w:r>
        <w:t>a</w:t>
      </w:r>
      <w:r w:rsidRPr="0008261E">
        <w:t xml:space="preserve"> i wykonani</w:t>
      </w:r>
      <w:r>
        <w:t>a</w:t>
      </w:r>
      <w:r w:rsidRPr="0008261E">
        <w:t xml:space="preserve"> </w:t>
      </w:r>
      <w:r w:rsidR="0000696B">
        <w:t>16</w:t>
      </w:r>
      <w:r w:rsidRPr="0008261E">
        <w:t xml:space="preserve"> unikalnych stoisk wystawienniczych o powierzchni </w:t>
      </w:r>
      <w:r w:rsidR="0000696B">
        <w:t>12</w:t>
      </w:r>
      <w:r w:rsidRPr="0008261E">
        <w:t xml:space="preserve"> </w:t>
      </w:r>
      <w:proofErr w:type="spellStart"/>
      <w:r w:rsidRPr="0008261E">
        <w:t>m²</w:t>
      </w:r>
      <w:proofErr w:type="spellEnd"/>
      <w:r w:rsidRPr="0008261E">
        <w:t xml:space="preserve"> każde. Stoisko ma wyróżniać markę </w:t>
      </w:r>
      <w:r w:rsidR="0000696B">
        <w:t xml:space="preserve">Millennium </w:t>
      </w:r>
      <w:proofErr w:type="spellStart"/>
      <w:r w:rsidR="0000696B">
        <w:t>Chocolate</w:t>
      </w:r>
      <w:proofErr w:type="spellEnd"/>
      <w:r w:rsidR="0000696B">
        <w:t xml:space="preserve"> </w:t>
      </w:r>
      <w:proofErr w:type="spellStart"/>
      <w:r w:rsidR="0000696B">
        <w:t>Factory</w:t>
      </w:r>
      <w:proofErr w:type="spellEnd"/>
      <w:r w:rsidRPr="0008261E">
        <w:t>, przyciągać uwagę odwiedzających na międzynarodowych wydarzeniach targowych i spełniać wymogi zrównoważonego rozwoju. Oferent zobowiązany jest do dostosowania projektu i wykonania stoiska do lokalnych przepisów i wymogów organizatora każdego wydarzenia.</w:t>
      </w:r>
    </w:p>
    <w:p w:rsidR="00135FE0" w:rsidRPr="00135FE0" w:rsidRDefault="00135FE0" w:rsidP="0008261E">
      <w:pPr>
        <w:rPr>
          <w:b/>
          <w:bCs/>
        </w:rPr>
      </w:pPr>
      <w:r w:rsidRPr="00135FE0">
        <w:rPr>
          <w:b/>
          <w:bCs/>
        </w:rPr>
        <w:t xml:space="preserve">1.1. Promowane produkty marki </w:t>
      </w:r>
      <w:r w:rsidR="0000696B">
        <w:t xml:space="preserve">Millennium </w:t>
      </w:r>
      <w:proofErr w:type="spellStart"/>
      <w:r w:rsidR="0000696B">
        <w:t>Chocolate</w:t>
      </w:r>
      <w:proofErr w:type="spellEnd"/>
      <w:r w:rsidR="0000696B">
        <w:t xml:space="preserve"> </w:t>
      </w:r>
      <w:proofErr w:type="spellStart"/>
      <w:r w:rsidR="0000696B">
        <w:t>Factory</w:t>
      </w:r>
      <w:proofErr w:type="spellEnd"/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2. Lokalizacje Wydarzeń Targowych</w:t>
      </w:r>
    </w:p>
    <w:p w:rsidR="0000696B" w:rsidRPr="000D2F15" w:rsidRDefault="0000696B" w:rsidP="0000696B">
      <w:pPr>
        <w:pStyle w:val="Nagwek3"/>
        <w:rPr>
          <w:rFonts w:asciiTheme="minorHAnsi" w:hAnsiTheme="minorHAnsi" w:cstheme="minorHAnsi"/>
          <w:color w:val="000000" w:themeColor="text1"/>
        </w:rPr>
      </w:pPr>
      <w:r w:rsidRPr="000D2F15">
        <w:rPr>
          <w:rStyle w:val="Pogrubienie"/>
          <w:rFonts w:asciiTheme="minorHAnsi" w:hAnsiTheme="minorHAnsi" w:cstheme="minorHAnsi"/>
          <w:color w:val="000000" w:themeColor="text1"/>
        </w:rPr>
        <w:t>Rok 2026</w:t>
      </w:r>
    </w:p>
    <w:p w:rsidR="0000696B" w:rsidRPr="000D2F15" w:rsidRDefault="0000696B" w:rsidP="0000696B">
      <w:pPr>
        <w:pStyle w:val="NormalnyWeb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>• 10–13 marca 2026 – FOODEX JAPAN, Tokio, Japonia</w:t>
      </w:r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• 7–9 kwietnia 2026 – </w:t>
      </w:r>
      <w:proofErr w:type="spellStart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>Anuga</w:t>
      </w:r>
      <w:proofErr w:type="spellEnd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>Select</w:t>
      </w:r>
      <w:proofErr w:type="spellEnd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>Brazil</w:t>
      </w:r>
      <w:proofErr w:type="spellEnd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>São</w:t>
      </w:r>
      <w:proofErr w:type="spellEnd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Paulo, Brazylia</w:t>
      </w:r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• 14–15 kwietnia 2026 – </w:t>
      </w:r>
      <w:proofErr w:type="spellStart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>America’s</w:t>
      </w:r>
      <w:proofErr w:type="spellEnd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>Food</w:t>
      </w:r>
      <w:proofErr w:type="spellEnd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&amp; </w:t>
      </w:r>
      <w:proofErr w:type="spellStart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>Beverage</w:t>
      </w:r>
      <w:proofErr w:type="spellEnd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Show, Miami, USA </w:t>
      </w:r>
      <w:r w:rsidRPr="000D2F15">
        <w:rPr>
          <w:rStyle w:val="Uwydatnienie"/>
          <w:rFonts w:asciiTheme="minorHAnsi" w:hAnsiTheme="minorHAnsi" w:cstheme="minorHAnsi"/>
          <w:color w:val="000000" w:themeColor="text1"/>
          <w:sz w:val="22"/>
          <w:szCs w:val="22"/>
        </w:rPr>
        <w:t>(prognoza)</w:t>
      </w:r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• 19–22 października 2026 – SIAL </w:t>
      </w:r>
      <w:proofErr w:type="spellStart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>Paris</w:t>
      </w:r>
      <w:proofErr w:type="spellEnd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>, Francja</w:t>
      </w:r>
    </w:p>
    <w:p w:rsidR="0000696B" w:rsidRPr="000D2F15" w:rsidRDefault="0000696B" w:rsidP="0000696B">
      <w:pPr>
        <w:pStyle w:val="Nagwek3"/>
        <w:rPr>
          <w:rFonts w:asciiTheme="minorHAnsi" w:hAnsiTheme="minorHAnsi" w:cstheme="minorHAnsi"/>
          <w:color w:val="000000" w:themeColor="text1"/>
        </w:rPr>
      </w:pPr>
      <w:r w:rsidRPr="000D2F15">
        <w:rPr>
          <w:rStyle w:val="Pogrubienie"/>
          <w:rFonts w:asciiTheme="minorHAnsi" w:hAnsiTheme="minorHAnsi" w:cstheme="minorHAnsi"/>
          <w:color w:val="000000" w:themeColor="text1"/>
        </w:rPr>
        <w:t>Rok 2027</w:t>
      </w:r>
    </w:p>
    <w:p w:rsidR="0000696B" w:rsidRPr="000D2F15" w:rsidRDefault="0000696B" w:rsidP="0000696B">
      <w:pPr>
        <w:pStyle w:val="NormalnyWeb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• 6–8 kwietnia 2027 – </w:t>
      </w:r>
      <w:proofErr w:type="spellStart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>Anuga</w:t>
      </w:r>
      <w:proofErr w:type="spellEnd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>Select</w:t>
      </w:r>
      <w:proofErr w:type="spellEnd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>Brazil</w:t>
      </w:r>
      <w:proofErr w:type="spellEnd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>São</w:t>
      </w:r>
      <w:proofErr w:type="spellEnd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Paulo, Brazylia </w:t>
      </w:r>
      <w:r w:rsidRPr="000D2F15">
        <w:rPr>
          <w:rStyle w:val="Uwydatnienie"/>
          <w:rFonts w:asciiTheme="minorHAnsi" w:hAnsiTheme="minorHAnsi" w:cstheme="minorHAnsi"/>
          <w:color w:val="000000" w:themeColor="text1"/>
          <w:sz w:val="22"/>
          <w:szCs w:val="22"/>
        </w:rPr>
        <w:t>(prognoza)</w:t>
      </w:r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• 13–14 kwietnia 2027 – </w:t>
      </w:r>
      <w:proofErr w:type="spellStart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>America’s</w:t>
      </w:r>
      <w:proofErr w:type="spellEnd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>Food</w:t>
      </w:r>
      <w:proofErr w:type="spellEnd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&amp; </w:t>
      </w:r>
      <w:proofErr w:type="spellStart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>Beverage</w:t>
      </w:r>
      <w:proofErr w:type="spellEnd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Show, Miami, USA </w:t>
      </w:r>
      <w:r w:rsidRPr="000D2F15">
        <w:rPr>
          <w:rStyle w:val="Uwydatnienie"/>
          <w:rFonts w:asciiTheme="minorHAnsi" w:hAnsiTheme="minorHAnsi" w:cstheme="minorHAnsi"/>
          <w:color w:val="000000" w:themeColor="text1"/>
          <w:sz w:val="22"/>
          <w:szCs w:val="22"/>
        </w:rPr>
        <w:t>(prognoza)</w:t>
      </w:r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• 21–24 kwietnia 2027 – FHA – </w:t>
      </w:r>
      <w:proofErr w:type="spellStart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>Food</w:t>
      </w:r>
      <w:proofErr w:type="spellEnd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&amp; Hotel Asia, Singapur </w:t>
      </w:r>
      <w:r w:rsidRPr="000D2F15">
        <w:rPr>
          <w:rStyle w:val="Uwydatnienie"/>
          <w:rFonts w:asciiTheme="minorHAnsi" w:hAnsiTheme="minorHAnsi" w:cstheme="minorHAnsi"/>
          <w:color w:val="000000" w:themeColor="text1"/>
          <w:sz w:val="22"/>
          <w:szCs w:val="22"/>
        </w:rPr>
        <w:t>(prognoza)</w:t>
      </w:r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br/>
        <w:t>• 9–13 października 2027 – ANUGA, Kolonia, Niemcy</w:t>
      </w:r>
    </w:p>
    <w:p w:rsidR="0000696B" w:rsidRPr="000D2F15" w:rsidRDefault="0000696B" w:rsidP="0000696B">
      <w:pPr>
        <w:pStyle w:val="Nagwek3"/>
        <w:rPr>
          <w:rFonts w:asciiTheme="minorHAnsi" w:hAnsiTheme="minorHAnsi" w:cstheme="minorHAnsi"/>
          <w:color w:val="000000" w:themeColor="text1"/>
        </w:rPr>
      </w:pPr>
      <w:r w:rsidRPr="000D2F15">
        <w:rPr>
          <w:rStyle w:val="Pogrubienie"/>
          <w:rFonts w:asciiTheme="minorHAnsi" w:hAnsiTheme="minorHAnsi" w:cstheme="minorHAnsi"/>
          <w:color w:val="000000" w:themeColor="text1"/>
        </w:rPr>
        <w:t>Rok 2028</w:t>
      </w:r>
    </w:p>
    <w:p w:rsidR="0000696B" w:rsidRPr="000D2F15" w:rsidRDefault="0000696B" w:rsidP="0000696B">
      <w:pPr>
        <w:pStyle w:val="NormalnyWeb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>• 10–13 marca 2028 – FOODEX JAPAN, Tokio, Japonia</w:t>
      </w:r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• 4–6 kwietnia 2028 – </w:t>
      </w:r>
      <w:proofErr w:type="spellStart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>Anuga</w:t>
      </w:r>
      <w:proofErr w:type="spellEnd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>Select</w:t>
      </w:r>
      <w:proofErr w:type="spellEnd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>Brazil</w:t>
      </w:r>
      <w:proofErr w:type="spellEnd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>São</w:t>
      </w:r>
      <w:proofErr w:type="spellEnd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Paulo, Brazylia </w:t>
      </w:r>
      <w:r w:rsidRPr="000D2F15">
        <w:rPr>
          <w:rStyle w:val="Uwydatnienie"/>
          <w:rFonts w:asciiTheme="minorHAnsi" w:hAnsiTheme="minorHAnsi" w:cstheme="minorHAnsi"/>
          <w:color w:val="000000" w:themeColor="text1"/>
          <w:sz w:val="22"/>
          <w:szCs w:val="22"/>
        </w:rPr>
        <w:t>(prognoza)</w:t>
      </w:r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• 6–8 czerwca 2028 – </w:t>
      </w:r>
      <w:proofErr w:type="spellStart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>Sweets</w:t>
      </w:r>
      <w:proofErr w:type="spellEnd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&amp; </w:t>
      </w:r>
      <w:proofErr w:type="spellStart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>Snacks</w:t>
      </w:r>
      <w:proofErr w:type="spellEnd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Expo, Indianapolis, USA </w:t>
      </w:r>
      <w:r w:rsidRPr="000D2F15">
        <w:rPr>
          <w:rStyle w:val="Uwydatnienie"/>
          <w:rFonts w:asciiTheme="minorHAnsi" w:hAnsiTheme="minorHAnsi" w:cstheme="minorHAnsi"/>
          <w:color w:val="000000" w:themeColor="text1"/>
          <w:sz w:val="22"/>
          <w:szCs w:val="22"/>
        </w:rPr>
        <w:t>(prognoza)</w:t>
      </w:r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br/>
        <w:t xml:space="preserve">• 16–19 października 2028 – SIAL </w:t>
      </w:r>
      <w:proofErr w:type="spellStart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>Paris</w:t>
      </w:r>
      <w:proofErr w:type="spellEnd"/>
      <w:r w:rsidRPr="000D2F15">
        <w:rPr>
          <w:rFonts w:asciiTheme="minorHAnsi" w:hAnsiTheme="minorHAnsi" w:cstheme="minorHAnsi"/>
          <w:color w:val="000000" w:themeColor="text1"/>
          <w:sz w:val="22"/>
          <w:szCs w:val="22"/>
        </w:rPr>
        <w:t>, Francja</w:t>
      </w:r>
    </w:p>
    <w:p w:rsidR="0000696B" w:rsidRPr="000D2F15" w:rsidRDefault="0000696B" w:rsidP="0000696B">
      <w:pPr>
        <w:pStyle w:val="Nagwek3"/>
        <w:rPr>
          <w:rFonts w:asciiTheme="minorHAnsi" w:hAnsiTheme="minorHAnsi" w:cstheme="minorHAnsi"/>
          <w:color w:val="000000" w:themeColor="text1"/>
        </w:rPr>
      </w:pPr>
      <w:r w:rsidRPr="000D2F15">
        <w:rPr>
          <w:rStyle w:val="Pogrubienie"/>
          <w:rFonts w:asciiTheme="minorHAnsi" w:hAnsiTheme="minorHAnsi" w:cstheme="minorHAnsi"/>
          <w:color w:val="000000" w:themeColor="text1"/>
        </w:rPr>
        <w:t>Rok 2029</w:t>
      </w:r>
    </w:p>
    <w:p w:rsidR="0000696B" w:rsidRDefault="0000696B" w:rsidP="0000696B">
      <w:pPr>
        <w:rPr>
          <w:rStyle w:val="Uwydatnienie"/>
          <w:rFonts w:cstheme="minorHAnsi"/>
          <w:color w:val="000000" w:themeColor="text1"/>
        </w:rPr>
      </w:pPr>
      <w:r w:rsidRPr="000D2F15">
        <w:rPr>
          <w:rFonts w:cstheme="minorHAnsi"/>
          <w:color w:val="000000" w:themeColor="text1"/>
        </w:rPr>
        <w:t>• 15–18 marca 2029 – HCJ 2029 (</w:t>
      </w:r>
      <w:proofErr w:type="spellStart"/>
      <w:r w:rsidRPr="000D2F15">
        <w:rPr>
          <w:rFonts w:cstheme="minorHAnsi"/>
          <w:color w:val="000000" w:themeColor="text1"/>
        </w:rPr>
        <w:t>Hospitality</w:t>
      </w:r>
      <w:proofErr w:type="spellEnd"/>
      <w:r w:rsidRPr="000D2F15">
        <w:rPr>
          <w:rFonts w:cstheme="minorHAnsi"/>
          <w:color w:val="000000" w:themeColor="text1"/>
        </w:rPr>
        <w:t xml:space="preserve"> &amp; </w:t>
      </w:r>
      <w:proofErr w:type="spellStart"/>
      <w:r w:rsidRPr="000D2F15">
        <w:rPr>
          <w:rFonts w:cstheme="minorHAnsi"/>
          <w:color w:val="000000" w:themeColor="text1"/>
        </w:rPr>
        <w:t>Food</w:t>
      </w:r>
      <w:proofErr w:type="spellEnd"/>
      <w:r w:rsidRPr="000D2F15">
        <w:rPr>
          <w:rFonts w:cstheme="minorHAnsi"/>
          <w:color w:val="000000" w:themeColor="text1"/>
        </w:rPr>
        <w:t xml:space="preserve"> Service Show), Tokio, Japonia</w:t>
      </w:r>
      <w:r w:rsidRPr="000D2F15">
        <w:rPr>
          <w:rFonts w:cstheme="minorHAnsi"/>
          <w:color w:val="000000" w:themeColor="text1"/>
        </w:rPr>
        <w:br/>
        <w:t xml:space="preserve">• 3–5 kwietnia 2029 – </w:t>
      </w:r>
      <w:proofErr w:type="spellStart"/>
      <w:r w:rsidRPr="000D2F15">
        <w:rPr>
          <w:rFonts w:cstheme="minorHAnsi"/>
          <w:color w:val="000000" w:themeColor="text1"/>
        </w:rPr>
        <w:t>Anuga</w:t>
      </w:r>
      <w:proofErr w:type="spellEnd"/>
      <w:r w:rsidRPr="000D2F15">
        <w:rPr>
          <w:rFonts w:cstheme="minorHAnsi"/>
          <w:color w:val="000000" w:themeColor="text1"/>
        </w:rPr>
        <w:t xml:space="preserve"> </w:t>
      </w:r>
      <w:proofErr w:type="spellStart"/>
      <w:r w:rsidRPr="000D2F15">
        <w:rPr>
          <w:rFonts w:cstheme="minorHAnsi"/>
          <w:color w:val="000000" w:themeColor="text1"/>
        </w:rPr>
        <w:t>Select</w:t>
      </w:r>
      <w:proofErr w:type="spellEnd"/>
      <w:r w:rsidRPr="000D2F15">
        <w:rPr>
          <w:rFonts w:cstheme="minorHAnsi"/>
          <w:color w:val="000000" w:themeColor="text1"/>
        </w:rPr>
        <w:t xml:space="preserve"> </w:t>
      </w:r>
      <w:proofErr w:type="spellStart"/>
      <w:r w:rsidRPr="000D2F15">
        <w:rPr>
          <w:rFonts w:cstheme="minorHAnsi"/>
          <w:color w:val="000000" w:themeColor="text1"/>
        </w:rPr>
        <w:t>Brazil</w:t>
      </w:r>
      <w:proofErr w:type="spellEnd"/>
      <w:r w:rsidRPr="000D2F15">
        <w:rPr>
          <w:rFonts w:cstheme="minorHAnsi"/>
          <w:color w:val="000000" w:themeColor="text1"/>
        </w:rPr>
        <w:t xml:space="preserve">, </w:t>
      </w:r>
      <w:proofErr w:type="spellStart"/>
      <w:r w:rsidRPr="000D2F15">
        <w:rPr>
          <w:rFonts w:cstheme="minorHAnsi"/>
          <w:color w:val="000000" w:themeColor="text1"/>
        </w:rPr>
        <w:t>São</w:t>
      </w:r>
      <w:proofErr w:type="spellEnd"/>
      <w:r w:rsidRPr="000D2F15">
        <w:rPr>
          <w:rFonts w:cstheme="minorHAnsi"/>
          <w:color w:val="000000" w:themeColor="text1"/>
        </w:rPr>
        <w:t xml:space="preserve"> Paulo, Brazylia </w:t>
      </w:r>
      <w:r w:rsidRPr="000D2F15">
        <w:rPr>
          <w:rStyle w:val="Uwydatnienie"/>
          <w:rFonts w:cstheme="minorHAnsi"/>
          <w:color w:val="000000" w:themeColor="text1"/>
        </w:rPr>
        <w:t>(prognoza)</w:t>
      </w:r>
      <w:r w:rsidRPr="000D2F15">
        <w:rPr>
          <w:rFonts w:cstheme="minorHAnsi"/>
          <w:color w:val="000000" w:themeColor="text1"/>
        </w:rPr>
        <w:br/>
        <w:t xml:space="preserve">• 10–11 kwietnia 2029 – </w:t>
      </w:r>
      <w:proofErr w:type="spellStart"/>
      <w:r w:rsidRPr="000D2F15">
        <w:rPr>
          <w:rFonts w:cstheme="minorHAnsi"/>
          <w:color w:val="000000" w:themeColor="text1"/>
        </w:rPr>
        <w:t>America’s</w:t>
      </w:r>
      <w:proofErr w:type="spellEnd"/>
      <w:r w:rsidRPr="000D2F15">
        <w:rPr>
          <w:rFonts w:cstheme="minorHAnsi"/>
          <w:color w:val="000000" w:themeColor="text1"/>
        </w:rPr>
        <w:t xml:space="preserve"> </w:t>
      </w:r>
      <w:proofErr w:type="spellStart"/>
      <w:r w:rsidRPr="000D2F15">
        <w:rPr>
          <w:rFonts w:cstheme="minorHAnsi"/>
          <w:color w:val="000000" w:themeColor="text1"/>
        </w:rPr>
        <w:t>Food</w:t>
      </w:r>
      <w:proofErr w:type="spellEnd"/>
      <w:r w:rsidRPr="000D2F15">
        <w:rPr>
          <w:rFonts w:cstheme="minorHAnsi"/>
          <w:color w:val="000000" w:themeColor="text1"/>
        </w:rPr>
        <w:t xml:space="preserve"> &amp; </w:t>
      </w:r>
      <w:proofErr w:type="spellStart"/>
      <w:r w:rsidRPr="000D2F15">
        <w:rPr>
          <w:rFonts w:cstheme="minorHAnsi"/>
          <w:color w:val="000000" w:themeColor="text1"/>
        </w:rPr>
        <w:t>Beverage</w:t>
      </w:r>
      <w:proofErr w:type="spellEnd"/>
      <w:r w:rsidRPr="000D2F15">
        <w:rPr>
          <w:rFonts w:cstheme="minorHAnsi"/>
          <w:color w:val="000000" w:themeColor="text1"/>
        </w:rPr>
        <w:t xml:space="preserve"> Show, Miami, USA </w:t>
      </w:r>
      <w:r w:rsidRPr="000D2F15">
        <w:rPr>
          <w:rStyle w:val="Uwydatnienie"/>
          <w:rFonts w:cstheme="minorHAnsi"/>
          <w:color w:val="000000" w:themeColor="text1"/>
        </w:rPr>
        <w:t>(prognoza)</w:t>
      </w:r>
      <w:r w:rsidRPr="000D2F15">
        <w:rPr>
          <w:rFonts w:cstheme="minorHAnsi"/>
          <w:color w:val="000000" w:themeColor="text1"/>
        </w:rPr>
        <w:br/>
        <w:t xml:space="preserve">• 6–10 października 2029 – ANUGA, Kolonia, Niemcy </w:t>
      </w:r>
      <w:r w:rsidRPr="000D2F15">
        <w:rPr>
          <w:rStyle w:val="Uwydatnienie"/>
          <w:rFonts w:cstheme="minorHAnsi"/>
          <w:color w:val="000000" w:themeColor="text1"/>
        </w:rPr>
        <w:t>(prognoza)</w:t>
      </w:r>
    </w:p>
    <w:p w:rsidR="0008261E" w:rsidRPr="0008261E" w:rsidRDefault="0008261E" w:rsidP="0000696B">
      <w:pPr>
        <w:rPr>
          <w:b/>
          <w:bCs/>
        </w:rPr>
      </w:pPr>
      <w:r w:rsidRPr="0008261E">
        <w:rPr>
          <w:b/>
          <w:bCs/>
        </w:rPr>
        <w:t>3. Wytyczne dla Projektów</w:t>
      </w:r>
    </w:p>
    <w:p w:rsidR="0008261E" w:rsidRDefault="0008261E" w:rsidP="00FA2928">
      <w:pPr>
        <w:rPr>
          <w:b/>
          <w:bCs/>
        </w:rPr>
      </w:pPr>
      <w:r w:rsidRPr="0008261E">
        <w:rPr>
          <w:b/>
          <w:bCs/>
        </w:rPr>
        <w:t>3.1. Design i Estetyka</w:t>
      </w:r>
    </w:p>
    <w:p w:rsidR="00FA2928" w:rsidRPr="00EE45E3" w:rsidRDefault="00FA2928" w:rsidP="00FA2928">
      <w:pPr>
        <w:rPr>
          <w:b/>
        </w:rPr>
      </w:pPr>
      <w:r w:rsidRPr="00EE45E3">
        <w:rPr>
          <w:b/>
        </w:rPr>
        <w:t>Unikalność stoisk</w:t>
      </w:r>
    </w:p>
    <w:p w:rsidR="00FA2928" w:rsidRPr="00FA2928" w:rsidRDefault="00FA2928" w:rsidP="00FA2928">
      <w:r w:rsidRPr="00FA2928">
        <w:t>Każde stoisko musi odzwierciedlać unikalność marki, jednocześnie uwzględniając specyfikę lokalnego rynku oraz charakter wydarzenia targowego. Oznacza to konieczność personalizacji projektu stoiska w zależności od regionu i oczekiwań odwiedzających.</w:t>
      </w:r>
    </w:p>
    <w:p w:rsidR="00FA2928" w:rsidRPr="00EE45E3" w:rsidRDefault="00FA2928" w:rsidP="00FA2928">
      <w:pPr>
        <w:rPr>
          <w:b/>
        </w:rPr>
      </w:pPr>
      <w:r w:rsidRPr="00EE45E3">
        <w:rPr>
          <w:b/>
        </w:rPr>
        <w:t>Modułowość</w:t>
      </w:r>
    </w:p>
    <w:p w:rsidR="00FA2928" w:rsidRPr="00FA2928" w:rsidRDefault="00FA2928" w:rsidP="00FA2928">
      <w:r w:rsidRPr="00FA2928">
        <w:lastRenderedPageBreak/>
        <w:t>Modułowy design jest kluczowym wymogiem, pozwalającym na elastyczność i efektywność ekonomiczną przy wielokrotnym wykorzystaniu stoiska.</w:t>
      </w:r>
    </w:p>
    <w:p w:rsidR="00FA2928" w:rsidRPr="00FA2928" w:rsidRDefault="00FA2928" w:rsidP="00FA2928">
      <w:pPr>
        <w:numPr>
          <w:ilvl w:val="0"/>
          <w:numId w:val="20"/>
        </w:numPr>
      </w:pPr>
      <w:r w:rsidRPr="00FA2928">
        <w:t>Elastyczność projektu: Stoisko musi być zaprojektowane tak, aby jego elementy mogły być łatwo demontowane, transportowane i rekonfigurowane w zależności od dostępnej przestrzeni oraz specyfiki kolejnych wydarzeń. Na przykład, modułowe panele ścienne lub podesty mogą być przekształcane w różne konfiguracje, dostosowane do wymogów danego targu.</w:t>
      </w:r>
    </w:p>
    <w:p w:rsidR="00FA2928" w:rsidRPr="00FA2928" w:rsidRDefault="00FA2928" w:rsidP="00FA2928">
      <w:pPr>
        <w:numPr>
          <w:ilvl w:val="0"/>
          <w:numId w:val="20"/>
        </w:numPr>
      </w:pPr>
      <w:r>
        <w:t>Wykorzystanie</w:t>
      </w:r>
      <w:r w:rsidRPr="00FA2928">
        <w:t xml:space="preserve"> zasobów: Ponowne wykorzystanie co najmniej 50% elementów stoiska redukuje </w:t>
      </w:r>
      <w:r>
        <w:t>ilość potencjalnych odpadów tym samym</w:t>
      </w:r>
      <w:r w:rsidRPr="00FA2928">
        <w:t xml:space="preserve"> wspiera zrównoważony rozwój, co jest zgodne z oczekiwaniami rynków europejskich i globalnymi trendami w branży wystawienniczej.</w:t>
      </w:r>
    </w:p>
    <w:p w:rsidR="00FA2928" w:rsidRPr="00FA2928" w:rsidRDefault="00FA2928" w:rsidP="00FA2928">
      <w:pPr>
        <w:numPr>
          <w:ilvl w:val="0"/>
          <w:numId w:val="20"/>
        </w:numPr>
      </w:pPr>
      <w:r w:rsidRPr="00FA2928">
        <w:t>Zrównoważone materiały: Modułowe elementy powinny być wykonane z materiałów o wysokiej wytrzymałości, takich jak aluminium, drewno czy kompozyty, które łatwo poddać recyklingowi lub ponownemu użyciu.</w:t>
      </w:r>
    </w:p>
    <w:p w:rsidR="00FA2928" w:rsidRPr="00EE45E3" w:rsidRDefault="00FA2928" w:rsidP="00FA2928">
      <w:pPr>
        <w:rPr>
          <w:b/>
        </w:rPr>
      </w:pPr>
      <w:r w:rsidRPr="00EE45E3">
        <w:rPr>
          <w:b/>
        </w:rPr>
        <w:t xml:space="preserve">Estetyka </w:t>
      </w:r>
      <w:proofErr w:type="spellStart"/>
      <w:r w:rsidRPr="00EE45E3">
        <w:rPr>
          <w:b/>
        </w:rPr>
        <w:t>premium</w:t>
      </w:r>
      <w:proofErr w:type="spellEnd"/>
    </w:p>
    <w:p w:rsidR="00FA2928" w:rsidRPr="00FA2928" w:rsidRDefault="00FA2928" w:rsidP="00FA2928">
      <w:r w:rsidRPr="00FA2928">
        <w:t>Estetyka stoiska musi wywoływać skojarzenia z produktami wysokiej jakości oraz innowacyjnością.</w:t>
      </w:r>
    </w:p>
    <w:p w:rsidR="00FA2928" w:rsidRPr="00FA2928" w:rsidRDefault="00FA2928" w:rsidP="00FA2928">
      <w:pPr>
        <w:numPr>
          <w:ilvl w:val="0"/>
          <w:numId w:val="21"/>
        </w:numPr>
      </w:pPr>
      <w:r w:rsidRPr="00FA2928">
        <w:t xml:space="preserve">Nowoczesny design: Prostota formy i harmonia wizualna będą kluczowe dla podkreślenia klasy </w:t>
      </w:r>
      <w:proofErr w:type="spellStart"/>
      <w:r w:rsidRPr="00FA2928">
        <w:t>premium</w:t>
      </w:r>
      <w:proofErr w:type="spellEnd"/>
      <w:r w:rsidRPr="00FA2928">
        <w:t xml:space="preserve"> marki. Elementy takie jak geometryczne kształty, ukryte oświetlenie LED oraz odpowiednie wykończenie powierzchni (np. matowe szkło czy drewno) nadadzą stoisku elegancji.</w:t>
      </w:r>
    </w:p>
    <w:p w:rsidR="00FA2928" w:rsidRPr="00FA2928" w:rsidRDefault="00FA2928" w:rsidP="00FA2928">
      <w:pPr>
        <w:numPr>
          <w:ilvl w:val="0"/>
          <w:numId w:val="21"/>
        </w:numPr>
      </w:pPr>
      <w:r w:rsidRPr="00FA2928">
        <w:t>Ekologiczne materiały: Użycie materiałów przyjaznych środowisku, takich jak drewno z certyfikatami FSC, aluminium pochodzące z recyklingu czy kompozyty biodegradowalne, nie tylko podkreśla zaangażowanie firmy w zrównoważony rozwój, ale także odpowiada na potrzeby świadomych konsumentów i partnerów biznesowych.</w:t>
      </w:r>
    </w:p>
    <w:p w:rsidR="00FA2928" w:rsidRPr="00FA2928" w:rsidRDefault="00FA2928" w:rsidP="00FA2928">
      <w:pPr>
        <w:numPr>
          <w:ilvl w:val="0"/>
          <w:numId w:val="21"/>
        </w:numPr>
      </w:pPr>
      <w:r w:rsidRPr="00FA2928">
        <w:t xml:space="preserve">Elementy technologiczne: Stoisko powinno być wyposażone w nowoczesne technologie, takie jak interaktywne ekrany dotykowe. Szczególną rolę odgrywa prezentacja technologii </w:t>
      </w:r>
      <w:proofErr w:type="spellStart"/>
      <w:r w:rsidRPr="00FA2928">
        <w:t>samodezynfekcji</w:t>
      </w:r>
      <w:proofErr w:type="spellEnd"/>
      <w:r w:rsidRPr="00FA2928">
        <w:t xml:space="preserve"> ekranów, która wyróżnia firmę na tle konkurencji. Ekrany powinny być umieszczone w centralnej części stoiska, wkomponowane w elegancką obudowę, aby zachęcić odwiedzających do interakcji.</w:t>
      </w:r>
    </w:p>
    <w:p w:rsidR="00FA2928" w:rsidRPr="00FA2928" w:rsidRDefault="00FA2928" w:rsidP="00FA2928">
      <w:r w:rsidRPr="00FA2928">
        <w:t xml:space="preserve">Podsumowując, projekt stoisk oparty na powyższych wytycznych łączy nowoczesność, zrównoważony rozwój i innowacje technologiczne. Taki design nie tylko przyciąga uwagę odwiedzających, ale także skutecznie buduje wizerunek marki jako lidera w kategorii produktów </w:t>
      </w:r>
      <w:proofErr w:type="spellStart"/>
      <w:r w:rsidRPr="00FA2928">
        <w:t>premium</w:t>
      </w:r>
      <w:proofErr w:type="spellEnd"/>
      <w:r w:rsidRPr="00FA2928">
        <w:t xml:space="preserve"> oraz innowacji wystawienniczych.</w:t>
      </w:r>
    </w:p>
    <w:p w:rsidR="0008261E" w:rsidRDefault="0008261E" w:rsidP="0008261E">
      <w:pPr>
        <w:rPr>
          <w:b/>
          <w:bCs/>
        </w:rPr>
      </w:pPr>
      <w:r w:rsidRPr="0008261E">
        <w:rPr>
          <w:b/>
          <w:bCs/>
        </w:rPr>
        <w:t>3.2. Funkcjonalność</w:t>
      </w:r>
    </w:p>
    <w:p w:rsidR="00DE139C" w:rsidRPr="00DE139C" w:rsidRDefault="00DE139C" w:rsidP="00DE139C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Strefa demonstracyjna</w:t>
      </w:r>
    </w:p>
    <w:p w:rsidR="00DE139C" w:rsidRPr="00DE139C" w:rsidRDefault="00DE139C" w:rsidP="00DE139C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>Strefa demonstracyjna ma być kluczowym elementem każdego stoiska, zajmując co najmniej 50% jego powierzchni. To przestrzeń, w której odwiedzający będą mieli okazję poznać produkty, innowacje oraz technologie prezentowane przez markę.</w:t>
      </w:r>
    </w:p>
    <w:p w:rsidR="00DE139C" w:rsidRPr="00DE139C" w:rsidRDefault="00DE139C" w:rsidP="00DE139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lastRenderedPageBreak/>
        <w:t>Wielkość i układ</w:t>
      </w:r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>: Wymóg zajmowania połowy powierzchni wynika z potrzeby wyeksponowania produktów w atrakcyjny i dostępny sposób. W dużej, otwartej przestrzeni można lepiej zorganizować degustacje, prezentacje technologiczne i pokazy multimedialne.</w:t>
      </w:r>
    </w:p>
    <w:p w:rsidR="00DE139C" w:rsidRPr="00DE139C" w:rsidRDefault="00DE139C" w:rsidP="00DE139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Interaktywne technologie</w:t>
      </w:r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>: Włączenie nowoczesnych narzędzi, takich jak ekrany dotykowe, VR/AR (wirtualna i rozszerzona rzeczywistość) czy hologramy, ma na celu zwiększenie zaangażowania odwiedzających.</w:t>
      </w:r>
    </w:p>
    <w:p w:rsidR="00DE139C" w:rsidRPr="00DE139C" w:rsidRDefault="00DE139C" w:rsidP="00DE139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Ekrany dotykowe</w:t>
      </w:r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 xml:space="preserve">: Mogą prezentować interaktywne katalogi produktów, wirtualne procesy produkcji czy składniki wyrobów. Funkcja </w:t>
      </w:r>
      <w:proofErr w:type="spellStart"/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>samodezynfekcji</w:t>
      </w:r>
      <w:proofErr w:type="spellEnd"/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 xml:space="preserve"> ekranów dodatkowo podkreśli innowacyjność marki.</w:t>
      </w:r>
    </w:p>
    <w:p w:rsidR="00DE139C" w:rsidRPr="00DE139C" w:rsidRDefault="00DE139C" w:rsidP="00DE139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VR/AR</w:t>
      </w:r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>: Umożliwia odwiedzającym „zanurzenie się” w świecie marki. Na przykład za pomocą okularów VR można przeprowadzić wirtualny spacer po zakładzie produkcyjnym lub zaprezentować proces powstawania produktu.</w:t>
      </w:r>
    </w:p>
    <w:p w:rsidR="00DE139C" w:rsidRPr="00DE139C" w:rsidRDefault="00DE139C" w:rsidP="00DE139C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Hologramy</w:t>
      </w:r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>: Mogą przyciągać uwagę odwiedzających, prezentując trójwymiarowe wizualizacje produktów w sposób nowoczesny i dynamiczny.</w:t>
      </w:r>
    </w:p>
    <w:p w:rsidR="00DE139C" w:rsidRPr="00DE139C" w:rsidRDefault="00DE139C" w:rsidP="00DE139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Prezentacja produktów</w:t>
      </w:r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>: Produkty muszą być eksponowane w sposób przyciągający wzrok – na podświetlanych półkach lub w transparentnych gablotach. W strefie tej można również organizować degustacje, co pozwala potencjalnym partnerom biznesowym bezpośrednio poznać jakość i smak wyrobów.</w:t>
      </w:r>
    </w:p>
    <w:p w:rsidR="00DE139C" w:rsidRPr="00DE139C" w:rsidRDefault="00DE139C" w:rsidP="00DE139C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Strefa spotkań</w:t>
      </w:r>
    </w:p>
    <w:p w:rsidR="00DE139C" w:rsidRPr="00DE139C" w:rsidRDefault="00DE139C" w:rsidP="00DE139C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>Przestrzeń do rozmów biznesowych jest kluczowa dla budowania relacji handlowych oraz prowadzenia negocjacji.</w:t>
      </w:r>
    </w:p>
    <w:p w:rsidR="00DE139C" w:rsidRPr="00DE139C" w:rsidRDefault="00DE139C" w:rsidP="00DE139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Wygodne meble</w:t>
      </w:r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>: Powinna być wyposażona w ergonomiczne fotele lub kanapy oraz stoliki o odpowiedniej wysokości, sprzyjające komfortowej rozmowie.</w:t>
      </w:r>
    </w:p>
    <w:p w:rsidR="00DE139C" w:rsidRPr="00DE139C" w:rsidRDefault="00DE139C" w:rsidP="00DE139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Oświetlenie</w:t>
      </w:r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>: Należy zastosować subtelne, ciepłe światło, które tworzy przyjazną atmosferę, jednocześnie zapewniając wystarczającą jasność do przeglądania dokumentów i materiałów promocyjnych.</w:t>
      </w:r>
    </w:p>
    <w:p w:rsidR="00DE139C" w:rsidRPr="00DE139C" w:rsidRDefault="00DE139C" w:rsidP="00DE139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Akustyka</w:t>
      </w:r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>: W miarę możliwości przestrzeń ta powinna być oddzielona od głównego ruchu w strefie demonstracyjnej, aby zminimalizować hałas i zapewnić prywatność rozmów.</w:t>
      </w:r>
    </w:p>
    <w:p w:rsidR="00DE139C" w:rsidRPr="00DE139C" w:rsidRDefault="00DE139C" w:rsidP="00DE139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Materiały pomocnicze</w:t>
      </w:r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>: W strefie powinny znajdować się tablety z cyfrowym katalogiem produktów, wydruki ofert czy wizytówki, co ułatwia prowadzenie efektywnych rozmów.</w:t>
      </w:r>
    </w:p>
    <w:p w:rsidR="00DE139C" w:rsidRPr="00DE139C" w:rsidRDefault="00DE139C" w:rsidP="00DE139C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Magazyn</w:t>
      </w:r>
    </w:p>
    <w:p w:rsidR="00DE139C" w:rsidRPr="00DE139C" w:rsidRDefault="00DE139C" w:rsidP="00DE139C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>Dyskretnie wkomponowana przestrzeń magazynowa jest niezbędna do przechowywania materiałów promocyjnych, zapasów produktów czy akcesoriów niezbędnych do funkcjonowania stoiska.</w:t>
      </w:r>
    </w:p>
    <w:p w:rsidR="00DE139C" w:rsidRPr="00DE139C" w:rsidRDefault="00DE139C" w:rsidP="00DE139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Lokalizacja</w:t>
      </w:r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>: Magazyn powinien być niewidoczny dla odwiedzających, np. umieszczony za panelem wystawienniczym lub w formie zamykanych szafek w części stoiska.</w:t>
      </w:r>
    </w:p>
    <w:p w:rsidR="00DE139C" w:rsidRPr="00DE139C" w:rsidRDefault="00DE139C" w:rsidP="00DE139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lastRenderedPageBreak/>
        <w:t>Rozmiar i funkcjonalność</w:t>
      </w:r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>: Powinien być na tyle przestronny, by pomieścić niezbędne materiały, ale jednocześnie kompaktowy, aby nie zajmował zbyt dużej części powierzchni stoiska.</w:t>
      </w:r>
    </w:p>
    <w:p w:rsidR="00DE139C" w:rsidRPr="00DE139C" w:rsidRDefault="00DE139C" w:rsidP="00DE139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Dostępność</w:t>
      </w:r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>: Wejście do magazynu musi być łatwe i szybkie, aby obsługa stoiska mogła w razie potrzeby dyskretnie uzupełnić zapasy materiałów lub produktów.</w:t>
      </w:r>
    </w:p>
    <w:p w:rsidR="00DE139C" w:rsidRPr="00DE139C" w:rsidRDefault="00DE139C" w:rsidP="00DE139C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Modularność</w:t>
      </w:r>
    </w:p>
    <w:p w:rsidR="00DE139C" w:rsidRPr="00DE139C" w:rsidRDefault="00DE139C" w:rsidP="00DE139C">
      <w:p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>Stoisko musi być zaprojektowane w sposób modułowy, co pozwala na łatwe rozłożenie, złożenie i transport.</w:t>
      </w:r>
    </w:p>
    <w:p w:rsidR="00DE139C" w:rsidRPr="00DE139C" w:rsidRDefault="00DE139C" w:rsidP="00DE139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Kompaktowy transport</w:t>
      </w:r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>: Wszystkie elementy stoiska powinny być zoptymalizowane tak, aby mogły zmieścić się na dwóch paletach. To obniży koszty transportu i magazynowania.</w:t>
      </w:r>
    </w:p>
    <w:p w:rsidR="00DE139C" w:rsidRPr="00DE139C" w:rsidRDefault="00DE139C" w:rsidP="00DE139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Łatwość montażu</w:t>
      </w:r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>: Modułowe komponenty muszą być proste w obsłudze, umożliwiając szybkie złożenie stoiska przez niewielką ekipę techniczną. Systemy typu „</w:t>
      </w:r>
      <w:proofErr w:type="spellStart"/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>plug</w:t>
      </w:r>
      <w:proofErr w:type="spellEnd"/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 xml:space="preserve"> and play” pozwolą na skrócenie czasu instalacji i demontażu.</w:t>
      </w:r>
    </w:p>
    <w:p w:rsidR="00DE139C" w:rsidRPr="00DE139C" w:rsidRDefault="00DE139C" w:rsidP="00DE139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b/>
          <w:bCs/>
          <w:kern w:val="0"/>
          <w:sz w:val="24"/>
          <w:szCs w:val="24"/>
          <w:lang w:eastAsia="pl-PL"/>
        </w:rPr>
        <w:t>Wielokrotne użycie</w:t>
      </w:r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>: Elementy modułowe, takie jak panele ścienne, meble czy konstrukcje wsporcze, powinny być zaprojektowane tak, aby mogły być ponownie wykorzystane na kolejnych wydarzeniach, minimalizując potrzebę produkcji nowych komponentów.</w:t>
      </w:r>
    </w:p>
    <w:p w:rsidR="00DE139C" w:rsidRPr="00DE139C" w:rsidRDefault="00DE139C" w:rsidP="00DE1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DE139C">
        <w:rPr>
          <w:rFonts w:eastAsia="Times New Roman" w:cstheme="minorHAnsi"/>
          <w:kern w:val="0"/>
          <w:sz w:val="24"/>
          <w:szCs w:val="24"/>
          <w:lang w:eastAsia="pl-PL"/>
        </w:rPr>
        <w:t>Funkcjonalność stoiska opiera się na synergii estetyki i praktyczności. Strefa demonstracyjna przyciąga uwagę innowacyjnymi technologiami i prezentacjami produktów, strefa spotkań zapewnia komfortowe warunki do rozmów biznesowych, a dyskretny magazyn ułatwia zarządzanie logistyką. Modułowy design zapewnia elastyczność i optymalizację kosztów, czyniąc stoisko zarówno atrakcyjnym, jak i funkcjonalnym. Wszystkie te elementy wspierają realizację celów promocyjnych i budowanie wizerunku marki jako innowacyjnego lidera w branży</w:t>
      </w:r>
      <w:r w:rsidRPr="00DE13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.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3.3. Materiały</w:t>
      </w:r>
    </w:p>
    <w:p w:rsidR="0008261E" w:rsidRPr="0008261E" w:rsidRDefault="0008261E" w:rsidP="0008261E">
      <w:pPr>
        <w:numPr>
          <w:ilvl w:val="0"/>
          <w:numId w:val="4"/>
        </w:numPr>
      </w:pPr>
      <w:r w:rsidRPr="0008261E">
        <w:t>Wymagane są materiały przyjazne środowisku, takie jak:</w:t>
      </w:r>
    </w:p>
    <w:p w:rsidR="0008261E" w:rsidRPr="0008261E" w:rsidRDefault="0008261E" w:rsidP="0008261E">
      <w:pPr>
        <w:numPr>
          <w:ilvl w:val="1"/>
          <w:numId w:val="4"/>
        </w:numPr>
      </w:pPr>
      <w:r w:rsidRPr="0008261E">
        <w:t>Drewno certyfikowane FSC.</w:t>
      </w:r>
    </w:p>
    <w:p w:rsidR="0008261E" w:rsidRPr="0008261E" w:rsidRDefault="0008261E" w:rsidP="0008261E">
      <w:pPr>
        <w:numPr>
          <w:ilvl w:val="1"/>
          <w:numId w:val="4"/>
        </w:numPr>
      </w:pPr>
      <w:r w:rsidRPr="0008261E">
        <w:t>Szkło hartowane.</w:t>
      </w:r>
    </w:p>
    <w:p w:rsidR="0008261E" w:rsidRPr="0008261E" w:rsidRDefault="0008261E" w:rsidP="0008261E">
      <w:pPr>
        <w:numPr>
          <w:ilvl w:val="1"/>
          <w:numId w:val="4"/>
        </w:numPr>
      </w:pPr>
      <w:r w:rsidRPr="0008261E">
        <w:t>Aluminium lub stal nierdzewna.</w:t>
      </w:r>
    </w:p>
    <w:p w:rsidR="0008261E" w:rsidRPr="0008261E" w:rsidRDefault="0008261E" w:rsidP="0008261E">
      <w:pPr>
        <w:numPr>
          <w:ilvl w:val="1"/>
          <w:numId w:val="4"/>
        </w:numPr>
      </w:pPr>
      <w:r w:rsidRPr="0008261E">
        <w:t>Tkaniny naturalne lub z recyklingu.</w:t>
      </w:r>
    </w:p>
    <w:p w:rsidR="0008261E" w:rsidRPr="0008261E" w:rsidRDefault="0008261E" w:rsidP="0008261E">
      <w:pPr>
        <w:numPr>
          <w:ilvl w:val="0"/>
          <w:numId w:val="4"/>
        </w:numPr>
      </w:pPr>
      <w:r w:rsidRPr="0008261E">
        <w:t>Zakaz stosowania PCV oraz materiałów trudnych do recyklingu.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3.4. Oświetlenie</w:t>
      </w:r>
    </w:p>
    <w:p w:rsidR="0008261E" w:rsidRPr="0008261E" w:rsidRDefault="0008261E" w:rsidP="0008261E">
      <w:pPr>
        <w:numPr>
          <w:ilvl w:val="0"/>
          <w:numId w:val="5"/>
        </w:numPr>
      </w:pPr>
      <w:r w:rsidRPr="0008261E">
        <w:t>Zaawansowane oświetlenie LED z możliwością regulacji intensywności i koloru.</w:t>
      </w:r>
    </w:p>
    <w:p w:rsidR="0008261E" w:rsidRPr="0008261E" w:rsidRDefault="0008261E" w:rsidP="0008261E">
      <w:pPr>
        <w:numPr>
          <w:ilvl w:val="0"/>
          <w:numId w:val="5"/>
        </w:numPr>
      </w:pPr>
      <w:r w:rsidRPr="0008261E">
        <w:t>Punktowe reflektory do podkreślenia kluczowych produktów i elementów stoiska.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3.5. Technologie Multimedialne</w:t>
      </w:r>
    </w:p>
    <w:p w:rsidR="0008261E" w:rsidRPr="0008261E" w:rsidRDefault="0008261E" w:rsidP="0008261E">
      <w:pPr>
        <w:numPr>
          <w:ilvl w:val="0"/>
          <w:numId w:val="6"/>
        </w:numPr>
      </w:pPr>
      <w:r w:rsidRPr="0008261E">
        <w:lastRenderedPageBreak/>
        <w:t>Ekrany dotykowe lub ściany interaktywne.</w:t>
      </w:r>
    </w:p>
    <w:p w:rsidR="0008261E" w:rsidRPr="0008261E" w:rsidRDefault="0008261E" w:rsidP="0008261E">
      <w:pPr>
        <w:numPr>
          <w:ilvl w:val="0"/>
          <w:numId w:val="6"/>
        </w:numPr>
      </w:pPr>
      <w:r w:rsidRPr="0008261E">
        <w:t>Prezentacje holograficzne i systemy VR/AR.</w:t>
      </w:r>
    </w:p>
    <w:p w:rsidR="0008261E" w:rsidRPr="0008261E" w:rsidRDefault="0008261E" w:rsidP="0008261E">
      <w:pPr>
        <w:numPr>
          <w:ilvl w:val="0"/>
          <w:numId w:val="6"/>
        </w:numPr>
      </w:pPr>
      <w:r w:rsidRPr="0008261E">
        <w:t>System zarządzania oświetleniem i dźwiękiem.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3.6. Zrównoważony Rozwój</w:t>
      </w:r>
    </w:p>
    <w:p w:rsidR="0008261E" w:rsidRPr="0008261E" w:rsidRDefault="0008261E" w:rsidP="0008261E">
      <w:pPr>
        <w:numPr>
          <w:ilvl w:val="0"/>
          <w:numId w:val="7"/>
        </w:numPr>
      </w:pPr>
      <w:r w:rsidRPr="0008261E">
        <w:t>Elementy projektu i wykonania muszą uwzględniać minimalizację odpadów.</w:t>
      </w:r>
    </w:p>
    <w:p w:rsidR="0008261E" w:rsidRPr="0008261E" w:rsidRDefault="0008261E" w:rsidP="0008261E">
      <w:pPr>
        <w:numPr>
          <w:ilvl w:val="0"/>
          <w:numId w:val="7"/>
        </w:numPr>
      </w:pPr>
      <w:r w:rsidRPr="0008261E">
        <w:t>Materiały powinny być łatwe w transporcie, wielokrotnego użytku oraz ekologiczne.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4. Wytyczne dla Wykonania Stoisk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4.1. Konstrukcja</w:t>
      </w:r>
    </w:p>
    <w:p w:rsidR="0008261E" w:rsidRPr="0008261E" w:rsidRDefault="0008261E" w:rsidP="0008261E">
      <w:pPr>
        <w:numPr>
          <w:ilvl w:val="0"/>
          <w:numId w:val="8"/>
        </w:numPr>
      </w:pPr>
      <w:r w:rsidRPr="0008261E">
        <w:t>Stoisko musi być stabilne, zgodne z przepisami bezpieczeństwa i lokalnymi regulacjami budowlanymi.</w:t>
      </w:r>
    </w:p>
    <w:p w:rsidR="0008261E" w:rsidRPr="0008261E" w:rsidRDefault="0008261E" w:rsidP="0008261E">
      <w:pPr>
        <w:numPr>
          <w:ilvl w:val="0"/>
          <w:numId w:val="8"/>
        </w:numPr>
      </w:pPr>
      <w:r w:rsidRPr="0008261E">
        <w:t>Montaż i demontaż muszą być łatwe i szybkie, z uwzględnieniem możliwości przechowywania elementów do ponownego wykorzystania.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4.2. Obsługa Techniczna</w:t>
      </w:r>
    </w:p>
    <w:p w:rsidR="0008261E" w:rsidRPr="0008261E" w:rsidRDefault="0008261E" w:rsidP="0008261E">
      <w:pPr>
        <w:numPr>
          <w:ilvl w:val="0"/>
          <w:numId w:val="9"/>
        </w:numPr>
      </w:pPr>
      <w:r w:rsidRPr="0008261E">
        <w:t>Wykonawca zobowiązany jest do zapewnienia serwisu technicznego na miejscu wydarzenia, obejmującego:</w:t>
      </w:r>
    </w:p>
    <w:p w:rsidR="0008261E" w:rsidRPr="0008261E" w:rsidRDefault="0008261E" w:rsidP="0008261E">
      <w:pPr>
        <w:numPr>
          <w:ilvl w:val="1"/>
          <w:numId w:val="9"/>
        </w:numPr>
      </w:pPr>
      <w:r w:rsidRPr="0008261E">
        <w:t>Poprawność działania technologii multimedialnych.</w:t>
      </w:r>
    </w:p>
    <w:p w:rsidR="0008261E" w:rsidRDefault="0008261E" w:rsidP="0008261E">
      <w:pPr>
        <w:numPr>
          <w:ilvl w:val="1"/>
          <w:numId w:val="9"/>
        </w:numPr>
      </w:pPr>
      <w:r w:rsidRPr="0008261E">
        <w:t>Szybką reakcję na problemy związane z eksploatacją stoiska.</w:t>
      </w:r>
    </w:p>
    <w:p w:rsidR="00042BE0" w:rsidRPr="0008261E" w:rsidRDefault="00042BE0" w:rsidP="0008261E">
      <w:pPr>
        <w:numPr>
          <w:ilvl w:val="1"/>
          <w:numId w:val="9"/>
        </w:numPr>
      </w:pPr>
      <w:r>
        <w:t>Rozłożenie i ponowne złożenie stoiska wraz z nadaniem do Polski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4.3. Transport i Logistyka</w:t>
      </w:r>
    </w:p>
    <w:p w:rsidR="0008261E" w:rsidRPr="0008261E" w:rsidRDefault="0008261E" w:rsidP="0008261E">
      <w:pPr>
        <w:numPr>
          <w:ilvl w:val="0"/>
          <w:numId w:val="10"/>
        </w:numPr>
      </w:pPr>
      <w:r w:rsidRPr="0008261E">
        <w:t>Wykonawca odpowiedzialny za bezpieczny transport stoiska na miejsce targów.</w:t>
      </w:r>
    </w:p>
    <w:p w:rsidR="0008261E" w:rsidRPr="0008261E" w:rsidRDefault="0008261E" w:rsidP="0008261E">
      <w:pPr>
        <w:numPr>
          <w:ilvl w:val="0"/>
          <w:numId w:val="10"/>
        </w:numPr>
      </w:pPr>
      <w:r w:rsidRPr="0008261E">
        <w:t>Wymagane ubezpieczenie stoiska na czas transportu oraz wydarzenia.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4.4. Utylizacja</w:t>
      </w:r>
    </w:p>
    <w:p w:rsidR="0008261E" w:rsidRPr="0008261E" w:rsidRDefault="0008261E" w:rsidP="0008261E">
      <w:pPr>
        <w:numPr>
          <w:ilvl w:val="0"/>
          <w:numId w:val="11"/>
        </w:numPr>
      </w:pPr>
      <w:r w:rsidRPr="0008261E">
        <w:t>Po zakończeniu wydarzenia wykonawca zobowiązany jest do demontażu stoiska oraz utylizacji odpadów zgodnie z lokalnymi regulacjami.</w:t>
      </w:r>
    </w:p>
    <w:p w:rsidR="0008261E" w:rsidRPr="0008261E" w:rsidRDefault="0008261E" w:rsidP="0008261E">
      <w:pPr>
        <w:rPr>
          <w:b/>
          <w:bCs/>
        </w:rPr>
      </w:pPr>
      <w:r w:rsidRPr="0008261E">
        <w:rPr>
          <w:b/>
          <w:bCs/>
        </w:rPr>
        <w:t>5. Dokumentacja Wymagana od Oferenta</w:t>
      </w:r>
    </w:p>
    <w:p w:rsidR="0008261E" w:rsidRPr="0008261E" w:rsidRDefault="0008261E" w:rsidP="0008261E">
      <w:r w:rsidRPr="0008261E">
        <w:t>Oferent musi przedłożyć:</w:t>
      </w:r>
    </w:p>
    <w:p w:rsidR="0008261E" w:rsidRPr="0008261E" w:rsidRDefault="0008261E" w:rsidP="0008261E">
      <w:pPr>
        <w:numPr>
          <w:ilvl w:val="0"/>
          <w:numId w:val="12"/>
        </w:numPr>
      </w:pPr>
      <w:r w:rsidRPr="0008261E">
        <w:t xml:space="preserve">Wizualizacje 3D i rysunki </w:t>
      </w:r>
      <w:r w:rsidR="00B621F9">
        <w:t>stoisk</w:t>
      </w:r>
      <w:r w:rsidRPr="0008261E">
        <w:t>.</w:t>
      </w:r>
    </w:p>
    <w:p w:rsidR="0008261E" w:rsidRDefault="00A846BA" w:rsidP="0008261E">
      <w:pPr>
        <w:numPr>
          <w:ilvl w:val="0"/>
          <w:numId w:val="12"/>
        </w:numPr>
      </w:pPr>
      <w:r>
        <w:t>O</w:t>
      </w:r>
      <w:r w:rsidR="0008261E" w:rsidRPr="0008261E">
        <w:t xml:space="preserve">pis </w:t>
      </w:r>
      <w:r w:rsidR="00042BE0">
        <w:t>proponowanych</w:t>
      </w:r>
      <w:r w:rsidR="00B621F9">
        <w:t xml:space="preserve"> </w:t>
      </w:r>
      <w:r w:rsidR="00042BE0">
        <w:t xml:space="preserve">do użycia </w:t>
      </w:r>
      <w:r w:rsidR="0008261E" w:rsidRPr="0008261E">
        <w:t xml:space="preserve">materiałów wraz </w:t>
      </w:r>
      <w:r>
        <w:t xml:space="preserve">listą użytych materiałów </w:t>
      </w:r>
      <w:r w:rsidR="0008261E" w:rsidRPr="0008261E">
        <w:t>ekologicznymi.</w:t>
      </w:r>
    </w:p>
    <w:p w:rsidR="00A846BA" w:rsidRDefault="00A846BA" w:rsidP="0008261E">
      <w:pPr>
        <w:numPr>
          <w:ilvl w:val="0"/>
          <w:numId w:val="12"/>
        </w:numPr>
      </w:pPr>
      <w:r>
        <w:t>Wypełniony załącznik nr 1</w:t>
      </w:r>
    </w:p>
    <w:p w:rsidR="00042BE0" w:rsidRDefault="00042BE0" w:rsidP="00042BE0">
      <w:pPr>
        <w:numPr>
          <w:ilvl w:val="0"/>
          <w:numId w:val="12"/>
        </w:numPr>
      </w:pPr>
      <w:r>
        <w:t>Podpisany załącznik nr 2</w:t>
      </w:r>
    </w:p>
    <w:p w:rsidR="00042BE0" w:rsidRDefault="00042BE0" w:rsidP="00042BE0">
      <w:pPr>
        <w:numPr>
          <w:ilvl w:val="0"/>
          <w:numId w:val="12"/>
        </w:numPr>
      </w:pPr>
      <w:r>
        <w:t>Podpisany załącznik nr 3</w:t>
      </w:r>
    </w:p>
    <w:p w:rsidR="00B621F9" w:rsidRDefault="00B621F9" w:rsidP="00B621F9">
      <w:pPr>
        <w:suppressAutoHyphens/>
        <w:ind w:left="720"/>
        <w:rPr>
          <w:rFonts w:cstheme="minorHAnsi"/>
          <w:lang w:eastAsia="ar-SA"/>
        </w:rPr>
      </w:pPr>
      <w:r>
        <w:rPr>
          <w:rFonts w:cstheme="minorHAnsi"/>
          <w:lang w:eastAsia="ar-SA"/>
        </w:rPr>
        <w:t>………..……………………………………………………………….                   ……………………………………………….</w:t>
      </w:r>
      <w:r>
        <w:rPr>
          <w:rFonts w:cstheme="minorHAnsi"/>
          <w:lang w:eastAsia="ar-SA"/>
        </w:rPr>
        <w:br/>
        <w:t xml:space="preserve">            </w:t>
      </w:r>
      <w:r>
        <w:rPr>
          <w:rFonts w:cstheme="minorHAnsi"/>
          <w:i/>
          <w:lang w:eastAsia="ar-SA"/>
        </w:rPr>
        <w:t>data i podpis osoby upoważnionej</w:t>
      </w:r>
      <w:r>
        <w:rPr>
          <w:rFonts w:cstheme="minorHAnsi"/>
          <w:lang w:eastAsia="ar-SA"/>
        </w:rPr>
        <w:t xml:space="preserve">                                               </w:t>
      </w:r>
      <w:r>
        <w:rPr>
          <w:rFonts w:cstheme="minorHAnsi"/>
          <w:i/>
          <w:lang w:eastAsia="ar-SA"/>
        </w:rPr>
        <w:t>pieczęć Oferenta</w:t>
      </w:r>
    </w:p>
    <w:p w:rsidR="00B621F9" w:rsidRDefault="00B621F9" w:rsidP="00042BE0">
      <w:pPr>
        <w:ind w:left="720"/>
      </w:pPr>
    </w:p>
    <w:p w:rsidR="00A846BA" w:rsidRPr="0008261E" w:rsidRDefault="00A846BA" w:rsidP="00A846BA"/>
    <w:p w:rsidR="00C253B3" w:rsidRDefault="00C253B3"/>
    <w:sectPr w:rsidR="00C253B3" w:rsidSect="006D76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869" w:rsidRDefault="00861869" w:rsidP="00B621F9">
      <w:pPr>
        <w:spacing w:after="0" w:line="240" w:lineRule="auto"/>
      </w:pPr>
      <w:r>
        <w:separator/>
      </w:r>
    </w:p>
  </w:endnote>
  <w:endnote w:type="continuationSeparator" w:id="0">
    <w:p w:rsidR="00861869" w:rsidRDefault="00861869" w:rsidP="00B62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869" w:rsidRDefault="00861869" w:rsidP="00B621F9">
      <w:pPr>
        <w:spacing w:after="0" w:line="240" w:lineRule="auto"/>
      </w:pPr>
      <w:r>
        <w:separator/>
      </w:r>
    </w:p>
  </w:footnote>
  <w:footnote w:type="continuationSeparator" w:id="0">
    <w:p w:rsidR="00861869" w:rsidRDefault="00861869" w:rsidP="00B621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1F9" w:rsidRDefault="00B621F9">
    <w:pPr>
      <w:pStyle w:val="Nagwek"/>
    </w:pPr>
    <w:r w:rsidRPr="00B621F9">
      <w:rPr>
        <w:noProof/>
        <w:lang w:eastAsia="pl-PL"/>
      </w:rPr>
      <w:drawing>
        <wp:inline distT="0" distB="0" distL="0" distR="0">
          <wp:extent cx="5486400" cy="495300"/>
          <wp:effectExtent l="0" t="0" r="0" b="0"/>
          <wp:docPr id="1191781477" name="Obraz 1191781477" descr="Fundusze Europejskie dla Nowoczesnej Gospodarki; Rzeczpospolita Polska; Dofinansowane przez Unię Ueropejską. PARP,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_nowoczesna_gospodarka_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0267" cy="500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D8F"/>
    <w:multiLevelType w:val="multilevel"/>
    <w:tmpl w:val="654E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A00F68"/>
    <w:multiLevelType w:val="multilevel"/>
    <w:tmpl w:val="69AA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197EDF"/>
    <w:multiLevelType w:val="multilevel"/>
    <w:tmpl w:val="E6D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57602A"/>
    <w:multiLevelType w:val="multilevel"/>
    <w:tmpl w:val="E7309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D3579A"/>
    <w:multiLevelType w:val="multilevel"/>
    <w:tmpl w:val="DEFCF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676D15"/>
    <w:multiLevelType w:val="multilevel"/>
    <w:tmpl w:val="0046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2C614F"/>
    <w:multiLevelType w:val="multilevel"/>
    <w:tmpl w:val="B1B8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734A23"/>
    <w:multiLevelType w:val="multilevel"/>
    <w:tmpl w:val="AF68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E816AF"/>
    <w:multiLevelType w:val="multilevel"/>
    <w:tmpl w:val="FA24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A241F9"/>
    <w:multiLevelType w:val="multilevel"/>
    <w:tmpl w:val="6DF85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CE04DB"/>
    <w:multiLevelType w:val="multilevel"/>
    <w:tmpl w:val="D8D8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6333A3"/>
    <w:multiLevelType w:val="multilevel"/>
    <w:tmpl w:val="76F64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DC0726"/>
    <w:multiLevelType w:val="multilevel"/>
    <w:tmpl w:val="F670E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CFD0847"/>
    <w:multiLevelType w:val="multilevel"/>
    <w:tmpl w:val="710E9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745C8D"/>
    <w:multiLevelType w:val="multilevel"/>
    <w:tmpl w:val="8986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89483B"/>
    <w:multiLevelType w:val="multilevel"/>
    <w:tmpl w:val="7B8C4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5B389F"/>
    <w:multiLevelType w:val="multilevel"/>
    <w:tmpl w:val="F934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F013C3"/>
    <w:multiLevelType w:val="multilevel"/>
    <w:tmpl w:val="B24EC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EB68FB"/>
    <w:multiLevelType w:val="multilevel"/>
    <w:tmpl w:val="831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A43B67"/>
    <w:multiLevelType w:val="multilevel"/>
    <w:tmpl w:val="60DC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C4347D6"/>
    <w:multiLevelType w:val="multilevel"/>
    <w:tmpl w:val="2CFAF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476057"/>
    <w:multiLevelType w:val="multilevel"/>
    <w:tmpl w:val="4EB6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771709"/>
    <w:multiLevelType w:val="multilevel"/>
    <w:tmpl w:val="E500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9603AB"/>
    <w:multiLevelType w:val="multilevel"/>
    <w:tmpl w:val="EA30A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C07782"/>
    <w:multiLevelType w:val="multilevel"/>
    <w:tmpl w:val="215E7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550879"/>
    <w:multiLevelType w:val="multilevel"/>
    <w:tmpl w:val="678CD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AA4A7C"/>
    <w:multiLevelType w:val="multilevel"/>
    <w:tmpl w:val="5B64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831943"/>
    <w:multiLevelType w:val="multilevel"/>
    <w:tmpl w:val="ACFE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AA31E10"/>
    <w:multiLevelType w:val="multilevel"/>
    <w:tmpl w:val="21F0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4A5BD1"/>
    <w:multiLevelType w:val="multilevel"/>
    <w:tmpl w:val="392E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E0A09CE"/>
    <w:multiLevelType w:val="multilevel"/>
    <w:tmpl w:val="AC62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8"/>
  </w:num>
  <w:num w:numId="3">
    <w:abstractNumId w:val="4"/>
  </w:num>
  <w:num w:numId="4">
    <w:abstractNumId w:val="5"/>
  </w:num>
  <w:num w:numId="5">
    <w:abstractNumId w:val="1"/>
  </w:num>
  <w:num w:numId="6">
    <w:abstractNumId w:val="20"/>
  </w:num>
  <w:num w:numId="7">
    <w:abstractNumId w:val="0"/>
  </w:num>
  <w:num w:numId="8">
    <w:abstractNumId w:val="27"/>
  </w:num>
  <w:num w:numId="9">
    <w:abstractNumId w:val="3"/>
  </w:num>
  <w:num w:numId="10">
    <w:abstractNumId w:val="15"/>
  </w:num>
  <w:num w:numId="11">
    <w:abstractNumId w:val="14"/>
  </w:num>
  <w:num w:numId="12">
    <w:abstractNumId w:val="13"/>
  </w:num>
  <w:num w:numId="13">
    <w:abstractNumId w:val="2"/>
  </w:num>
  <w:num w:numId="14">
    <w:abstractNumId w:val="26"/>
  </w:num>
  <w:num w:numId="15">
    <w:abstractNumId w:val="21"/>
  </w:num>
  <w:num w:numId="16">
    <w:abstractNumId w:val="17"/>
  </w:num>
  <w:num w:numId="17">
    <w:abstractNumId w:val="11"/>
  </w:num>
  <w:num w:numId="18">
    <w:abstractNumId w:val="23"/>
  </w:num>
  <w:num w:numId="19">
    <w:abstractNumId w:val="10"/>
  </w:num>
  <w:num w:numId="20">
    <w:abstractNumId w:val="18"/>
  </w:num>
  <w:num w:numId="21">
    <w:abstractNumId w:val="16"/>
  </w:num>
  <w:num w:numId="22">
    <w:abstractNumId w:val="19"/>
  </w:num>
  <w:num w:numId="23">
    <w:abstractNumId w:val="7"/>
  </w:num>
  <w:num w:numId="24">
    <w:abstractNumId w:val="25"/>
  </w:num>
  <w:num w:numId="25">
    <w:abstractNumId w:val="8"/>
  </w:num>
  <w:num w:numId="26">
    <w:abstractNumId w:val="6"/>
  </w:num>
  <w:num w:numId="27">
    <w:abstractNumId w:val="29"/>
  </w:num>
  <w:num w:numId="28">
    <w:abstractNumId w:val="24"/>
  </w:num>
  <w:num w:numId="29">
    <w:abstractNumId w:val="12"/>
  </w:num>
  <w:num w:numId="30">
    <w:abstractNumId w:val="22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61E"/>
    <w:rsid w:val="0000696B"/>
    <w:rsid w:val="00042BE0"/>
    <w:rsid w:val="00044789"/>
    <w:rsid w:val="0008261E"/>
    <w:rsid w:val="000B0C4E"/>
    <w:rsid w:val="00135FE0"/>
    <w:rsid w:val="00183D10"/>
    <w:rsid w:val="003028D6"/>
    <w:rsid w:val="003D6938"/>
    <w:rsid w:val="003E3CCB"/>
    <w:rsid w:val="0040153B"/>
    <w:rsid w:val="004A788B"/>
    <w:rsid w:val="00570D66"/>
    <w:rsid w:val="00595C90"/>
    <w:rsid w:val="006A69AC"/>
    <w:rsid w:val="006D0FBD"/>
    <w:rsid w:val="006D76F2"/>
    <w:rsid w:val="00856786"/>
    <w:rsid w:val="00861869"/>
    <w:rsid w:val="00877E15"/>
    <w:rsid w:val="00882B2F"/>
    <w:rsid w:val="008F0263"/>
    <w:rsid w:val="00942E7C"/>
    <w:rsid w:val="009E38BE"/>
    <w:rsid w:val="00A846BA"/>
    <w:rsid w:val="00AB66F3"/>
    <w:rsid w:val="00B621F9"/>
    <w:rsid w:val="00BB369F"/>
    <w:rsid w:val="00C253B3"/>
    <w:rsid w:val="00C50B55"/>
    <w:rsid w:val="00C56425"/>
    <w:rsid w:val="00CD5D69"/>
    <w:rsid w:val="00CE4E4E"/>
    <w:rsid w:val="00D67F1B"/>
    <w:rsid w:val="00DE139C"/>
    <w:rsid w:val="00EE45E3"/>
    <w:rsid w:val="00FA2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6F2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69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link w:val="Nagwek4Znak"/>
    <w:uiPriority w:val="9"/>
    <w:qFormat/>
    <w:rsid w:val="00DE13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DE139C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E139C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E13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62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621F9"/>
  </w:style>
  <w:style w:type="paragraph" w:styleId="Stopka">
    <w:name w:val="footer"/>
    <w:basedOn w:val="Normalny"/>
    <w:link w:val="StopkaZnak"/>
    <w:uiPriority w:val="99"/>
    <w:semiHidden/>
    <w:unhideWhenUsed/>
    <w:rsid w:val="00B62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621F9"/>
  </w:style>
  <w:style w:type="paragraph" w:styleId="Tekstdymka">
    <w:name w:val="Balloon Text"/>
    <w:basedOn w:val="Normalny"/>
    <w:link w:val="TekstdymkaZnak"/>
    <w:uiPriority w:val="99"/>
    <w:semiHidden/>
    <w:unhideWhenUsed/>
    <w:rsid w:val="00B62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1F9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696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wydatnienie">
    <w:name w:val="Emphasis"/>
    <w:basedOn w:val="Domylnaczcionkaakapitu"/>
    <w:uiPriority w:val="20"/>
    <w:qFormat/>
    <w:rsid w:val="0000696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1525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 grzeszczak</dc:creator>
  <cp:lastModifiedBy>arek grzeszczak</cp:lastModifiedBy>
  <cp:revision>9</cp:revision>
  <dcterms:created xsi:type="dcterms:W3CDTF">2024-12-02T19:08:00Z</dcterms:created>
  <dcterms:modified xsi:type="dcterms:W3CDTF">2025-06-16T18:28:00Z</dcterms:modified>
</cp:coreProperties>
</file>