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17A" w:rsidRPr="00710424" w:rsidRDefault="002E017A" w:rsidP="00B90F08">
      <w:pPr>
        <w:pStyle w:val="Nagwek2"/>
      </w:pPr>
      <w:r w:rsidRPr="00710424">
        <w:t>Wytyczne na wykonanie sieci cieplnych preizolowanych</w:t>
      </w:r>
      <w:r w:rsidR="00980326">
        <w:t xml:space="preserve"> </w:t>
      </w:r>
      <w:r w:rsidRPr="00710424">
        <w:t>SCE Jaworzno</w:t>
      </w:r>
      <w:r w:rsidR="000564A5">
        <w:t> </w:t>
      </w:r>
      <w:r w:rsidRPr="00710424">
        <w:t>III</w:t>
      </w:r>
      <w:r w:rsidR="000564A5">
        <w:t> </w:t>
      </w:r>
      <w:r w:rsidRPr="00710424">
        <w:t>Sp. z o.o.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Zadanie należy wykonać zgodnie z: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ind w:left="357" w:hanging="357"/>
        <w:rPr>
          <w:rFonts w:cs="Arial"/>
          <w:szCs w:val="24"/>
        </w:rPr>
      </w:pPr>
      <w:r w:rsidRPr="00710424">
        <w:rPr>
          <w:rFonts w:cs="Arial"/>
          <w:szCs w:val="24"/>
        </w:rPr>
        <w:t>Projektem</w:t>
      </w:r>
      <w:r w:rsidR="004F4EF5" w:rsidRPr="00710424">
        <w:rPr>
          <w:rFonts w:cs="Arial"/>
          <w:szCs w:val="24"/>
        </w:rPr>
        <w:t xml:space="preserve"> Technicznym</w:t>
      </w:r>
      <w:r w:rsidRPr="00710424">
        <w:rPr>
          <w:rFonts w:cs="Arial"/>
          <w:szCs w:val="24"/>
        </w:rPr>
        <w:t xml:space="preserve"> sieci uwzględniając zawarte w nim: uzgodnienia z</w:t>
      </w:r>
      <w:r w:rsidR="004F4EF5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Narady Koordynacyjnej, warunki w Decyzjach, wymagania właśc</w:t>
      </w:r>
      <w:r w:rsidR="0036415D" w:rsidRPr="00710424">
        <w:rPr>
          <w:rFonts w:cs="Arial"/>
          <w:szCs w:val="24"/>
        </w:rPr>
        <w:t>icieli terenu</w:t>
      </w:r>
      <w:r w:rsidR="004F4EF5" w:rsidRPr="00710424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i</w:t>
      </w:r>
      <w:r w:rsidR="004F4EF5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uzbrojenia, itd.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ind w:left="426"/>
        <w:rPr>
          <w:rFonts w:cs="Arial"/>
          <w:szCs w:val="24"/>
        </w:rPr>
      </w:pPr>
      <w:r w:rsidRPr="00710424">
        <w:rPr>
          <w:rFonts w:cs="Arial"/>
          <w:szCs w:val="24"/>
        </w:rPr>
        <w:t>Pozwoleniem na budowę (zgłoszeniem zamiaru budowy)</w:t>
      </w:r>
      <w:r w:rsidR="009148D4"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ind w:left="426"/>
        <w:rPr>
          <w:rFonts w:cs="Arial"/>
          <w:szCs w:val="24"/>
        </w:rPr>
      </w:pPr>
      <w:r w:rsidRPr="00710424">
        <w:rPr>
          <w:rFonts w:cs="Arial"/>
          <w:szCs w:val="24"/>
        </w:rPr>
        <w:t>Projektami organizacji ruchu kołowego i pieszego na czas realizacji robót - uzgodnionymi i</w:t>
      </w:r>
      <w:r w:rsidR="004F4EF5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zatwierdzonymi przez zarządcę drogi. 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ind w:left="357" w:hanging="357"/>
        <w:rPr>
          <w:rFonts w:cs="Arial"/>
          <w:szCs w:val="24"/>
        </w:rPr>
      </w:pPr>
      <w:r w:rsidRPr="00710424">
        <w:rPr>
          <w:rFonts w:cs="Arial"/>
          <w:szCs w:val="24"/>
        </w:rPr>
        <w:t>Sporządzonym przez kierownika budowy planem B</w:t>
      </w:r>
      <w:r w:rsidR="002F51DE">
        <w:rPr>
          <w:rFonts w:cs="Arial"/>
          <w:szCs w:val="24"/>
        </w:rPr>
        <w:t>ezpieczeństwa i </w:t>
      </w:r>
      <w:r w:rsidRPr="00710424">
        <w:rPr>
          <w:rFonts w:cs="Arial"/>
          <w:szCs w:val="24"/>
        </w:rPr>
        <w:t>O</w:t>
      </w:r>
      <w:r w:rsidR="002F51DE">
        <w:rPr>
          <w:rFonts w:cs="Arial"/>
          <w:szCs w:val="24"/>
        </w:rPr>
        <w:t xml:space="preserve">chrony </w:t>
      </w:r>
      <w:r w:rsidRPr="00710424">
        <w:rPr>
          <w:rFonts w:cs="Arial"/>
          <w:szCs w:val="24"/>
        </w:rPr>
        <w:t>Z</w:t>
      </w:r>
      <w:r w:rsidR="002F51DE">
        <w:rPr>
          <w:rFonts w:cs="Arial"/>
          <w:szCs w:val="24"/>
        </w:rPr>
        <w:t>drowia (w skrócie BIOZ)</w:t>
      </w:r>
      <w:r w:rsidRPr="00710424">
        <w:rPr>
          <w:rFonts w:cs="Arial"/>
          <w:szCs w:val="24"/>
        </w:rPr>
        <w:t>. Kierownik budowy sporządza plan BIOZ zgodnie z</w:t>
      </w:r>
      <w:r w:rsidR="002F51DE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warunkami (wytycznymi), zamieszczonymi w</w:t>
      </w:r>
      <w:r w:rsid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Projekcie </w:t>
      </w:r>
      <w:r w:rsidR="004F4EF5" w:rsidRPr="00710424">
        <w:rPr>
          <w:rFonts w:cs="Arial"/>
          <w:szCs w:val="24"/>
        </w:rPr>
        <w:t>Technicznym</w:t>
      </w:r>
      <w:r w:rsidRPr="00710424">
        <w:rPr>
          <w:rFonts w:cs="Arial"/>
          <w:szCs w:val="24"/>
        </w:rPr>
        <w:t xml:space="preserve"> sieci.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Formalności związane z wejściem w teren działe</w:t>
      </w:r>
      <w:r w:rsidR="00C76E98" w:rsidRPr="00710424">
        <w:t>k G</w:t>
      </w:r>
      <w:r w:rsidR="0036415D" w:rsidRPr="00710424">
        <w:t>minnych i Skarbu Państwa</w:t>
      </w:r>
      <w:r w:rsidR="004F4EF5" w:rsidRPr="00710424">
        <w:t xml:space="preserve"> </w:t>
      </w:r>
      <w:r w:rsidR="0036415D" w:rsidRPr="00710424">
        <w:t>nie</w:t>
      </w:r>
      <w:r w:rsidR="004F4EF5" w:rsidRPr="00710424">
        <w:t> </w:t>
      </w:r>
      <w:r w:rsidRPr="00710424">
        <w:t>będących drogami.</w:t>
      </w:r>
    </w:p>
    <w:p w:rsidR="00E440D6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Wykonawca przed przystąpieniem do wykonywania prac na terenie </w:t>
      </w:r>
      <w:r w:rsidR="00C76E98" w:rsidRPr="00710424">
        <w:rPr>
          <w:rFonts w:cs="Arial"/>
          <w:szCs w:val="24"/>
        </w:rPr>
        <w:t>dział</w:t>
      </w:r>
      <w:r w:rsidR="00E440D6" w:rsidRPr="00710424">
        <w:rPr>
          <w:rFonts w:cs="Arial"/>
          <w:szCs w:val="24"/>
        </w:rPr>
        <w:t>ek</w:t>
      </w:r>
      <w:r w:rsidR="00C76E98" w:rsidRPr="00710424">
        <w:rPr>
          <w:rFonts w:cs="Arial"/>
          <w:szCs w:val="24"/>
        </w:rPr>
        <w:t xml:space="preserve"> Gminn</w:t>
      </w:r>
      <w:r w:rsidR="00E440D6" w:rsidRPr="00710424">
        <w:rPr>
          <w:rFonts w:cs="Arial"/>
          <w:szCs w:val="24"/>
        </w:rPr>
        <w:t>ych i Skarbu Państwa zgłasza Inwestorowi zamiar rozpoczęcia prac z 7-dniowym wyprzedzeniem</w:t>
      </w:r>
      <w:r w:rsidR="00681486" w:rsidRPr="00710424">
        <w:rPr>
          <w:rFonts w:cs="Arial"/>
          <w:szCs w:val="24"/>
        </w:rPr>
        <w:t xml:space="preserve"> oraz</w:t>
      </w:r>
      <w:r w:rsidR="004F4EF5" w:rsidRPr="00710424">
        <w:rPr>
          <w:rFonts w:cs="Arial"/>
          <w:szCs w:val="24"/>
        </w:rPr>
        <w:t> </w:t>
      </w:r>
      <w:r w:rsidR="00681486" w:rsidRPr="00710424">
        <w:rPr>
          <w:rFonts w:cs="Arial"/>
          <w:szCs w:val="24"/>
        </w:rPr>
        <w:t>przygotowuje odpowiednie wnioski i przedstawia do</w:t>
      </w:r>
      <w:r w:rsidR="00305725">
        <w:rPr>
          <w:rFonts w:cs="Arial"/>
          <w:szCs w:val="24"/>
        </w:rPr>
        <w:t> </w:t>
      </w:r>
      <w:r w:rsidR="00681486" w:rsidRPr="00710424">
        <w:rPr>
          <w:rFonts w:cs="Arial"/>
          <w:szCs w:val="24"/>
        </w:rPr>
        <w:t>akceptacji przedstawicielowi S</w:t>
      </w:r>
      <w:r w:rsidR="00980326">
        <w:rPr>
          <w:rFonts w:cs="Arial"/>
          <w:szCs w:val="24"/>
        </w:rPr>
        <w:t xml:space="preserve">półki </w:t>
      </w:r>
      <w:r w:rsidR="00681486" w:rsidRPr="00710424">
        <w:rPr>
          <w:rFonts w:cs="Arial"/>
          <w:szCs w:val="24"/>
        </w:rPr>
        <w:t>C</w:t>
      </w:r>
      <w:r w:rsidR="00980326">
        <w:rPr>
          <w:rFonts w:cs="Arial"/>
          <w:szCs w:val="24"/>
        </w:rPr>
        <w:t>iepłowniczo-</w:t>
      </w:r>
      <w:r w:rsidR="00681486" w:rsidRPr="00710424">
        <w:rPr>
          <w:rFonts w:cs="Arial"/>
          <w:szCs w:val="24"/>
        </w:rPr>
        <w:t>E</w:t>
      </w:r>
      <w:r w:rsidR="00980326">
        <w:rPr>
          <w:rFonts w:cs="Arial"/>
          <w:szCs w:val="24"/>
        </w:rPr>
        <w:t>nergetycznej (w skrócie SCE)</w:t>
      </w:r>
      <w:r w:rsidR="004F4EF5" w:rsidRPr="00710424">
        <w:rPr>
          <w:rFonts w:cs="Arial"/>
          <w:szCs w:val="24"/>
        </w:rPr>
        <w:t>,</w:t>
      </w:r>
      <w:r w:rsidR="00681486" w:rsidRPr="00710424">
        <w:rPr>
          <w:rFonts w:cs="Arial"/>
          <w:szCs w:val="24"/>
        </w:rPr>
        <w:t xml:space="preserve"> </w:t>
      </w:r>
      <w:r w:rsidR="00E440D6" w:rsidRPr="00710424">
        <w:rPr>
          <w:rFonts w:cs="Arial"/>
          <w:szCs w:val="24"/>
        </w:rPr>
        <w:t>aby umożliwić załatwienie formalności zawiązanych z przekazaniem terenu. Jeśli</w:t>
      </w:r>
      <w:r w:rsidR="00980326">
        <w:rPr>
          <w:rFonts w:cs="Arial"/>
          <w:szCs w:val="24"/>
        </w:rPr>
        <w:t> </w:t>
      </w:r>
      <w:r w:rsidR="00E440D6" w:rsidRPr="00710424">
        <w:rPr>
          <w:rFonts w:cs="Arial"/>
          <w:szCs w:val="24"/>
        </w:rPr>
        <w:t>zadanie wymaga zawiadomienia o</w:t>
      </w:r>
      <w:r w:rsidR="00305725">
        <w:rPr>
          <w:rFonts w:cs="Arial"/>
          <w:szCs w:val="24"/>
        </w:rPr>
        <w:t> </w:t>
      </w:r>
      <w:r w:rsidR="00E440D6" w:rsidRPr="00710424">
        <w:rPr>
          <w:rFonts w:cs="Arial"/>
          <w:szCs w:val="24"/>
        </w:rPr>
        <w:t>rozpoczęciu budowy w P</w:t>
      </w:r>
      <w:r w:rsidR="00CB666C">
        <w:rPr>
          <w:rFonts w:cs="Arial"/>
          <w:szCs w:val="24"/>
        </w:rPr>
        <w:t xml:space="preserve">owiatowym </w:t>
      </w:r>
      <w:r w:rsidR="00E440D6" w:rsidRPr="00710424">
        <w:rPr>
          <w:rFonts w:cs="Arial"/>
          <w:szCs w:val="24"/>
        </w:rPr>
        <w:t>I</w:t>
      </w:r>
      <w:r w:rsidR="00CB666C">
        <w:rPr>
          <w:rFonts w:cs="Arial"/>
          <w:szCs w:val="24"/>
        </w:rPr>
        <w:t xml:space="preserve">nspektoracie </w:t>
      </w:r>
      <w:r w:rsidR="00E440D6" w:rsidRPr="00710424">
        <w:rPr>
          <w:rFonts w:cs="Arial"/>
          <w:szCs w:val="24"/>
        </w:rPr>
        <w:t>N</w:t>
      </w:r>
      <w:r w:rsidR="00CB666C">
        <w:rPr>
          <w:rFonts w:cs="Arial"/>
          <w:szCs w:val="24"/>
        </w:rPr>
        <w:t xml:space="preserve">adzoru </w:t>
      </w:r>
      <w:r w:rsidR="00E440D6" w:rsidRPr="00710424">
        <w:rPr>
          <w:rFonts w:cs="Arial"/>
          <w:szCs w:val="24"/>
        </w:rPr>
        <w:t>B</w:t>
      </w:r>
      <w:r w:rsidR="00CB666C">
        <w:rPr>
          <w:rFonts w:cs="Arial"/>
          <w:szCs w:val="24"/>
        </w:rPr>
        <w:t>udowlanego (w skrócie PINB)</w:t>
      </w:r>
      <w:r w:rsidR="00E440D6" w:rsidRPr="00710424">
        <w:rPr>
          <w:rFonts w:cs="Arial"/>
          <w:szCs w:val="24"/>
        </w:rPr>
        <w:t xml:space="preserve"> wykonawca zgłasza Inwestorowi zamiar rozpoczęcia prac po tym zgłoszeniu.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Formalności związane z wejśc</w:t>
      </w:r>
      <w:r w:rsidR="00C46623" w:rsidRPr="00710424">
        <w:t>iem w teren działek innych niż G</w:t>
      </w:r>
      <w:r w:rsidRPr="00710424">
        <w:t>minne i</w:t>
      </w:r>
      <w:r w:rsidR="00305725">
        <w:t> </w:t>
      </w:r>
      <w:r w:rsidRPr="00710424">
        <w:t>Skarbu Państwa.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Wykonawca przed przystąpieniem do wykonywania prac na terenie działek nie</w:t>
      </w:r>
      <w:r w:rsidR="00FE1458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będących własnością Gminy lub Skarbu Państwa zgłasza Inwestorowi zamiar rozpoczęcia prac</w:t>
      </w:r>
      <w:r w:rsidR="004F4EF5" w:rsidRPr="00710424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z</w:t>
      </w:r>
      <w:r w:rsidR="004F4EF5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7-dniowym wyprzedzeniem </w:t>
      </w:r>
      <w:r w:rsidR="00681486" w:rsidRPr="00710424">
        <w:rPr>
          <w:rFonts w:cs="Arial"/>
          <w:szCs w:val="24"/>
        </w:rPr>
        <w:t>oraz przygotowuje odpowiednie wnioski i przedstawia do</w:t>
      </w:r>
      <w:r w:rsidR="004F4EF5" w:rsidRPr="00710424">
        <w:rPr>
          <w:rFonts w:cs="Arial"/>
          <w:szCs w:val="24"/>
        </w:rPr>
        <w:t> </w:t>
      </w:r>
      <w:r w:rsidR="00681486" w:rsidRPr="00710424">
        <w:rPr>
          <w:rFonts w:cs="Arial"/>
          <w:szCs w:val="24"/>
        </w:rPr>
        <w:t>akceptacji przedstawicielowi SCE</w:t>
      </w:r>
      <w:r w:rsidR="00FE1458">
        <w:rPr>
          <w:rFonts w:cs="Arial"/>
          <w:szCs w:val="24"/>
        </w:rPr>
        <w:t>,</w:t>
      </w:r>
      <w:r w:rsidR="00681486" w:rsidRPr="00710424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aby umożliwić załatwienie formalności związanych z</w:t>
      </w:r>
      <w:r w:rsidR="004F4EF5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przekazaniem terenu. Jeśli zadanie</w:t>
      </w:r>
      <w:r w:rsidR="0036415D" w:rsidRPr="00710424">
        <w:rPr>
          <w:rFonts w:cs="Arial"/>
          <w:szCs w:val="24"/>
        </w:rPr>
        <w:t xml:space="preserve"> wymaga zawiadomienia </w:t>
      </w:r>
      <w:r w:rsidRPr="00710424">
        <w:rPr>
          <w:rFonts w:cs="Arial"/>
          <w:szCs w:val="24"/>
        </w:rPr>
        <w:t>o rozpoczęciu budowy w PINB wykonawca zgłasza Inwestorowi zamiar rozpoczęcia prac po tym zgłoszeniu.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Wykonawca przejmuje teren działki od właściciela, a przedstawiciel SCE uczestniczy w tym przekazaniu. Fakt przejęcia terenu działki kierownik budowy odnotowuje w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Dzienniku Budowy, a przedstawiciel SCE potwierdza to swoim podpisem.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Formalności związane z wejściem w pas drogi</w:t>
      </w:r>
      <w:r w:rsidR="00681486" w:rsidRPr="00710424">
        <w:t xml:space="preserve"> </w:t>
      </w:r>
      <w:r w:rsidR="003D2B8D">
        <w:t>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Wykonawca występuje z wnioskiem do zarządcy drogi samodzielnie przedkładając: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rPr>
          <w:rFonts w:cs="Arial"/>
          <w:b/>
          <w:szCs w:val="24"/>
        </w:rPr>
      </w:pPr>
      <w:r w:rsidRPr="00710424">
        <w:rPr>
          <w:rFonts w:cs="Arial"/>
          <w:szCs w:val="24"/>
        </w:rPr>
        <w:t>Kserokopię Decyzji wyrażającej zgodę na wejście w pas drogi - wydanej dla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SCE,</w:t>
      </w:r>
    </w:p>
    <w:p w:rsidR="002E017A" w:rsidRPr="00710424" w:rsidRDefault="002E017A" w:rsidP="00305725">
      <w:pPr>
        <w:numPr>
          <w:ilvl w:val="0"/>
          <w:numId w:val="3"/>
        </w:numPr>
        <w:spacing w:after="0"/>
        <w:rPr>
          <w:rFonts w:cs="Arial"/>
          <w:b/>
          <w:szCs w:val="24"/>
        </w:rPr>
      </w:pPr>
      <w:r w:rsidRPr="00710424">
        <w:rPr>
          <w:rFonts w:cs="Arial"/>
          <w:szCs w:val="24"/>
        </w:rPr>
        <w:t>Upoważnienie do załatwienia formalności związanych z wejściem, którego Wykonawcy udzieli SCE Jaworzno III.</w:t>
      </w:r>
    </w:p>
    <w:p w:rsidR="002E017A" w:rsidRPr="003D2B8D" w:rsidRDefault="002E017A" w:rsidP="00305725">
      <w:pPr>
        <w:ind w:left="360"/>
        <w:rPr>
          <w:rFonts w:cs="Arial"/>
          <w:b/>
          <w:bCs/>
          <w:szCs w:val="24"/>
        </w:rPr>
      </w:pPr>
      <w:r w:rsidRPr="003D2B8D">
        <w:rPr>
          <w:rFonts w:cs="Arial"/>
          <w:b/>
          <w:bCs/>
          <w:szCs w:val="24"/>
        </w:rPr>
        <w:t>Wykonawca przed przystąpieniem do prac w pasie drogowym wykonuje na</w:t>
      </w:r>
      <w:r w:rsidR="003D2B8D">
        <w:rPr>
          <w:rFonts w:cs="Arial"/>
          <w:b/>
          <w:bCs/>
          <w:szCs w:val="24"/>
        </w:rPr>
        <w:t> </w:t>
      </w:r>
      <w:r w:rsidRPr="003D2B8D">
        <w:rPr>
          <w:rFonts w:cs="Arial"/>
          <w:b/>
          <w:bCs/>
          <w:szCs w:val="24"/>
        </w:rPr>
        <w:t>swój koszt Projekt Organizacji Ruchu i uzgadnia go z zarządcą drogi.</w:t>
      </w:r>
    </w:p>
    <w:p w:rsidR="002E017A" w:rsidRPr="00710424" w:rsidRDefault="002E017A" w:rsidP="00305725">
      <w:pPr>
        <w:ind w:left="360"/>
        <w:rPr>
          <w:rFonts w:cs="Arial"/>
          <w:szCs w:val="24"/>
        </w:rPr>
      </w:pPr>
      <w:r w:rsidRPr="00710424">
        <w:rPr>
          <w:rFonts w:cs="Arial"/>
          <w:szCs w:val="24"/>
        </w:rPr>
        <w:t>Wykonawca ponosi wszelkie koszty związane z wykonywaniem prac w pasie drogowym.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Prace wykonywane w pasie drogi</w:t>
      </w:r>
      <w:r w:rsidR="003D2B8D">
        <w:t>.</w:t>
      </w:r>
    </w:p>
    <w:p w:rsidR="002E017A" w:rsidRPr="00710424" w:rsidRDefault="002E017A" w:rsidP="00305725">
      <w:pPr>
        <w:numPr>
          <w:ilvl w:val="0"/>
          <w:numId w:val="10"/>
        </w:numPr>
        <w:tabs>
          <w:tab w:val="clear" w:pos="360"/>
          <w:tab w:val="num" w:pos="644"/>
        </w:tabs>
        <w:spacing w:after="0"/>
        <w:ind w:left="644"/>
        <w:rPr>
          <w:rFonts w:cs="Arial"/>
          <w:szCs w:val="24"/>
        </w:rPr>
      </w:pPr>
      <w:r w:rsidRPr="00710424">
        <w:rPr>
          <w:rFonts w:cs="Arial"/>
          <w:szCs w:val="24"/>
        </w:rPr>
        <w:t>Zajęcie pasa drogi i wykonywanie prac musi być zgodne z opracowanymi "Projektami Organizacji Ruchu na czas prowadzenia robót" i postanowieniami zarządcy drogi.</w:t>
      </w:r>
    </w:p>
    <w:p w:rsidR="0099189F" w:rsidRPr="00710424" w:rsidRDefault="002E017A" w:rsidP="00305725">
      <w:pPr>
        <w:numPr>
          <w:ilvl w:val="0"/>
          <w:numId w:val="10"/>
        </w:numPr>
        <w:tabs>
          <w:tab w:val="clear" w:pos="360"/>
          <w:tab w:val="num" w:pos="644"/>
        </w:tabs>
        <w:spacing w:after="0"/>
        <w:ind w:left="644"/>
        <w:rPr>
          <w:rFonts w:cs="Arial"/>
          <w:szCs w:val="24"/>
        </w:rPr>
      </w:pPr>
      <w:r w:rsidRPr="00710424">
        <w:rPr>
          <w:rFonts w:cs="Arial"/>
          <w:szCs w:val="24"/>
        </w:rPr>
        <w:t>Należy zapewnić dojście do posesji i dla ruchu pieszego (co najmniej jedną stroną) również z użyciem kładek dla pieszych.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Wymagania dodatkowe:</w:t>
      </w:r>
    </w:p>
    <w:p w:rsidR="002E017A" w:rsidRPr="00710424" w:rsidRDefault="002E017A" w:rsidP="00305725">
      <w:pPr>
        <w:numPr>
          <w:ilvl w:val="0"/>
          <w:numId w:val="4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Wszelkie zmiany w stosunku do dokumentacji projektowej w trakcie wykonywania zadania muszą uzyskać zgodę projektanta, co</w:t>
      </w:r>
      <w:r w:rsidR="0036415D" w:rsidRPr="00710424">
        <w:rPr>
          <w:rFonts w:cs="Arial"/>
          <w:szCs w:val="24"/>
        </w:rPr>
        <w:t xml:space="preserve"> </w:t>
      </w:r>
      <w:r w:rsidR="00802DD3" w:rsidRPr="00710424">
        <w:rPr>
          <w:rFonts w:cs="Arial"/>
          <w:szCs w:val="24"/>
        </w:rPr>
        <w:t xml:space="preserve">musi być </w:t>
      </w:r>
      <w:r w:rsidR="0036415D" w:rsidRPr="00710424">
        <w:rPr>
          <w:rFonts w:cs="Arial"/>
          <w:szCs w:val="24"/>
        </w:rPr>
        <w:t xml:space="preserve">potwierdzone wpisem </w:t>
      </w:r>
      <w:r w:rsidRPr="00710424">
        <w:rPr>
          <w:rFonts w:cs="Arial"/>
          <w:szCs w:val="24"/>
        </w:rPr>
        <w:t>do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Dziennika Budowy i akceptowalne przez SCE. Zmiany te muszą zostać naniesione w dokumentacji powykonawczej.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Zdemontowany złom stalowy wykonawca dostarczy na zło</w:t>
      </w:r>
      <w:r w:rsidR="0036415D" w:rsidRPr="00710424">
        <w:rPr>
          <w:rFonts w:cs="Arial"/>
          <w:szCs w:val="24"/>
        </w:rPr>
        <w:t>mowisko a środki uzyskane</w:t>
      </w:r>
      <w:r w:rsidR="00305725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ze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sprzedaży złomu są należne SCE. W pracach inwentaryzacji i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sprzedaży złomu uczestniczy przedstawiciel SCE.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Wykopy należy wykonywać z odwozem ziemi (gruzu, asfaltu). Niedopuszczalne jest wykonywanie wykopów na odkład w drogach, ciągach pieszych i miejscach szczególnego natężenia ruchu. W pozostałych przypadkach dopuszcza się</w:t>
      </w:r>
      <w:r w:rsidR="00305725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wykonywanie wykopów</w:t>
      </w:r>
      <w:r w:rsidR="00305725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na</w:t>
      </w:r>
      <w:r w:rsidR="00305725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odkład z zachowaniem odległości 2</w:t>
      </w:r>
      <w:r w:rsidR="003D2B8D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metrów z</w:t>
      </w:r>
      <w:r w:rsidR="003D2B8D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każdej strony wykopu. Za miejsce składowania płaci Wykonawca.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Prace w drogach muszą być wykonywane zgodnie z wymogami zarządcy drogi.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Montaż muf musi być wykonany przez pracownika, który ukończył odpowiednie szkolenie w tym zakresie.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Aby ograniczyć do minimum utrudnienia ruchu pieszego, należy przewidzieć zastosowanie kładek dla pieszych.</w:t>
      </w:r>
    </w:p>
    <w:p w:rsidR="002E017A" w:rsidRPr="00710424" w:rsidRDefault="002E017A" w:rsidP="00305725">
      <w:pPr>
        <w:numPr>
          <w:ilvl w:val="0"/>
          <w:numId w:val="6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Wykonawca udziela gwarancji na wykonane zadanie w rozbiciu na:</w:t>
      </w:r>
    </w:p>
    <w:p w:rsidR="002E017A" w:rsidRPr="00710424" w:rsidRDefault="002E017A" w:rsidP="00305725">
      <w:pPr>
        <w:numPr>
          <w:ilvl w:val="0"/>
          <w:numId w:val="5"/>
        </w:numPr>
        <w:tabs>
          <w:tab w:val="clear" w:pos="360"/>
          <w:tab w:val="num" w:pos="851"/>
        </w:tabs>
        <w:spacing w:after="0"/>
        <w:ind w:left="851" w:hanging="357"/>
        <w:rPr>
          <w:rFonts w:cs="Arial"/>
          <w:szCs w:val="24"/>
        </w:rPr>
      </w:pPr>
      <w:r w:rsidRPr="00710424">
        <w:rPr>
          <w:rFonts w:cs="Arial"/>
          <w:b/>
          <w:szCs w:val="24"/>
        </w:rPr>
        <w:t>Materiały</w:t>
      </w:r>
      <w:r w:rsidRPr="00710424">
        <w:rPr>
          <w:rFonts w:cs="Arial"/>
          <w:szCs w:val="24"/>
        </w:rPr>
        <w:t xml:space="preserve">. Minimalny okres to </w:t>
      </w:r>
      <w:r w:rsidR="00681486" w:rsidRPr="00710424">
        <w:rPr>
          <w:rFonts w:cs="Arial"/>
          <w:szCs w:val="24"/>
        </w:rPr>
        <w:t xml:space="preserve">60 miesięcy </w:t>
      </w:r>
      <w:r w:rsidRPr="00710424">
        <w:rPr>
          <w:rFonts w:cs="Arial"/>
          <w:szCs w:val="24"/>
        </w:rPr>
        <w:t>poczynając od daty podpisania „Protokołu odbioru końcowego”.</w:t>
      </w:r>
    </w:p>
    <w:p w:rsidR="002E017A" w:rsidRPr="00710424" w:rsidRDefault="002E017A" w:rsidP="00305725">
      <w:pPr>
        <w:numPr>
          <w:ilvl w:val="0"/>
          <w:numId w:val="5"/>
        </w:numPr>
        <w:tabs>
          <w:tab w:val="clear" w:pos="360"/>
          <w:tab w:val="num" w:pos="851"/>
        </w:tabs>
        <w:spacing w:after="0"/>
        <w:ind w:left="851" w:hanging="357"/>
        <w:rPr>
          <w:rFonts w:cs="Arial"/>
          <w:szCs w:val="24"/>
        </w:rPr>
      </w:pPr>
      <w:r w:rsidRPr="00710424">
        <w:rPr>
          <w:rFonts w:cs="Arial"/>
          <w:b/>
          <w:szCs w:val="24"/>
        </w:rPr>
        <w:t>Robociznę</w:t>
      </w:r>
      <w:r w:rsidRPr="00710424">
        <w:rPr>
          <w:rFonts w:cs="Arial"/>
          <w:szCs w:val="24"/>
        </w:rPr>
        <w:t xml:space="preserve">. Minimalny okres to </w:t>
      </w:r>
      <w:r w:rsidR="00681486" w:rsidRPr="00710424">
        <w:rPr>
          <w:rFonts w:cs="Arial"/>
          <w:szCs w:val="24"/>
        </w:rPr>
        <w:t>60 miesięcy</w:t>
      </w:r>
      <w:r w:rsidRPr="00710424">
        <w:rPr>
          <w:rFonts w:cs="Arial"/>
          <w:szCs w:val="24"/>
        </w:rPr>
        <w:t xml:space="preserve"> poczynając od daty podpisania „Protokołu odbioru końcowego”.</w:t>
      </w:r>
    </w:p>
    <w:p w:rsidR="002E017A" w:rsidRPr="00710424" w:rsidRDefault="002E017A" w:rsidP="00305725">
      <w:pPr>
        <w:numPr>
          <w:ilvl w:val="0"/>
          <w:numId w:val="5"/>
        </w:numPr>
        <w:tabs>
          <w:tab w:val="clear" w:pos="360"/>
          <w:tab w:val="num" w:pos="851"/>
        </w:tabs>
        <w:spacing w:after="0"/>
        <w:ind w:left="851" w:hanging="357"/>
        <w:rPr>
          <w:rFonts w:cs="Arial"/>
          <w:szCs w:val="24"/>
        </w:rPr>
      </w:pPr>
      <w:r w:rsidRPr="00710424">
        <w:rPr>
          <w:rFonts w:cs="Arial"/>
          <w:b/>
          <w:szCs w:val="24"/>
        </w:rPr>
        <w:t xml:space="preserve">Odtworzenie terenu. </w:t>
      </w:r>
      <w:r w:rsidRPr="00710424">
        <w:rPr>
          <w:rFonts w:cs="Arial"/>
          <w:szCs w:val="24"/>
        </w:rPr>
        <w:t>Odtworzone nawierzchnie ulic,</w:t>
      </w:r>
      <w:r w:rsidR="0036415D" w:rsidRPr="00710424">
        <w:rPr>
          <w:rFonts w:cs="Arial"/>
          <w:szCs w:val="24"/>
        </w:rPr>
        <w:t xml:space="preserve"> chodników,</w:t>
      </w:r>
      <w:r w:rsidR="002F51DE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przywrócony</w:t>
      </w:r>
      <w:r w:rsidR="002F51DE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do </w:t>
      </w:r>
      <w:r w:rsidRPr="00710424">
        <w:rPr>
          <w:rFonts w:cs="Arial"/>
          <w:szCs w:val="24"/>
        </w:rPr>
        <w:t xml:space="preserve">stanu pierwotnego teren, przejścia przez ściany budynków – zgodnie z wymogami właścicieli. Okres gwarancji </w:t>
      </w:r>
      <w:r w:rsidR="00B9444F" w:rsidRPr="00710424">
        <w:rPr>
          <w:rFonts w:cs="Arial"/>
          <w:szCs w:val="24"/>
        </w:rPr>
        <w:t xml:space="preserve">60 miesięcy </w:t>
      </w:r>
      <w:r w:rsidRPr="00710424">
        <w:rPr>
          <w:rFonts w:cs="Arial"/>
          <w:szCs w:val="24"/>
        </w:rPr>
        <w:t xml:space="preserve">od daty podpisania protokołu odbioru (pozytywnego) przez właściciela terenu. Formalności związane z odbiorem terenu załatwia Wykonawca. W odbiorze uczestniczy przedstawiciel SCE. </w:t>
      </w:r>
    </w:p>
    <w:p w:rsidR="00CD1A35" w:rsidRPr="00710424" w:rsidRDefault="00CD1A35" w:rsidP="0030572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710424">
        <w:rPr>
          <w:rFonts w:cs="Arial"/>
          <w:bCs/>
          <w:iCs/>
          <w:szCs w:val="24"/>
        </w:rPr>
        <w:t xml:space="preserve">Składowanie </w:t>
      </w:r>
      <w:r w:rsidR="00B9444F" w:rsidRPr="00710424">
        <w:rPr>
          <w:rFonts w:cs="Arial"/>
          <w:bCs/>
          <w:iCs/>
          <w:szCs w:val="24"/>
        </w:rPr>
        <w:t xml:space="preserve">materiałów preizolowanych </w:t>
      </w:r>
      <w:r w:rsidRPr="00710424">
        <w:rPr>
          <w:rFonts w:cs="Arial"/>
          <w:bCs/>
          <w:iCs/>
          <w:szCs w:val="24"/>
        </w:rPr>
        <w:t xml:space="preserve">dla realizacji </w:t>
      </w:r>
      <w:r w:rsidR="00B9444F" w:rsidRPr="00710424">
        <w:rPr>
          <w:rFonts w:cs="Arial"/>
          <w:bCs/>
          <w:iCs/>
          <w:szCs w:val="24"/>
        </w:rPr>
        <w:t xml:space="preserve">zadania </w:t>
      </w:r>
      <w:r w:rsidR="00FE0AD9" w:rsidRPr="00710424">
        <w:rPr>
          <w:rFonts w:cs="Arial"/>
          <w:bCs/>
          <w:iCs/>
          <w:szCs w:val="24"/>
        </w:rPr>
        <w:t xml:space="preserve">wykona </w:t>
      </w:r>
      <w:r w:rsidR="00FE0AD9" w:rsidRPr="00710424">
        <w:rPr>
          <w:rFonts w:cs="Arial"/>
          <w:szCs w:val="24"/>
        </w:rPr>
        <w:t>wykonawca</w:t>
      </w:r>
      <w:r w:rsidRPr="00710424">
        <w:rPr>
          <w:rFonts w:cs="Arial"/>
          <w:bCs/>
          <w:iCs/>
          <w:szCs w:val="24"/>
        </w:rPr>
        <w:t xml:space="preserve"> zgodnie z zaleceniami producenta rur preizolowanych</w:t>
      </w:r>
      <w:r w:rsidR="00FE0AD9" w:rsidRPr="00710424">
        <w:rPr>
          <w:rFonts w:cs="Arial"/>
          <w:bCs/>
          <w:iCs/>
          <w:szCs w:val="24"/>
        </w:rPr>
        <w:t>.</w:t>
      </w:r>
    </w:p>
    <w:p w:rsidR="001A62B6" w:rsidRPr="00D0265C" w:rsidRDefault="001A62B6" w:rsidP="00305725">
      <w:pPr>
        <w:pStyle w:val="Akapitzlist"/>
        <w:numPr>
          <w:ilvl w:val="0"/>
          <w:numId w:val="16"/>
        </w:numPr>
        <w:rPr>
          <w:rStyle w:val="Pogrubienie"/>
        </w:rPr>
      </w:pPr>
      <w:r w:rsidRPr="00D0265C">
        <w:rPr>
          <w:rStyle w:val="Pogrubienie"/>
        </w:rPr>
        <w:t>Przełączenia i uruchomienia nowych sieci można wykonać tylko w</w:t>
      </w:r>
      <w:r w:rsidR="00D0265C" w:rsidRPr="00D0265C">
        <w:rPr>
          <w:rStyle w:val="Pogrubienie"/>
        </w:rPr>
        <w:t> </w:t>
      </w:r>
      <w:r w:rsidRPr="00D0265C">
        <w:rPr>
          <w:rStyle w:val="Pogrubienie"/>
        </w:rPr>
        <w:t>okresie poza sezonem grzewczym.</w:t>
      </w:r>
    </w:p>
    <w:p w:rsidR="00CD1A35" w:rsidRPr="00710424" w:rsidRDefault="00366C0B" w:rsidP="0030572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710424">
        <w:rPr>
          <w:rFonts w:cs="Arial"/>
          <w:bCs/>
          <w:iCs/>
          <w:szCs w:val="24"/>
        </w:rPr>
        <w:t xml:space="preserve">Budowa sieci nie wymaga zaopatrzenia w wodę. </w:t>
      </w:r>
      <w:r w:rsidR="00CD1A35" w:rsidRPr="00710424">
        <w:rPr>
          <w:rFonts w:cs="Arial"/>
          <w:bCs/>
          <w:iCs/>
          <w:szCs w:val="24"/>
        </w:rPr>
        <w:t xml:space="preserve">W czasie trwania prac Wykonawca </w:t>
      </w:r>
      <w:bookmarkStart w:id="0" w:name="_Hlk191987059"/>
      <w:r w:rsidR="00CD1A35" w:rsidRPr="00710424">
        <w:rPr>
          <w:rFonts w:cs="Arial"/>
          <w:bCs/>
          <w:iCs/>
          <w:szCs w:val="24"/>
        </w:rPr>
        <w:t>zapewnia pracownikom wodę dostarczaną w butelkach</w:t>
      </w:r>
      <w:bookmarkEnd w:id="0"/>
      <w:r w:rsidR="00CD1A35" w:rsidRPr="00710424">
        <w:rPr>
          <w:rFonts w:cs="Arial"/>
          <w:bCs/>
          <w:iCs/>
          <w:szCs w:val="24"/>
        </w:rPr>
        <w:t>.</w:t>
      </w:r>
    </w:p>
    <w:p w:rsidR="00366C0B" w:rsidRPr="00710424" w:rsidRDefault="00366C0B" w:rsidP="00305725">
      <w:pPr>
        <w:pStyle w:val="Akapitzlist"/>
        <w:numPr>
          <w:ilvl w:val="0"/>
          <w:numId w:val="16"/>
        </w:numPr>
        <w:spacing w:after="160"/>
        <w:rPr>
          <w:rFonts w:cs="Arial"/>
          <w:szCs w:val="24"/>
        </w:rPr>
      </w:pPr>
      <w:r w:rsidRPr="00710424">
        <w:rPr>
          <w:rFonts w:cs="Arial"/>
          <w:szCs w:val="24"/>
        </w:rPr>
        <w:t>Zaplecze budowy należy zlokalizować na terenie utwardzonym, natomiast oleje, smary, ropa będą przechowywane w szczelnych pojemnikach, ustawionych na metalowych podstawach.</w:t>
      </w:r>
    </w:p>
    <w:p w:rsidR="00CD1A35" w:rsidRPr="00710424" w:rsidRDefault="006B5448" w:rsidP="0030572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710424">
        <w:rPr>
          <w:rFonts w:cs="Arial"/>
          <w:bCs/>
          <w:iCs/>
          <w:szCs w:val="24"/>
        </w:rPr>
        <w:t>Powstałe o</w:t>
      </w:r>
      <w:r w:rsidR="00CD1A35" w:rsidRPr="00710424">
        <w:rPr>
          <w:rFonts w:cs="Arial"/>
          <w:bCs/>
          <w:iCs/>
          <w:szCs w:val="24"/>
        </w:rPr>
        <w:t>dpady będą selektywnie magazynowane w szczelnych pojemnikach/kontenerach, po czym będą przekazywane celem unieszkodliwienia bądź odzysku firmom zewnętrznym posiadającym stosowne zezwolenia.</w:t>
      </w:r>
    </w:p>
    <w:p w:rsidR="00CD1A35" w:rsidRPr="00710424" w:rsidRDefault="00CD1A35" w:rsidP="00305725">
      <w:pPr>
        <w:pStyle w:val="Akapitzlist"/>
        <w:numPr>
          <w:ilvl w:val="0"/>
          <w:numId w:val="16"/>
        </w:numPr>
        <w:rPr>
          <w:rFonts w:cs="Arial"/>
          <w:szCs w:val="24"/>
        </w:rPr>
      </w:pPr>
      <w:r w:rsidRPr="00710424">
        <w:rPr>
          <w:rFonts w:cs="Arial"/>
          <w:bCs/>
          <w:iCs/>
          <w:szCs w:val="24"/>
        </w:rPr>
        <w:t>W trakcie realizacji robót Wykonawca musi zapewnić toaletę przenośną na</w:t>
      </w:r>
      <w:r w:rsidR="00D0265C">
        <w:rPr>
          <w:rFonts w:cs="Arial"/>
          <w:bCs/>
          <w:iCs/>
          <w:szCs w:val="24"/>
        </w:rPr>
        <w:t> </w:t>
      </w:r>
      <w:r w:rsidRPr="00710424">
        <w:rPr>
          <w:rFonts w:cs="Arial"/>
          <w:bCs/>
          <w:iCs/>
          <w:szCs w:val="24"/>
        </w:rPr>
        <w:t>zapleczu budowy.</w:t>
      </w:r>
    </w:p>
    <w:p w:rsidR="000945B4" w:rsidRPr="00D0265C" w:rsidRDefault="0099189F" w:rsidP="00305725">
      <w:pPr>
        <w:pStyle w:val="Akapitzlist"/>
        <w:numPr>
          <w:ilvl w:val="0"/>
          <w:numId w:val="16"/>
        </w:numPr>
        <w:rPr>
          <w:rStyle w:val="Pogrubienie"/>
        </w:rPr>
      </w:pPr>
      <w:r w:rsidRPr="00D0265C">
        <w:rPr>
          <w:rStyle w:val="Pogrubienie"/>
        </w:rPr>
        <w:t xml:space="preserve">Zobowiązuje się </w:t>
      </w:r>
      <w:r w:rsidR="00BF106E" w:rsidRPr="00D0265C">
        <w:rPr>
          <w:rStyle w:val="Pogrubienie"/>
        </w:rPr>
        <w:t>W</w:t>
      </w:r>
      <w:r w:rsidRPr="00D0265C">
        <w:rPr>
          <w:rStyle w:val="Pogrubienie"/>
        </w:rPr>
        <w:t>ykonawcę do przestrzegania standardu cyfrowego, zgodnie z „</w:t>
      </w:r>
      <w:bookmarkStart w:id="1" w:name="_Toc510166717"/>
      <w:bookmarkStart w:id="2" w:name="_Toc61362637"/>
      <w:bookmarkStart w:id="3" w:name="_Toc120626125"/>
      <w:r w:rsidR="000945B4" w:rsidRPr="00D0265C">
        <w:rPr>
          <w:rStyle w:val="Pogrubienie"/>
        </w:rPr>
        <w:t>Załącznik</w:t>
      </w:r>
      <w:r w:rsidR="00D0265C">
        <w:rPr>
          <w:rStyle w:val="Pogrubienie"/>
        </w:rPr>
        <w:t>iem</w:t>
      </w:r>
      <w:r w:rsidR="000945B4" w:rsidRPr="00D0265C">
        <w:rPr>
          <w:rStyle w:val="Pogrubienie"/>
        </w:rPr>
        <w:t xml:space="preserve"> nr 2. Standardy dostępności dla polityki spójności 2021–</w:t>
      </w:r>
      <w:bookmarkEnd w:id="1"/>
      <w:r w:rsidR="000945B4" w:rsidRPr="00D0265C">
        <w:rPr>
          <w:rStyle w:val="Pogrubienie"/>
        </w:rPr>
        <w:t>2027</w:t>
      </w:r>
      <w:bookmarkEnd w:id="2"/>
      <w:bookmarkEnd w:id="3"/>
      <w:r w:rsidRPr="00D0265C">
        <w:rPr>
          <w:rStyle w:val="Pogrubienie"/>
        </w:rPr>
        <w:t>”, stanowiącego załącznik do „</w:t>
      </w:r>
      <w:r w:rsidR="000945B4" w:rsidRPr="00D0265C">
        <w:rPr>
          <w:rStyle w:val="Pogrubienie"/>
        </w:rPr>
        <w:t>Wytyczn</w:t>
      </w:r>
      <w:r w:rsidR="00D0265C">
        <w:rPr>
          <w:rStyle w:val="Pogrubienie"/>
        </w:rPr>
        <w:t>ych</w:t>
      </w:r>
      <w:r w:rsidR="000945B4" w:rsidRPr="00D0265C">
        <w:rPr>
          <w:rStyle w:val="Pogrubienie"/>
        </w:rPr>
        <w:t xml:space="preserve"> dotycząc</w:t>
      </w:r>
      <w:r w:rsidR="00D0265C">
        <w:rPr>
          <w:rStyle w:val="Pogrubienie"/>
        </w:rPr>
        <w:t>ych</w:t>
      </w:r>
      <w:r w:rsidR="000945B4" w:rsidRPr="00D0265C">
        <w:rPr>
          <w:rStyle w:val="Pogrubienie"/>
        </w:rPr>
        <w:t xml:space="preserve"> realizacji zasad równościowych w ramach funduszy unijnych na lata 2021–2027”.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Wykonywanie prac odbiorowych i dokumentacyjnych związanych z budową sieci.</w:t>
      </w:r>
    </w:p>
    <w:p w:rsidR="002E017A" w:rsidRPr="00710424" w:rsidRDefault="002E017A" w:rsidP="00305725">
      <w:pPr>
        <w:numPr>
          <w:ilvl w:val="0"/>
          <w:numId w:val="11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wykonawca jest zobowiązany do systematycznego prowadzenia Dziennika Budowy,</w:t>
      </w:r>
    </w:p>
    <w:p w:rsidR="002E017A" w:rsidRPr="00710424" w:rsidRDefault="002E017A" w:rsidP="00305725">
      <w:pPr>
        <w:numPr>
          <w:ilvl w:val="0"/>
          <w:numId w:val="11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robót zanikowych przez przedstawiciela SCE odbywać</w:t>
      </w:r>
      <w:r w:rsidR="005F0713" w:rsidRPr="00710424">
        <w:rPr>
          <w:rFonts w:cs="Arial"/>
          <w:szCs w:val="24"/>
        </w:rPr>
        <w:t> się</w:t>
      </w:r>
      <w:r w:rsidRPr="00710424">
        <w:rPr>
          <w:rFonts w:cs="Arial"/>
          <w:szCs w:val="24"/>
        </w:rPr>
        <w:t xml:space="preserve"> będzie po</w:t>
      </w:r>
      <w:r w:rsidR="008F7B8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uprzednim uzgodnieniu z tym przedstawicielem i wpisaniu przez kierownika budowy zgłoszenia gotowości do odbioru</w:t>
      </w:r>
      <w:r w:rsidR="008F7B80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do</w:t>
      </w:r>
      <w:r w:rsidR="008F7B8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Dziennika Budowy. Wykonanie wpisu zgłoszenia do odbioru robót zanikowych, musi być poprzedzone dost</w:t>
      </w:r>
      <w:r w:rsidR="0036415D" w:rsidRPr="00710424">
        <w:rPr>
          <w:rFonts w:cs="Arial"/>
          <w:szCs w:val="24"/>
        </w:rPr>
        <w:t>arczeniem przedstawicielowi SCE </w:t>
      </w:r>
      <w:r w:rsidRPr="00710424">
        <w:rPr>
          <w:rFonts w:cs="Arial"/>
          <w:szCs w:val="24"/>
        </w:rPr>
        <w:t>stosownego dokumentu tj.:</w:t>
      </w:r>
    </w:p>
    <w:p w:rsidR="002E017A" w:rsidRPr="00710424" w:rsidRDefault="002E017A" w:rsidP="00305725">
      <w:pPr>
        <w:numPr>
          <w:ilvl w:val="0"/>
          <w:numId w:val="13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badania (zgłoszonych do odbioru) spoin wykonanego przez osobę do tego uprawnioną,</w:t>
      </w:r>
    </w:p>
    <w:p w:rsidR="002E017A" w:rsidRPr="00710424" w:rsidRDefault="002E017A" w:rsidP="00305725">
      <w:pPr>
        <w:numPr>
          <w:ilvl w:val="0"/>
          <w:numId w:val="13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profilu (rzeczywistego i projektowego) wykonania: wykopu, ułożenia rur w</w:t>
      </w:r>
      <w:r w:rsidR="008F7B8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wykopie, który musi wykonać uprawniony geodeta,</w:t>
      </w:r>
    </w:p>
    <w:p w:rsidR="002E017A" w:rsidRPr="00710424" w:rsidRDefault="002E017A" w:rsidP="00305725">
      <w:pPr>
        <w:numPr>
          <w:ilvl w:val="0"/>
          <w:numId w:val="13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usytuowania sieci w terenie (rzeczywistego i projektowego), który musi wykonać uprawniony geodeta.</w:t>
      </w:r>
    </w:p>
    <w:p w:rsidR="002E017A" w:rsidRPr="00710424" w:rsidRDefault="002E017A" w:rsidP="00305725">
      <w:pPr>
        <w:ind w:left="426" w:firstLine="282"/>
        <w:rPr>
          <w:rFonts w:cs="Arial"/>
          <w:szCs w:val="24"/>
        </w:rPr>
      </w:pPr>
      <w:r w:rsidRPr="00710424">
        <w:rPr>
          <w:rFonts w:cs="Arial"/>
          <w:szCs w:val="24"/>
        </w:rPr>
        <w:t>W</w:t>
      </w:r>
      <w:r w:rsidR="008F7B80">
        <w:rPr>
          <w:rFonts w:cs="Arial"/>
          <w:szCs w:val="24"/>
        </w:rPr>
        <w:t xml:space="preserve">yżej </w:t>
      </w:r>
      <w:r w:rsidRPr="00710424">
        <w:rPr>
          <w:rFonts w:cs="Arial"/>
          <w:szCs w:val="24"/>
        </w:rPr>
        <w:t>w</w:t>
      </w:r>
      <w:r w:rsidR="008F7B80">
        <w:rPr>
          <w:rFonts w:cs="Arial"/>
          <w:szCs w:val="24"/>
        </w:rPr>
        <w:t>ymienione</w:t>
      </w:r>
      <w:r w:rsidRPr="00710424">
        <w:rPr>
          <w:rFonts w:cs="Arial"/>
          <w:szCs w:val="24"/>
        </w:rPr>
        <w:t xml:space="preserve"> dokumenty mogą być dostarczone przedstawicielowi SCE w formie dokumentu papierowego lub w wersji elektronicznej i są niezbędne do</w:t>
      </w:r>
      <w:r w:rsidR="008F7B8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oceny wykonanych prac przez</w:t>
      </w:r>
      <w:r w:rsidR="005F0713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przedstawiciela SCE.</w:t>
      </w:r>
    </w:p>
    <w:p w:rsidR="002E017A" w:rsidRPr="00710424" w:rsidRDefault="002E017A" w:rsidP="00305725">
      <w:pPr>
        <w:ind w:left="360"/>
        <w:rPr>
          <w:rFonts w:cs="Arial"/>
          <w:szCs w:val="24"/>
        </w:rPr>
      </w:pPr>
      <w:r w:rsidRPr="00710424">
        <w:rPr>
          <w:rFonts w:cs="Arial"/>
          <w:szCs w:val="24"/>
        </w:rPr>
        <w:t>Przedstawiciel SCE dokonuje wpisu do Dziennika Budowy potwierdzającego odbiór</w:t>
      </w:r>
      <w:r w:rsidR="008F7B80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tych robót</w:t>
      </w:r>
      <w:r w:rsidR="008F7B80">
        <w:rPr>
          <w:rFonts w:cs="Arial"/>
          <w:szCs w:val="24"/>
        </w:rPr>
        <w:t xml:space="preserve"> </w:t>
      </w:r>
      <w:r w:rsidR="008F7B80" w:rsidRPr="00710424">
        <w:rPr>
          <w:rFonts w:cs="Arial"/>
          <w:szCs w:val="24"/>
        </w:rPr>
        <w:t>(jeżeli zostały wykonane prawidłowo)</w:t>
      </w:r>
      <w:r w:rsidRPr="00710424">
        <w:rPr>
          <w:rFonts w:cs="Arial"/>
          <w:szCs w:val="24"/>
        </w:rPr>
        <w:t>. Brak wpisu w Dzienniku Budowy przedstawiciela SCE jest równoznaczny z brakiem zgody na</w:t>
      </w:r>
      <w:r w:rsidR="008F7B8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kontynuowanie prac</w:t>
      </w:r>
      <w:r w:rsidR="005F0713"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 przypadku potrzeby odbioru robót zanikowych w g</w:t>
      </w:r>
      <w:r w:rsidR="0036415D" w:rsidRPr="00710424">
        <w:rPr>
          <w:rFonts w:cs="Arial"/>
          <w:szCs w:val="24"/>
        </w:rPr>
        <w:t>odzinach popołudniowych</w:t>
      </w:r>
      <w:r w:rsidR="008F7B80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bądź w </w:t>
      </w:r>
      <w:r w:rsidRPr="00710424">
        <w:rPr>
          <w:rFonts w:cs="Arial"/>
          <w:szCs w:val="24"/>
        </w:rPr>
        <w:t>dni wolne od pracy, wykonawca musi zgłosić taką potrzebę</w:t>
      </w:r>
      <w:r w:rsidR="008F7B80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przedstawicielowi SCE</w:t>
      </w:r>
      <w:r w:rsidR="008F7B80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z jednodniowym wyprzedzeniem, aby można było zorganizować ten odbiór</w:t>
      </w:r>
      <w:r w:rsidR="00286D81"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udokumentowanie odbiorów częściowych i odbioru końcowego wykonawca przedstawia poprzez wypełnienie stosownych protokołów odbiorowych z udziałem przedstawiciela SCE</w:t>
      </w:r>
      <w:r w:rsidR="00286D81" w:rsidRPr="00710424">
        <w:rPr>
          <w:rFonts w:cs="Arial"/>
          <w:szCs w:val="24"/>
        </w:rPr>
        <w:t>.</w:t>
      </w:r>
    </w:p>
    <w:p w:rsidR="00B50E51" w:rsidRPr="008F7B80" w:rsidRDefault="00FE0AD9" w:rsidP="00305725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Style w:val="Pogrubienie"/>
        </w:rPr>
      </w:pPr>
      <w:r w:rsidRPr="008F7B80">
        <w:rPr>
          <w:rStyle w:val="Pogrubienie"/>
        </w:rPr>
        <w:t>Po zakończeniu prac ETAP</w:t>
      </w:r>
      <w:r w:rsidR="008F7B80">
        <w:rPr>
          <w:rStyle w:val="Pogrubienie"/>
        </w:rPr>
        <w:t>U</w:t>
      </w:r>
      <w:r w:rsidRPr="008F7B80">
        <w:rPr>
          <w:rStyle w:val="Pogrubienie"/>
        </w:rPr>
        <w:t xml:space="preserve"> 1 </w:t>
      </w:r>
      <w:r w:rsidR="005911DF" w:rsidRPr="008F7B80">
        <w:rPr>
          <w:rStyle w:val="Pogrubienie"/>
        </w:rPr>
        <w:t>w</w:t>
      </w:r>
      <w:r w:rsidRPr="008F7B80">
        <w:rPr>
          <w:rStyle w:val="Pogrubienie"/>
        </w:rPr>
        <w:t xml:space="preserve">ykonawca robót musi </w:t>
      </w:r>
      <w:r w:rsidR="00B50E51" w:rsidRPr="008F7B80">
        <w:rPr>
          <w:rStyle w:val="Pogrubienie"/>
        </w:rPr>
        <w:t>uzyskać Decyzje pozwolenia na</w:t>
      </w:r>
      <w:r w:rsidR="005F0713" w:rsidRPr="008F7B80">
        <w:rPr>
          <w:rStyle w:val="Pogrubienie"/>
        </w:rPr>
        <w:t> </w:t>
      </w:r>
      <w:r w:rsidR="00B50E51" w:rsidRPr="008F7B80">
        <w:rPr>
          <w:rStyle w:val="Pogrubienie"/>
        </w:rPr>
        <w:t>użytkowanie</w:t>
      </w:r>
      <w:r w:rsidR="006B5448" w:rsidRPr="008F7B80">
        <w:rPr>
          <w:rStyle w:val="Pogrubienie"/>
        </w:rPr>
        <w:t xml:space="preserve"> dla</w:t>
      </w:r>
      <w:r w:rsidR="007655AE" w:rsidRPr="008F7B80">
        <w:rPr>
          <w:rStyle w:val="Pogrubienie"/>
        </w:rPr>
        <w:t xml:space="preserve"> części sieci</w:t>
      </w:r>
      <w:r w:rsidR="00B50E51" w:rsidRPr="008F7B80">
        <w:rPr>
          <w:rStyle w:val="Pogrubienie"/>
        </w:rPr>
        <w:t xml:space="preserve"> w Powiatowy</w:t>
      </w:r>
      <w:r w:rsidR="005911DF" w:rsidRPr="008F7B80">
        <w:rPr>
          <w:rStyle w:val="Pogrubienie"/>
        </w:rPr>
        <w:t>m</w:t>
      </w:r>
      <w:r w:rsidR="00B50E51" w:rsidRPr="008F7B80">
        <w:rPr>
          <w:rStyle w:val="Pogrubienie"/>
        </w:rPr>
        <w:t xml:space="preserve"> Inspektora</w:t>
      </w:r>
      <w:r w:rsidR="005911DF" w:rsidRPr="008F7B80">
        <w:rPr>
          <w:rStyle w:val="Pogrubienie"/>
        </w:rPr>
        <w:t>cie</w:t>
      </w:r>
      <w:r w:rsidR="00B50E51" w:rsidRPr="008F7B80">
        <w:rPr>
          <w:rStyle w:val="Pogrubienie"/>
        </w:rPr>
        <w:t xml:space="preserve"> Nadzoru Budowlanego w Jaworznie.</w:t>
      </w:r>
    </w:p>
    <w:p w:rsidR="002E017A" w:rsidRPr="00710424" w:rsidRDefault="002E017A" w:rsidP="00305725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na podstawie geodezyjnej, powykonawczej dokumentacji, wykonawca aktualizuje </w:t>
      </w:r>
      <w:r w:rsidRPr="00710424">
        <w:rPr>
          <w:rFonts w:cs="Arial"/>
          <w:szCs w:val="24"/>
        </w:rPr>
        <w:br/>
        <w:t xml:space="preserve">w Projekcie </w:t>
      </w:r>
      <w:r w:rsidR="00B9444F" w:rsidRPr="00710424">
        <w:rPr>
          <w:rFonts w:cs="Arial"/>
          <w:szCs w:val="24"/>
        </w:rPr>
        <w:t>Technicznym</w:t>
      </w:r>
      <w:r w:rsidRPr="00710424">
        <w:rPr>
          <w:rFonts w:cs="Arial"/>
          <w:szCs w:val="24"/>
        </w:rPr>
        <w:t xml:space="preserve"> n</w:t>
      </w:r>
      <w:r w:rsidR="008F7B80">
        <w:rPr>
          <w:rFonts w:cs="Arial"/>
          <w:szCs w:val="24"/>
        </w:rPr>
        <w:t xml:space="preserve">iżej </w:t>
      </w:r>
      <w:r w:rsidRPr="00710424">
        <w:rPr>
          <w:rFonts w:cs="Arial"/>
          <w:szCs w:val="24"/>
        </w:rPr>
        <w:t>w</w:t>
      </w:r>
      <w:r w:rsidR="008F7B80">
        <w:rPr>
          <w:rFonts w:cs="Arial"/>
          <w:szCs w:val="24"/>
        </w:rPr>
        <w:t>ymienione</w:t>
      </w:r>
      <w:r w:rsidRPr="00710424">
        <w:rPr>
          <w:rFonts w:cs="Arial"/>
          <w:szCs w:val="24"/>
        </w:rPr>
        <w:t xml:space="preserve"> dokumenty:</w:t>
      </w:r>
    </w:p>
    <w:p w:rsidR="002E017A" w:rsidRPr="00710424" w:rsidRDefault="002E017A" w:rsidP="00305725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ind w:firstLine="66"/>
        <w:rPr>
          <w:rFonts w:cs="Arial"/>
          <w:szCs w:val="24"/>
        </w:rPr>
      </w:pPr>
      <w:r w:rsidRPr="00710424">
        <w:rPr>
          <w:rFonts w:cs="Arial"/>
          <w:szCs w:val="24"/>
        </w:rPr>
        <w:t>plan sytuacyjny (mapa zasadnicza) przebiegu sieci,</w:t>
      </w:r>
    </w:p>
    <w:p w:rsidR="002E017A" w:rsidRPr="00710424" w:rsidRDefault="002E017A" w:rsidP="00305725">
      <w:pPr>
        <w:numPr>
          <w:ilvl w:val="0"/>
          <w:numId w:val="12"/>
        </w:numPr>
        <w:tabs>
          <w:tab w:val="clear" w:pos="360"/>
        </w:tabs>
        <w:spacing w:after="0"/>
        <w:ind w:left="709" w:hanging="283"/>
        <w:rPr>
          <w:rFonts w:cs="Arial"/>
          <w:szCs w:val="24"/>
        </w:rPr>
      </w:pPr>
      <w:r w:rsidRPr="00710424">
        <w:rPr>
          <w:rFonts w:cs="Arial"/>
          <w:szCs w:val="24"/>
        </w:rPr>
        <w:t>profil podłużny sieci z pokazaniem naziomu. W przypadku rozbieżności profilu podłużnego sieci (projekt - wykonanie)</w:t>
      </w:r>
      <w:r w:rsidR="00C23C83" w:rsidRPr="00710424">
        <w:rPr>
          <w:rFonts w:cs="Arial"/>
          <w:szCs w:val="24"/>
        </w:rPr>
        <w:t xml:space="preserve"> należy uzyskać zgodę</w:t>
      </w:r>
      <w:r w:rsidRPr="00710424">
        <w:rPr>
          <w:rFonts w:cs="Arial"/>
          <w:szCs w:val="24"/>
        </w:rPr>
        <w:t xml:space="preserve"> projektanta i</w:t>
      </w:r>
      <w:r w:rsidR="00311CC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akceptacj</w:t>
      </w:r>
      <w:r w:rsidR="00C23C83" w:rsidRPr="00710424">
        <w:rPr>
          <w:rFonts w:cs="Arial"/>
          <w:szCs w:val="24"/>
        </w:rPr>
        <w:t>ę</w:t>
      </w:r>
      <w:r w:rsidRPr="00710424">
        <w:rPr>
          <w:rFonts w:cs="Arial"/>
          <w:szCs w:val="24"/>
        </w:rPr>
        <w:t xml:space="preserve"> przedstawiciela SCE,</w:t>
      </w:r>
    </w:p>
    <w:p w:rsidR="002E017A" w:rsidRPr="00710424" w:rsidRDefault="002E017A" w:rsidP="00305725">
      <w:pPr>
        <w:numPr>
          <w:ilvl w:val="0"/>
          <w:numId w:val="12"/>
        </w:numPr>
        <w:tabs>
          <w:tab w:val="clear" w:pos="360"/>
        </w:tabs>
        <w:spacing w:after="0"/>
        <w:ind w:left="709" w:hanging="283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schemat montażowy sieci. W przypadku rozbieżności </w:t>
      </w:r>
      <w:r w:rsidR="00C23C83" w:rsidRPr="00710424">
        <w:rPr>
          <w:rFonts w:cs="Arial"/>
          <w:szCs w:val="24"/>
        </w:rPr>
        <w:t>– należy uzyskać</w:t>
      </w:r>
      <w:r w:rsidRPr="00710424">
        <w:rPr>
          <w:rFonts w:cs="Arial"/>
          <w:szCs w:val="24"/>
        </w:rPr>
        <w:t xml:space="preserve"> zgod</w:t>
      </w:r>
      <w:r w:rsidR="00C23C83" w:rsidRPr="00710424">
        <w:rPr>
          <w:rFonts w:cs="Arial"/>
          <w:szCs w:val="24"/>
        </w:rPr>
        <w:t>ę</w:t>
      </w:r>
      <w:r w:rsidRPr="00710424">
        <w:rPr>
          <w:rFonts w:cs="Arial"/>
          <w:szCs w:val="24"/>
        </w:rPr>
        <w:t xml:space="preserve"> projektanta i akceptacj</w:t>
      </w:r>
      <w:r w:rsidR="00C23C83" w:rsidRPr="00710424">
        <w:rPr>
          <w:rFonts w:cs="Arial"/>
          <w:szCs w:val="24"/>
        </w:rPr>
        <w:t>ę</w:t>
      </w:r>
      <w:r w:rsidRPr="00710424">
        <w:rPr>
          <w:rFonts w:cs="Arial"/>
          <w:szCs w:val="24"/>
        </w:rPr>
        <w:t xml:space="preserve"> przedstawiciela SCE,</w:t>
      </w:r>
    </w:p>
    <w:p w:rsidR="002E017A" w:rsidRPr="00710424" w:rsidRDefault="002E017A" w:rsidP="00305725">
      <w:pPr>
        <w:numPr>
          <w:ilvl w:val="0"/>
          <w:numId w:val="12"/>
        </w:numPr>
        <w:tabs>
          <w:tab w:val="clear" w:pos="360"/>
        </w:tabs>
        <w:spacing w:after="0"/>
        <w:ind w:left="709" w:hanging="283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schemat instalacji alarmowej. W przypadku rozbieżności </w:t>
      </w:r>
      <w:r w:rsidR="00C23C83" w:rsidRPr="00710424">
        <w:rPr>
          <w:rFonts w:cs="Arial"/>
          <w:szCs w:val="24"/>
        </w:rPr>
        <w:t>–</w:t>
      </w:r>
      <w:r w:rsidRPr="00710424">
        <w:rPr>
          <w:rFonts w:cs="Arial"/>
          <w:szCs w:val="24"/>
        </w:rPr>
        <w:t xml:space="preserve"> </w:t>
      </w:r>
      <w:r w:rsidR="00C23C83" w:rsidRPr="00710424">
        <w:rPr>
          <w:rFonts w:cs="Arial"/>
          <w:szCs w:val="24"/>
        </w:rPr>
        <w:t>należy uzyskać zgodę</w:t>
      </w:r>
      <w:r w:rsidR="0036415D" w:rsidRPr="00710424">
        <w:rPr>
          <w:rFonts w:cs="Arial"/>
          <w:szCs w:val="24"/>
        </w:rPr>
        <w:t xml:space="preserve"> projektanta  i </w:t>
      </w:r>
      <w:r w:rsidRPr="00710424">
        <w:rPr>
          <w:rFonts w:cs="Arial"/>
          <w:szCs w:val="24"/>
        </w:rPr>
        <w:t>akceptacj</w:t>
      </w:r>
      <w:r w:rsidR="00C23C83" w:rsidRPr="00710424">
        <w:rPr>
          <w:rFonts w:cs="Arial"/>
          <w:szCs w:val="24"/>
        </w:rPr>
        <w:t>ę</w:t>
      </w:r>
      <w:r w:rsidRPr="00710424">
        <w:rPr>
          <w:rFonts w:cs="Arial"/>
          <w:szCs w:val="24"/>
        </w:rPr>
        <w:t xml:space="preserve"> przedstawiciela SCE. Na schemacie instalacji alarmowej należy nanieść rzeczywiste długości poszczególnych odcinków z</w:t>
      </w:r>
      <w:r w:rsidR="00311CC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uwzględnieniem kilometrażu od p</w:t>
      </w:r>
      <w:r w:rsidR="00C23C83" w:rsidRPr="00710424">
        <w:rPr>
          <w:rFonts w:cs="Arial"/>
          <w:szCs w:val="24"/>
        </w:rPr>
        <w:t>unktu</w:t>
      </w:r>
      <w:r w:rsidRPr="00710424">
        <w:rPr>
          <w:rFonts w:cs="Arial"/>
          <w:szCs w:val="24"/>
        </w:rPr>
        <w:t xml:space="preserve"> zamontowania detektora (sumowanie długości drutu alarmowego od miejsca lokalizacji detektora). Pomiar długości poszczególn</w:t>
      </w:r>
      <w:r w:rsidR="0036415D" w:rsidRPr="00710424">
        <w:rPr>
          <w:rFonts w:cs="Arial"/>
          <w:szCs w:val="24"/>
        </w:rPr>
        <w:t>ych odcinków należy wykonywać w </w:t>
      </w:r>
      <w:r w:rsidRPr="00710424">
        <w:rPr>
          <w:rFonts w:cs="Arial"/>
          <w:szCs w:val="24"/>
        </w:rPr>
        <w:t>obecności Inspektora Nadzoru SCE,</w:t>
      </w:r>
    </w:p>
    <w:p w:rsidR="0099189F" w:rsidRPr="00311CC4" w:rsidRDefault="002E017A" w:rsidP="00311CC4">
      <w:pPr>
        <w:numPr>
          <w:ilvl w:val="0"/>
          <w:numId w:val="12"/>
        </w:numPr>
        <w:spacing w:after="0"/>
        <w:ind w:firstLine="66"/>
        <w:rPr>
          <w:rFonts w:cs="Arial"/>
          <w:szCs w:val="24"/>
        </w:rPr>
      </w:pPr>
      <w:r w:rsidRPr="00710424">
        <w:rPr>
          <w:rFonts w:cs="Arial"/>
          <w:szCs w:val="24"/>
        </w:rPr>
        <w:t>zestawienie materiałów – uaktualnione</w:t>
      </w:r>
      <w:r w:rsidR="005F0713"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Wymagania dla stosowanych materiałów preizolowanych (pianka, łączenie, mufy, sygnalizacja zawilgocenia):</w:t>
      </w:r>
    </w:p>
    <w:p w:rsidR="007F6544" w:rsidRDefault="00B13072" w:rsidP="007F6544">
      <w:pPr>
        <w:numPr>
          <w:ilvl w:val="0"/>
          <w:numId w:val="8"/>
        </w:numPr>
        <w:spacing w:after="0"/>
        <w:rPr>
          <w:rFonts w:cs="Arial"/>
          <w:b/>
          <w:szCs w:val="24"/>
        </w:rPr>
      </w:pPr>
      <w:r w:rsidRPr="00710424">
        <w:rPr>
          <w:rFonts w:cs="Arial"/>
          <w:szCs w:val="24"/>
        </w:rPr>
        <w:t>Rury preizolowane „STANDARD</w:t>
      </w:r>
      <w:r w:rsidR="002E017A" w:rsidRPr="00710424">
        <w:rPr>
          <w:rFonts w:cs="Arial"/>
          <w:szCs w:val="24"/>
        </w:rPr>
        <w:t>” z pianką izola</w:t>
      </w:r>
      <w:r w:rsidR="001D0177" w:rsidRPr="00710424">
        <w:rPr>
          <w:rFonts w:cs="Arial"/>
          <w:szCs w:val="24"/>
        </w:rPr>
        <w:t>cyjną spienianą cyklopentanem</w:t>
      </w:r>
      <w:r w:rsidR="00311CC4">
        <w:rPr>
          <w:rFonts w:cs="Arial"/>
          <w:szCs w:val="24"/>
        </w:rPr>
        <w:t xml:space="preserve"> </w:t>
      </w:r>
      <w:r w:rsidR="001D0177" w:rsidRPr="00710424">
        <w:rPr>
          <w:rFonts w:cs="Arial"/>
          <w:szCs w:val="24"/>
        </w:rPr>
        <w:t>o </w:t>
      </w:r>
      <w:r w:rsidR="002E017A" w:rsidRPr="00710424">
        <w:rPr>
          <w:rFonts w:cs="Arial"/>
          <w:szCs w:val="24"/>
        </w:rPr>
        <w:t>współczynniku przewodzenia ciepła minimum λ50≤0,029 +/- 0,0006 [W/mK], mierzonym w temp</w:t>
      </w:r>
      <w:r w:rsidR="00311CC4">
        <w:rPr>
          <w:rFonts w:cs="Arial"/>
          <w:szCs w:val="24"/>
        </w:rPr>
        <w:t>eraturze</w:t>
      </w:r>
      <w:r w:rsidR="002E017A" w:rsidRPr="00710424">
        <w:rPr>
          <w:rFonts w:cs="Arial"/>
          <w:szCs w:val="24"/>
        </w:rPr>
        <w:t xml:space="preserve"> +50°C i grubościach [mm]:</w:t>
      </w:r>
    </w:p>
    <w:p w:rsidR="007F6544" w:rsidRDefault="007F654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7F6544" w:rsidRPr="007F6544" w:rsidRDefault="007F6544" w:rsidP="007F6544">
      <w:pPr>
        <w:pStyle w:val="Nagwek3"/>
        <w:rPr>
          <w:bCs/>
        </w:rPr>
      </w:pPr>
      <w:r w:rsidRPr="007F6544">
        <w:rPr>
          <w:bCs/>
        </w:rPr>
        <w:t>Tabela 1</w:t>
      </w:r>
      <w:r>
        <w:rPr>
          <w:bCs/>
        </w:rPr>
        <w:t>.</w:t>
      </w:r>
      <w:r w:rsidRPr="007F6544">
        <w:rPr>
          <w:bCs/>
        </w:rPr>
        <w:t xml:space="preserve"> Zestawienie wymiarów przekroju preizolowanych rur, kształtek i</w:t>
      </w:r>
      <w:r>
        <w:rPr>
          <w:bCs/>
        </w:rPr>
        <w:t> </w:t>
      </w:r>
      <w:r w:rsidRPr="007F6544">
        <w:rPr>
          <w:bCs/>
        </w:rPr>
        <w:t>armatury.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434"/>
        <w:gridCol w:w="1127"/>
        <w:gridCol w:w="1434"/>
        <w:gridCol w:w="1127"/>
      </w:tblGrid>
      <w:tr w:rsidR="002E017A" w:rsidRPr="00710424" w:rsidTr="00710424">
        <w:trPr>
          <w:trHeight w:val="300"/>
          <w:tblHeader/>
          <w:jc w:val="center"/>
        </w:trPr>
        <w:tc>
          <w:tcPr>
            <w:tcW w:w="49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Rura stalowa ze szwem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Rura osłonowa polietylenowa</w:t>
            </w:r>
          </w:p>
        </w:tc>
      </w:tr>
      <w:tr w:rsidR="002E017A" w:rsidRPr="00710424" w:rsidTr="00710424">
        <w:trPr>
          <w:trHeight w:val="570"/>
          <w:tblHeader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Średnica nominalna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Średnica zewnętrzna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Grubość ścianki rury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Średnica zewnętrzna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b/>
                <w:bCs/>
                <w:szCs w:val="24"/>
              </w:rPr>
            </w:pPr>
            <w:r w:rsidRPr="00710424">
              <w:rPr>
                <w:rFonts w:cs="Arial"/>
                <w:b/>
                <w:bCs/>
                <w:szCs w:val="24"/>
              </w:rPr>
              <w:t>Grubość ścianki rury</w:t>
            </w:r>
          </w:p>
        </w:tc>
      </w:tr>
      <w:tr w:rsidR="002E017A" w:rsidRPr="00710424" w:rsidTr="00710424">
        <w:trPr>
          <w:trHeight w:val="315"/>
          <w:tblHeader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mm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mm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mm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17A" w:rsidRPr="00710424" w:rsidRDefault="002E017A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mm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60,3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2,9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76,1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2,9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88,9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3,2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114,3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3,2</w:t>
            </w:r>
            <w:r w:rsidR="00B9444F" w:rsidRPr="00710424">
              <w:rPr>
                <w:rFonts w:cs="Arial"/>
                <w:color w:val="000000"/>
                <w:szCs w:val="24"/>
              </w:rPr>
              <w:t xml:space="preserve"> lub </w:t>
            </w:r>
            <w:r w:rsidR="00B50E51" w:rsidRPr="00710424">
              <w:rPr>
                <w:rFonts w:cs="Arial"/>
                <w:color w:val="000000"/>
                <w:szCs w:val="24"/>
              </w:rPr>
              <w:t>3,4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DN125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139,7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3,4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168,3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4,0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3,6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219,1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4,5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315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4,1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273,0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5,0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4,8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323,9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5,6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5,2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DN350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355,6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5,6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5,6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406,4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6,3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5,7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DN450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457,0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6,3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560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6,0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508,0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6,3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630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6,6</w:t>
            </w:r>
          </w:p>
        </w:tc>
      </w:tr>
      <w:tr w:rsidR="00B13072" w:rsidRPr="00710424" w:rsidTr="00710424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610,0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7,1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780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7,8</w:t>
            </w:r>
          </w:p>
        </w:tc>
      </w:tr>
      <w:tr w:rsidR="00B13072" w:rsidRPr="00710424" w:rsidTr="00710424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DN700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711,0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szCs w:val="24"/>
              </w:rPr>
            </w:pPr>
            <w:r w:rsidRPr="00710424">
              <w:rPr>
                <w:rFonts w:cs="Arial"/>
                <w:szCs w:val="24"/>
              </w:rPr>
              <w:t>8,0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072" w:rsidRPr="00710424" w:rsidRDefault="00B13072" w:rsidP="00305725">
            <w:pPr>
              <w:rPr>
                <w:rFonts w:cs="Arial"/>
                <w:color w:val="000000"/>
                <w:szCs w:val="24"/>
              </w:rPr>
            </w:pPr>
            <w:r w:rsidRPr="00710424">
              <w:rPr>
                <w:rFonts w:cs="Arial"/>
                <w:color w:val="000000"/>
                <w:szCs w:val="24"/>
              </w:rPr>
              <w:t>8,7</w:t>
            </w:r>
          </w:p>
        </w:tc>
      </w:tr>
    </w:tbl>
    <w:p w:rsidR="002E017A" w:rsidRPr="00710424" w:rsidRDefault="002E017A" w:rsidP="00305725">
      <w:pPr>
        <w:rPr>
          <w:rFonts w:cs="Arial"/>
          <w:b/>
          <w:szCs w:val="24"/>
        </w:rPr>
      </w:pPr>
    </w:p>
    <w:p w:rsidR="002E017A" w:rsidRPr="00710424" w:rsidRDefault="002E017A" w:rsidP="00305725">
      <w:pPr>
        <w:numPr>
          <w:ilvl w:val="0"/>
          <w:numId w:val="8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Mufy termokurczliwe sieciowane radiacyjnie z klejem i masą butylową. Po</w:t>
      </w:r>
      <w:r w:rsidR="00311CC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obkurczeniu poddane próbie szczelności 0,2 bar.</w:t>
      </w:r>
    </w:p>
    <w:p w:rsidR="002E017A" w:rsidRPr="00710424" w:rsidRDefault="002E017A" w:rsidP="00305725">
      <w:pPr>
        <w:numPr>
          <w:ilvl w:val="0"/>
          <w:numId w:val="8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 uzasadnionych przypadkach oraz dla dużych średnic rur dopuszcza się stosowanie muf zgrzewanych elektrycznie</w:t>
      </w:r>
      <w:r w:rsidR="005F0713"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numPr>
          <w:ilvl w:val="0"/>
          <w:numId w:val="8"/>
        </w:numPr>
        <w:spacing w:after="0"/>
        <w:rPr>
          <w:rFonts w:cs="Arial"/>
          <w:b/>
          <w:szCs w:val="24"/>
        </w:rPr>
      </w:pPr>
      <w:r w:rsidRPr="00710424">
        <w:rPr>
          <w:rFonts w:cs="Arial"/>
          <w:szCs w:val="24"/>
        </w:rPr>
        <w:t>Otwory technologiczne muf termokurczliwych, po zapiankowaniu należy zamknąć wtapianymi (zgrzewanymi) korkami.</w:t>
      </w:r>
    </w:p>
    <w:p w:rsidR="002E017A" w:rsidRPr="00710424" w:rsidRDefault="002E017A" w:rsidP="00305725">
      <w:pPr>
        <w:numPr>
          <w:ilvl w:val="0"/>
          <w:numId w:val="8"/>
        </w:numPr>
        <w:spacing w:after="0"/>
        <w:rPr>
          <w:rFonts w:cs="Arial"/>
          <w:b/>
          <w:szCs w:val="24"/>
        </w:rPr>
      </w:pPr>
      <w:bookmarkStart w:id="4" w:name="OLE_LINK1"/>
      <w:r w:rsidRPr="00710424">
        <w:rPr>
          <w:rFonts w:cs="Arial"/>
          <w:szCs w:val="24"/>
        </w:rPr>
        <w:t>Druty instalacji alarmowej należy połączyć zagniatanymi tulejkami a następnie polutować według wytycznych</w:t>
      </w:r>
      <w:r w:rsidR="00311CC4">
        <w:rPr>
          <w:rFonts w:cs="Arial"/>
          <w:szCs w:val="24"/>
        </w:rPr>
        <w:t>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Czynności związane z łączeniem drutów alarmowych nie powinno się przeprowadzać podczas opadów deszczu bez zabezpieczenia stanowiska pracy przed deszczem</w:t>
      </w:r>
      <w:r w:rsidR="00311CC4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(</w:t>
      </w:r>
      <w:r w:rsidR="00C23C83" w:rsidRPr="00710424">
        <w:rPr>
          <w:rFonts w:cs="Arial"/>
          <w:szCs w:val="24"/>
        </w:rPr>
        <w:t xml:space="preserve">należy </w:t>
      </w:r>
      <w:r w:rsidRPr="00710424">
        <w:rPr>
          <w:rFonts w:cs="Arial"/>
          <w:szCs w:val="24"/>
        </w:rPr>
        <w:t>zastosować np.</w:t>
      </w:r>
      <w:r w:rsidR="00C23C83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namiot). Obszar złącza powinien być czysty i odtłuszczony, a</w:t>
      </w:r>
      <w:r w:rsidR="00311CC4">
        <w:rPr>
          <w:rFonts w:cs="Arial"/>
          <w:szCs w:val="24"/>
        </w:rPr>
        <w:t> </w:t>
      </w:r>
      <w:r w:rsidR="0036415D" w:rsidRPr="00710424">
        <w:rPr>
          <w:rFonts w:cs="Arial"/>
          <w:szCs w:val="24"/>
        </w:rPr>
        <w:t>pianka poliuretanowa</w:t>
      </w:r>
      <w:r w:rsidR="00311CC4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na</w:t>
      </w:r>
      <w:r w:rsidR="00311CC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końcach rur sucha.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Druty alarmowe należy wyprostować </w:t>
      </w:r>
      <w:r w:rsidR="00C23C83" w:rsidRPr="00710424">
        <w:rPr>
          <w:rFonts w:cs="Arial"/>
          <w:szCs w:val="24"/>
        </w:rPr>
        <w:t>i </w:t>
      </w:r>
      <w:r w:rsidRPr="00710424">
        <w:rPr>
          <w:rFonts w:cs="Arial"/>
          <w:szCs w:val="24"/>
        </w:rPr>
        <w:t xml:space="preserve">oczyścić papierem ściernym drobnoziarnistym </w:t>
      </w:r>
      <w:r w:rsidRPr="00710424">
        <w:rPr>
          <w:rFonts w:cs="Arial"/>
          <w:szCs w:val="24"/>
        </w:rPr>
        <w:br/>
        <w:t>(ziarnistość &gt; 100).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Przewody skrócić tak, aby tworzyły „zakładkę” o długo</w:t>
      </w:r>
      <w:r w:rsidR="004C31A1" w:rsidRPr="00710424">
        <w:rPr>
          <w:rFonts w:cs="Arial"/>
          <w:szCs w:val="24"/>
        </w:rPr>
        <w:t>ści 65 mm. Podana długość, przy </w:t>
      </w:r>
      <w:r w:rsidRPr="00710424">
        <w:rPr>
          <w:rFonts w:cs="Arial"/>
          <w:szCs w:val="24"/>
        </w:rPr>
        <w:t>wykonaniu połączenia w</w:t>
      </w:r>
      <w:r w:rsidR="00311CC4">
        <w:rPr>
          <w:rFonts w:cs="Arial"/>
          <w:szCs w:val="24"/>
        </w:rPr>
        <w:t>edłu</w:t>
      </w:r>
      <w:r w:rsidRPr="00710424">
        <w:rPr>
          <w:rFonts w:cs="Arial"/>
          <w:szCs w:val="24"/>
        </w:rPr>
        <w:t>g poniższego schematu, uwzględnia pozostawienie 5 mm zapasu drutu po każdej stronie tulejki dla kompensacji rozszerzalności cieplnej materiałów. Następnie druty należy odgiąć do tyłu, tak by nie dotykały rury stalowej.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noProof/>
          <w:szCs w:val="24"/>
          <w:lang w:eastAsia="pl-PL"/>
        </w:rPr>
        <w:drawing>
          <wp:inline distT="0" distB="0" distL="0" distR="0" wp14:anchorId="3252B07E" wp14:editId="721D632F">
            <wp:extent cx="5762625" cy="2095500"/>
            <wp:effectExtent l="0" t="0" r="9525" b="0"/>
            <wp:docPr id="2" name="Obraz 2" descr="Na druty nałożyć tulejkę zaciskową. Tulejkę zacisnąć około 4 mm od końca za pomocą zaciskarki do tulejek. Wystające z tulejki ocynowane odcinki drutu należy zlutować na całym odcinku, na którym sąsiaduj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Na druty nałożyć tulejkę zaciskową. Tulejkę zacisnąć około 4 mm od końca za pomocą zaciskarki do tulejek. Wystające z tulejki ocynowane odcinki drutu należy zlutować na całym odcinku, na którym sąsiadują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424">
        <w:rPr>
          <w:rFonts w:cs="Arial"/>
          <w:szCs w:val="24"/>
        </w:rPr>
        <w:t>Druty należy ocynować na długości 65 mm.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Zamocować podtrzymki przewodów do rury stalowej przy pomocy taśmy papierowej </w:t>
      </w:r>
      <w:r w:rsidR="0036415D" w:rsidRPr="00710424">
        <w:rPr>
          <w:rFonts w:cs="Arial"/>
          <w:szCs w:val="24"/>
        </w:rPr>
        <w:t>(nie  </w:t>
      </w:r>
      <w:r w:rsidRPr="00710424">
        <w:rPr>
          <w:rFonts w:cs="Arial"/>
          <w:szCs w:val="24"/>
        </w:rPr>
        <w:t>należy  stosować  taśm z tworzyw) o szerokości 25 mm, w pozycji 10</w:t>
      </w:r>
      <w:r w:rsidRPr="00710424">
        <w:rPr>
          <w:rFonts w:cs="Arial"/>
          <w:szCs w:val="24"/>
          <w:vertAlign w:val="superscript"/>
        </w:rPr>
        <w:t>00</w:t>
      </w:r>
      <w:r w:rsidRPr="00710424">
        <w:rPr>
          <w:rFonts w:cs="Arial"/>
          <w:szCs w:val="24"/>
        </w:rPr>
        <w:t xml:space="preserve"> i 14</w:t>
      </w:r>
      <w:r w:rsidRPr="00710424">
        <w:rPr>
          <w:rFonts w:cs="Arial"/>
          <w:szCs w:val="24"/>
          <w:vertAlign w:val="superscript"/>
        </w:rPr>
        <w:t>00</w:t>
      </w:r>
      <w:r w:rsidRPr="00710424">
        <w:rPr>
          <w:rFonts w:cs="Arial"/>
          <w:szCs w:val="24"/>
        </w:rPr>
        <w:t xml:space="preserve"> na</w:t>
      </w:r>
      <w:r w:rsid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tarczy zegara. 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Na drutach musi być nałożona tulejka zaciskowa , a całość ułożona na podtrzymkach izolacyjnych.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Tulejkę zacisnąć około 4 mm od końca za pomocą zaciskarki do</w:t>
      </w:r>
      <w:r w:rsidR="0036415D" w:rsidRPr="00710424">
        <w:rPr>
          <w:rFonts w:cs="Arial"/>
          <w:szCs w:val="24"/>
        </w:rPr>
        <w:t xml:space="preserve"> tulejek (o szerokości szczęk 7 </w:t>
      </w:r>
      <w:r w:rsidRPr="00710424">
        <w:rPr>
          <w:rFonts w:cs="Arial"/>
          <w:szCs w:val="24"/>
        </w:rPr>
        <w:t xml:space="preserve">mm). 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Wystające z tulejki ocynowane odcinki drutu należy zlutować na całym odcinku, na</w:t>
      </w:r>
      <w:r w:rsid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którym sąsiadują (co najmniej 20 mm z każdej strony tulejki).</w:t>
      </w:r>
    </w:p>
    <w:p w:rsidR="002E017A" w:rsidRPr="00710424" w:rsidRDefault="002E017A" w:rsidP="00305725">
      <w:pPr>
        <w:rPr>
          <w:rFonts w:cs="Arial"/>
          <w:szCs w:val="24"/>
        </w:rPr>
      </w:pPr>
      <w:r w:rsidRPr="00710424">
        <w:rPr>
          <w:rFonts w:cs="Arial"/>
          <w:szCs w:val="24"/>
        </w:rPr>
        <w:t>Sprawdzić połączenie przez pociągnięcie za przewody alarmowe oraz pomiar omomierzem. Przewody wcisnąć do podtrzymek izolacyjnych.</w:t>
      </w:r>
      <w:bookmarkEnd w:id="4"/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Inspektor Nadzoru SCE Jaworzno III.</w:t>
      </w:r>
    </w:p>
    <w:p w:rsidR="004C31A1" w:rsidRPr="00710424" w:rsidRDefault="002E017A" w:rsidP="00305725">
      <w:pPr>
        <w:pStyle w:val="Tekstpodstawowy"/>
        <w:spacing w:line="276" w:lineRule="auto"/>
        <w:ind w:left="426"/>
        <w:jc w:val="left"/>
        <w:rPr>
          <w:rFonts w:ascii="Arial" w:hAnsi="Arial" w:cs="Arial"/>
          <w:b/>
          <w:sz w:val="24"/>
          <w:szCs w:val="24"/>
        </w:rPr>
      </w:pPr>
      <w:r w:rsidRPr="00710424">
        <w:rPr>
          <w:rFonts w:ascii="Arial" w:hAnsi="Arial" w:cs="Arial"/>
          <w:sz w:val="24"/>
          <w:szCs w:val="24"/>
        </w:rPr>
        <w:t>Wykonawca godzi się na sprawowanie przez wyznaczonego przedstawiciela</w:t>
      </w:r>
      <w:r w:rsidR="001046F2">
        <w:rPr>
          <w:rFonts w:ascii="Arial" w:hAnsi="Arial" w:cs="Arial"/>
          <w:sz w:val="24"/>
          <w:szCs w:val="24"/>
        </w:rPr>
        <w:t xml:space="preserve"> </w:t>
      </w:r>
      <w:r w:rsidRPr="00710424">
        <w:rPr>
          <w:rFonts w:ascii="Arial" w:hAnsi="Arial" w:cs="Arial"/>
          <w:sz w:val="24"/>
          <w:szCs w:val="24"/>
        </w:rPr>
        <w:t>SCE funkcji inspektora nadzoru, który odbiera wszelkie prace zanikowe. Wykonawca nie może kontynuować wykonywania prac następujących po</w:t>
      </w:r>
      <w:r w:rsidR="00710424">
        <w:rPr>
          <w:rFonts w:ascii="Arial" w:hAnsi="Arial" w:cs="Arial"/>
          <w:sz w:val="24"/>
          <w:szCs w:val="24"/>
        </w:rPr>
        <w:t> </w:t>
      </w:r>
      <w:r w:rsidRPr="00710424">
        <w:rPr>
          <w:rFonts w:ascii="Arial" w:hAnsi="Arial" w:cs="Arial"/>
          <w:sz w:val="24"/>
          <w:szCs w:val="24"/>
        </w:rPr>
        <w:t>nieodebranych robotach zanikowych. Odbiory robót muszą być potwierdzone wpisem do Dziennika Budowy.</w:t>
      </w:r>
      <w:r w:rsidR="0036415D" w:rsidRPr="00710424">
        <w:rPr>
          <w:rFonts w:ascii="Arial" w:hAnsi="Arial" w:cs="Arial"/>
          <w:b/>
          <w:sz w:val="24"/>
          <w:szCs w:val="24"/>
        </w:rPr>
        <w:t xml:space="preserve"> </w:t>
      </w:r>
    </w:p>
    <w:p w:rsidR="002E017A" w:rsidRPr="001046F2" w:rsidRDefault="004C31A1" w:rsidP="001046F2">
      <w:pPr>
        <w:pStyle w:val="Tekstpodstawowy"/>
        <w:spacing w:line="276" w:lineRule="auto"/>
        <w:ind w:left="426"/>
        <w:jc w:val="left"/>
        <w:rPr>
          <w:rFonts w:ascii="Arial" w:hAnsi="Arial"/>
          <w:b/>
          <w:bCs/>
          <w:sz w:val="24"/>
        </w:rPr>
      </w:pPr>
      <w:r w:rsidRPr="001046F2">
        <w:rPr>
          <w:rStyle w:val="Pogrubienie"/>
        </w:rPr>
        <w:t>Inspektor</w:t>
      </w:r>
      <w:r w:rsidR="0036415D" w:rsidRPr="001046F2">
        <w:rPr>
          <w:rStyle w:val="Pogrubienie"/>
        </w:rPr>
        <w:t xml:space="preserve"> ze </w:t>
      </w:r>
      <w:r w:rsidR="002E017A" w:rsidRPr="001046F2">
        <w:rPr>
          <w:rStyle w:val="Pogrubienie"/>
        </w:rPr>
        <w:t xml:space="preserve">strony SCE będzie mógł wstrzymać </w:t>
      </w:r>
      <w:r w:rsidRPr="001046F2">
        <w:rPr>
          <w:rStyle w:val="Pogrubienie"/>
        </w:rPr>
        <w:t>roboty wykonywane niezgodnie ze </w:t>
      </w:r>
      <w:r w:rsidR="002E017A" w:rsidRPr="001046F2">
        <w:rPr>
          <w:rStyle w:val="Pogrubienie"/>
        </w:rPr>
        <w:t>sztuką budowlaną i niniejszymi wytycznymi.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Odbiorowi przez ww</w:t>
      </w:r>
      <w:r w:rsidR="005F0713" w:rsidRPr="00710424">
        <w:t>.</w:t>
      </w:r>
      <w:r w:rsidR="001D0177" w:rsidRPr="00710424">
        <w:t xml:space="preserve"> I</w:t>
      </w:r>
      <w:r w:rsidRPr="00710424">
        <w:t>nspektora ze strony SCE podlegają :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materiałów preizolowanych t</w:t>
      </w:r>
      <w:r w:rsidR="001046F2">
        <w:rPr>
          <w:rFonts w:cs="Arial"/>
          <w:szCs w:val="24"/>
        </w:rPr>
        <w:t xml:space="preserve">o </w:t>
      </w:r>
      <w:r w:rsidRPr="00710424">
        <w:rPr>
          <w:rFonts w:cs="Arial"/>
          <w:szCs w:val="24"/>
        </w:rPr>
        <w:t>j</w:t>
      </w:r>
      <w:r w:rsidR="001046F2">
        <w:rPr>
          <w:rFonts w:cs="Arial"/>
          <w:szCs w:val="24"/>
        </w:rPr>
        <w:t>est (w skrócie tj.)</w:t>
      </w:r>
      <w:r w:rsidRPr="00710424">
        <w:rPr>
          <w:rFonts w:cs="Arial"/>
          <w:szCs w:val="24"/>
        </w:rPr>
        <w:t xml:space="preserve"> sprawdzenie atestu producenta, głównych wymiarów, stanu powierzchni rur osłonowych (braku uszkodzeń powłoki), długości niezaizolowanych końcówek rur przewodowych pozostawionych do</w:t>
      </w:r>
      <w:r w:rsid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spawania, drożności rur przewodowych, sprawności zaworów preizolowanych (zamk</w:t>
      </w:r>
      <w:r w:rsidR="0036415D" w:rsidRPr="00710424">
        <w:rPr>
          <w:rFonts w:cs="Arial"/>
          <w:szCs w:val="24"/>
        </w:rPr>
        <w:t>nięcie i otwarcie)</w:t>
      </w:r>
      <w:r w:rsidR="00BA0DBF">
        <w:rPr>
          <w:rFonts w:cs="Arial"/>
          <w:szCs w:val="24"/>
        </w:rPr>
        <w:t> </w:t>
      </w:r>
      <w:r w:rsidR="0036415D" w:rsidRPr="00710424">
        <w:rPr>
          <w:rFonts w:cs="Arial"/>
          <w:szCs w:val="24"/>
        </w:rPr>
        <w:t>oraz </w:t>
      </w:r>
      <w:r w:rsidRPr="00710424">
        <w:rPr>
          <w:rFonts w:cs="Arial"/>
          <w:szCs w:val="24"/>
        </w:rPr>
        <w:t xml:space="preserve">ułożenia kuli przy otwartym zaworze (ocenę przeprowadza się organoleptycznie). 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ułożenia rur w wykopie tj.</w:t>
      </w:r>
      <w:r w:rsidR="00BA0DBF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sprawdzenie prawidłowości s</w:t>
      </w:r>
      <w:r w:rsidR="0036415D" w:rsidRPr="00710424">
        <w:rPr>
          <w:rFonts w:cs="Arial"/>
          <w:szCs w:val="24"/>
        </w:rPr>
        <w:t>padku podłoża</w:t>
      </w:r>
      <w:r w:rsidR="00047D1F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na </w:t>
      </w:r>
      <w:r w:rsidRPr="00710424">
        <w:rPr>
          <w:rFonts w:cs="Arial"/>
          <w:szCs w:val="24"/>
        </w:rPr>
        <w:t>podstawie dokumentacji geodezyjnej</w:t>
      </w:r>
      <w:r w:rsidR="00BA0DBF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oraz</w:t>
      </w:r>
      <w:r w:rsidR="00BA0DBF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sprawdzenie czy</w:t>
      </w:r>
      <w:r w:rsidR="00BA0DBF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podłoże zostało wykonane zgodnie z dokumentacją techniczną i zgodnie ze sztuką budowl</w:t>
      </w:r>
      <w:r w:rsidR="0036415D" w:rsidRPr="00710424">
        <w:rPr>
          <w:rFonts w:cs="Arial"/>
          <w:szCs w:val="24"/>
        </w:rPr>
        <w:t>aną. Układanie rur</w:t>
      </w:r>
      <w:r w:rsidR="00710424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w </w:t>
      </w:r>
      <w:r w:rsidRPr="00710424">
        <w:rPr>
          <w:rFonts w:cs="Arial"/>
          <w:szCs w:val="24"/>
        </w:rPr>
        <w:t>wykopie ma być wykonane na podkładach drewnianych, które należy usunąć</w:t>
      </w:r>
      <w:r w:rsidR="00710424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po </w:t>
      </w:r>
      <w:r w:rsidRPr="00710424">
        <w:rPr>
          <w:rFonts w:cs="Arial"/>
          <w:szCs w:val="24"/>
        </w:rPr>
        <w:t>wykonaniu obsypania rur piaskiem.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przeprowadzanych prób hydraulicznych sieci na ciśnienie 2,4 MPa dla</w:t>
      </w:r>
      <w:r w:rsid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sieci wysokoparametrowych lub 0,9 MPa dla sieci niskoparametrowych, trwających 30 min</w:t>
      </w:r>
      <w:r w:rsidR="00BA0DBF">
        <w:rPr>
          <w:rFonts w:cs="Arial"/>
          <w:szCs w:val="24"/>
        </w:rPr>
        <w:t>ut</w:t>
      </w:r>
      <w:r w:rsidRPr="00710424">
        <w:rPr>
          <w:rFonts w:cs="Arial"/>
          <w:szCs w:val="24"/>
        </w:rPr>
        <w:t xml:space="preserve"> oraz protokołów badań wszystkich połączeń </w:t>
      </w:r>
      <w:r w:rsidR="001D0177" w:rsidRPr="00710424">
        <w:rPr>
          <w:rFonts w:cs="Arial"/>
          <w:szCs w:val="24"/>
        </w:rPr>
        <w:t>spawanych metodą ultradźwiękową</w:t>
      </w:r>
      <w:r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połączeń spawanych w</w:t>
      </w:r>
      <w:r w:rsidR="00BA0DBF">
        <w:rPr>
          <w:rFonts w:cs="Arial"/>
          <w:szCs w:val="24"/>
        </w:rPr>
        <w:t>edłu</w:t>
      </w:r>
      <w:r w:rsidRPr="00710424">
        <w:rPr>
          <w:rFonts w:cs="Arial"/>
          <w:szCs w:val="24"/>
        </w:rPr>
        <w:t xml:space="preserve">g zasad określonych w punkcie 7. Ilość spoin musi </w:t>
      </w:r>
      <w:r w:rsidR="005F0713" w:rsidRPr="00710424">
        <w:rPr>
          <w:rFonts w:cs="Arial"/>
          <w:szCs w:val="24"/>
        </w:rPr>
        <w:t xml:space="preserve">być </w:t>
      </w:r>
      <w:r w:rsidRPr="00710424">
        <w:rPr>
          <w:rFonts w:cs="Arial"/>
          <w:szCs w:val="24"/>
        </w:rPr>
        <w:t>taka</w:t>
      </w:r>
      <w:r w:rsidR="005F0713" w:rsidRPr="00710424">
        <w:rPr>
          <w:rFonts w:cs="Arial"/>
          <w:szCs w:val="24"/>
        </w:rPr>
        <w:t xml:space="preserve">, </w:t>
      </w:r>
      <w:r w:rsidR="004C31A1" w:rsidRPr="00710424">
        <w:rPr>
          <w:rFonts w:cs="Arial"/>
          <w:szCs w:val="24"/>
        </w:rPr>
        <w:t>aby </w:t>
      </w:r>
      <w:r w:rsidRPr="00710424">
        <w:rPr>
          <w:rFonts w:cs="Arial"/>
          <w:szCs w:val="24"/>
        </w:rPr>
        <w:t>możliwe było natychmiastowe wykonanie: badani</w:t>
      </w:r>
      <w:r w:rsidR="00707185" w:rsidRPr="00710424">
        <w:rPr>
          <w:rFonts w:cs="Arial"/>
          <w:szCs w:val="24"/>
        </w:rPr>
        <w:t>a</w:t>
      </w:r>
      <w:r w:rsidRPr="00710424">
        <w:rPr>
          <w:rFonts w:cs="Arial"/>
          <w:szCs w:val="24"/>
        </w:rPr>
        <w:t xml:space="preserve"> spoin, połączeni</w:t>
      </w:r>
      <w:r w:rsidR="00707185" w:rsidRPr="00710424">
        <w:rPr>
          <w:rFonts w:cs="Arial"/>
          <w:szCs w:val="24"/>
        </w:rPr>
        <w:t>a</w:t>
      </w:r>
      <w:r w:rsidRPr="00710424">
        <w:rPr>
          <w:rFonts w:cs="Arial"/>
          <w:szCs w:val="24"/>
        </w:rPr>
        <w:t xml:space="preserve"> drutów instalacji alarmowej, obkurczeni</w:t>
      </w:r>
      <w:r w:rsidR="00707185" w:rsidRPr="00710424">
        <w:rPr>
          <w:rFonts w:cs="Arial"/>
          <w:szCs w:val="24"/>
        </w:rPr>
        <w:t>a</w:t>
      </w:r>
      <w:r w:rsidRPr="00710424">
        <w:rPr>
          <w:rFonts w:cs="Arial"/>
          <w:szCs w:val="24"/>
        </w:rPr>
        <w:t xml:space="preserve"> muf, prób</w:t>
      </w:r>
      <w:r w:rsidR="00707185" w:rsidRPr="00710424">
        <w:rPr>
          <w:rFonts w:cs="Arial"/>
          <w:szCs w:val="24"/>
        </w:rPr>
        <w:t>y</w:t>
      </w:r>
      <w:r w:rsidRPr="00710424">
        <w:rPr>
          <w:rFonts w:cs="Arial"/>
          <w:szCs w:val="24"/>
        </w:rPr>
        <w:t xml:space="preserve"> szczelności muf, zalani</w:t>
      </w:r>
      <w:r w:rsidR="00707185" w:rsidRPr="00710424">
        <w:rPr>
          <w:rFonts w:cs="Arial"/>
          <w:szCs w:val="24"/>
        </w:rPr>
        <w:t>a</w:t>
      </w:r>
      <w:r w:rsidRPr="00710424">
        <w:rPr>
          <w:rFonts w:cs="Arial"/>
          <w:szCs w:val="24"/>
        </w:rPr>
        <w:t xml:space="preserve"> muf pianką, wtopieni</w:t>
      </w:r>
      <w:r w:rsidR="00707185" w:rsidRPr="00710424">
        <w:rPr>
          <w:rFonts w:cs="Arial"/>
          <w:szCs w:val="24"/>
        </w:rPr>
        <w:t>a</w:t>
      </w:r>
      <w:r w:rsidRPr="00710424">
        <w:rPr>
          <w:rFonts w:cs="Arial"/>
          <w:szCs w:val="24"/>
        </w:rPr>
        <w:t xml:space="preserve"> korków. Niedopuszczalne jest pozostawianie miejsc montażu muf niezabezpieczonych przed wodą.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połączeń przewodów instalacji alarmowej według wytyc</w:t>
      </w:r>
      <w:r w:rsidR="0036415D" w:rsidRPr="00710424">
        <w:rPr>
          <w:rFonts w:cs="Arial"/>
          <w:szCs w:val="24"/>
        </w:rPr>
        <w:t>znych SCE.</w:t>
      </w:r>
      <w:r w:rsidR="00047D1F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Aby </w:t>
      </w:r>
      <w:r w:rsidRPr="00710424">
        <w:rPr>
          <w:rFonts w:cs="Arial"/>
          <w:szCs w:val="24"/>
        </w:rPr>
        <w:t>zgłaszany do odbioru odcinek został odebrany i została wyrażona zgoda (przez</w:t>
      </w:r>
      <w:r w:rsidR="00A60811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przedstawiciela SCE) na obkurczenie muf na tym odcinku, muszą być spełnione następujące warunki:</w:t>
      </w:r>
    </w:p>
    <w:p w:rsidR="002E017A" w:rsidRPr="00710424" w:rsidRDefault="002E017A" w:rsidP="00305725">
      <w:pPr>
        <w:numPr>
          <w:ilvl w:val="0"/>
          <w:numId w:val="15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Oporność drutu pętli pomiarowej musi wynosić ok. 0,015</w:t>
      </w:r>
      <w:r w:rsidR="00BA0DBF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 xml:space="preserve">Ω </w:t>
      </w:r>
      <w:r w:rsidR="00BA0DBF">
        <w:rPr>
          <w:rFonts w:cs="Arial"/>
          <w:szCs w:val="24"/>
        </w:rPr>
        <w:t>×</w:t>
      </w:r>
      <w:r w:rsidRPr="00710424">
        <w:rPr>
          <w:rFonts w:cs="Arial"/>
          <w:szCs w:val="24"/>
        </w:rPr>
        <w:t xml:space="preserve"> długość pętli</w:t>
      </w:r>
      <w:r w:rsidR="00BA0DBF">
        <w:rPr>
          <w:rFonts w:cs="Arial"/>
          <w:szCs w:val="24"/>
        </w:rPr>
        <w:t>;</w:t>
      </w:r>
    </w:p>
    <w:p w:rsidR="002E017A" w:rsidRPr="00BA0DBF" w:rsidRDefault="002E017A" w:rsidP="00305725">
      <w:pPr>
        <w:numPr>
          <w:ilvl w:val="0"/>
          <w:numId w:val="15"/>
        </w:numPr>
        <w:spacing w:after="0"/>
        <w:rPr>
          <w:rStyle w:val="Pogrubienie"/>
        </w:rPr>
      </w:pPr>
      <w:r w:rsidRPr="00BA0DBF">
        <w:rPr>
          <w:rStyle w:val="Pogrubienie"/>
        </w:rPr>
        <w:t>Oporność pianki poliuretanowej zgłaszanego do odbioru odcinka musi w</w:t>
      </w:r>
      <w:r w:rsidR="0036415D" w:rsidRPr="00BA0DBF">
        <w:rPr>
          <w:rStyle w:val="Pogrubienie"/>
        </w:rPr>
        <w:t>ynosić R&gt;</w:t>
      </w:r>
      <w:r w:rsidRPr="00BA0DBF">
        <w:rPr>
          <w:rStyle w:val="Pogrubienie"/>
        </w:rPr>
        <w:t>200 [MΩ]</w:t>
      </w:r>
      <w:r w:rsidR="00BA0DBF">
        <w:rPr>
          <w:rStyle w:val="Pogrubienie"/>
        </w:rPr>
        <w:t>.</w:t>
      </w:r>
    </w:p>
    <w:p w:rsidR="002E017A" w:rsidRPr="00710424" w:rsidRDefault="002E017A" w:rsidP="00305725">
      <w:pPr>
        <w:ind w:left="426"/>
        <w:rPr>
          <w:rFonts w:cs="Arial"/>
          <w:szCs w:val="24"/>
        </w:rPr>
      </w:pPr>
      <w:r w:rsidRPr="00710424">
        <w:rPr>
          <w:rFonts w:cs="Arial"/>
          <w:szCs w:val="24"/>
        </w:rPr>
        <w:t>Połączone przewody alarmowe na zakończeniach sieci preizolow</w:t>
      </w:r>
      <w:r w:rsidR="0036415D" w:rsidRPr="00710424">
        <w:rPr>
          <w:rFonts w:cs="Arial"/>
          <w:szCs w:val="24"/>
        </w:rPr>
        <w:t>anej należy</w:t>
      </w:r>
      <w:r w:rsidR="00047D1F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w </w:t>
      </w:r>
      <w:r w:rsidRPr="00710424">
        <w:rPr>
          <w:rFonts w:cs="Arial"/>
          <w:szCs w:val="24"/>
        </w:rPr>
        <w:t>budynkach wyciągnąć spod end-cap. Druty połączyć ze sobą za pomocą tulejki zaciskowej i zaizolować zakładając koszulkę termokurczliwą. Nieszczelności między drutem i end-cap uszczelnić. W przypadku komór przewody alarmowe połączyć</w:t>
      </w:r>
      <w:r w:rsidR="00953B92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w</w:t>
      </w:r>
      <w:r w:rsidR="00953B92">
        <w:rPr>
          <w:rFonts w:cs="Arial"/>
          <w:szCs w:val="24"/>
        </w:rPr>
        <w:t>edłu</w:t>
      </w:r>
      <w:r w:rsidR="0036415D" w:rsidRPr="00710424">
        <w:rPr>
          <w:rFonts w:cs="Arial"/>
          <w:szCs w:val="24"/>
        </w:rPr>
        <w:t>g </w:t>
      </w:r>
      <w:r w:rsidRPr="00710424">
        <w:rPr>
          <w:rFonts w:cs="Arial"/>
          <w:szCs w:val="24"/>
        </w:rPr>
        <w:t>wytycznych SCE i ułożyć w zagłębieniu w piance PUR w taki sposób</w:t>
      </w:r>
      <w:r w:rsidR="00953B92">
        <w:rPr>
          <w:rFonts w:cs="Arial"/>
          <w:szCs w:val="24"/>
        </w:rPr>
        <w:t>,</w:t>
      </w:r>
      <w:r w:rsidRPr="00710424">
        <w:rPr>
          <w:rFonts w:cs="Arial"/>
          <w:szCs w:val="24"/>
        </w:rPr>
        <w:t xml:space="preserve"> aby były równooddalone w każdym punkcie od rury stalowej</w:t>
      </w:r>
      <w:r w:rsidR="00953B92">
        <w:rPr>
          <w:rFonts w:cs="Arial"/>
          <w:szCs w:val="24"/>
        </w:rPr>
        <w:t>. C</w:t>
      </w:r>
      <w:r w:rsidRPr="00710424">
        <w:rPr>
          <w:rFonts w:cs="Arial"/>
          <w:szCs w:val="24"/>
        </w:rPr>
        <w:t>ałość schować pod nasadkę termokurczliwą (end-cap).</w:t>
      </w:r>
    </w:p>
    <w:p w:rsidR="002E017A" w:rsidRPr="00710424" w:rsidRDefault="002E017A" w:rsidP="00305725">
      <w:pPr>
        <w:ind w:left="426"/>
        <w:rPr>
          <w:rFonts w:cs="Arial"/>
          <w:szCs w:val="24"/>
        </w:rPr>
      </w:pPr>
      <w:r w:rsidRPr="00710424">
        <w:rPr>
          <w:rFonts w:cs="Arial"/>
          <w:szCs w:val="24"/>
        </w:rPr>
        <w:t>Odbiór próby szczelności</w:t>
      </w:r>
      <w:r w:rsidR="00953B92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obkurczonych muf termokurczliwych ciśnieniem 0,2</w:t>
      </w:r>
      <w:r w:rsidR="00953B92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bar, przed</w:t>
      </w:r>
      <w:r w:rsidR="00A60811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przystąpieniem przez wykonawcę do wykonania prac związanych z zalaniem pianką w</w:t>
      </w:r>
      <w:r w:rsidR="008C33B0">
        <w:rPr>
          <w:rFonts w:cs="Arial"/>
          <w:szCs w:val="24"/>
        </w:rPr>
        <w:t xml:space="preserve">yżej </w:t>
      </w:r>
      <w:r w:rsidRPr="00710424">
        <w:rPr>
          <w:rFonts w:cs="Arial"/>
          <w:szCs w:val="24"/>
        </w:rPr>
        <w:t>w</w:t>
      </w:r>
      <w:r w:rsidR="008C33B0">
        <w:rPr>
          <w:rFonts w:cs="Arial"/>
          <w:szCs w:val="24"/>
        </w:rPr>
        <w:t>ymienionych</w:t>
      </w:r>
      <w:r w:rsidRPr="00710424">
        <w:rPr>
          <w:rFonts w:cs="Arial"/>
          <w:szCs w:val="24"/>
        </w:rPr>
        <w:t xml:space="preserve"> muf. Mufy należy montować zgodnie z</w:t>
      </w:r>
      <w:r w:rsidR="008C33B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instrukcją montażu mufy termokurczliwej sieciowanej radiacyjnie z korkami wtapianymi.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sukcesywny pomiarów oporności pętli pomiarowej i pomiarów oporności izolacji przed wykonywaniem prac związanych z nadsypką i przykryciem rur</w:t>
      </w:r>
      <w:r w:rsidR="008C33B0">
        <w:rPr>
          <w:rFonts w:cs="Arial"/>
          <w:szCs w:val="24"/>
        </w:rPr>
        <w:t xml:space="preserve"> </w:t>
      </w:r>
      <w:r w:rsidRPr="00710424">
        <w:rPr>
          <w:rFonts w:cs="Arial"/>
          <w:szCs w:val="24"/>
        </w:rPr>
        <w:t>ziemią. Wyniki pomiarów wykonawca wpisuje do Dziennika Budowy, a</w:t>
      </w:r>
      <w:r w:rsidR="008C33B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przedstawiciel SCE swoim wpisem je potwierdza i wyraża zgodę na</w:t>
      </w:r>
      <w:r w:rsidR="008C33B0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wykonywanie kolejnych prac, jeżeli wyniki pomiarów odpowiadają wartościom podanym w Projekcie </w:t>
      </w:r>
      <w:r w:rsidR="00707185" w:rsidRPr="00710424">
        <w:rPr>
          <w:rFonts w:cs="Arial"/>
          <w:szCs w:val="24"/>
        </w:rPr>
        <w:t>Technicznym</w:t>
      </w:r>
      <w:r w:rsidRPr="00710424">
        <w:rPr>
          <w:rFonts w:cs="Arial"/>
          <w:szCs w:val="24"/>
        </w:rPr>
        <w:t xml:space="preserve"> sieci.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Prace związane z łączeniem drutów, obkurczeniem muf, zalanie</w:t>
      </w:r>
      <w:r w:rsidR="0036415D" w:rsidRPr="00710424">
        <w:rPr>
          <w:rFonts w:cs="Arial"/>
          <w:szCs w:val="24"/>
        </w:rPr>
        <w:t>m muf pianką</w:t>
      </w:r>
      <w:r w:rsidR="00B37C35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oraz </w:t>
      </w:r>
      <w:r w:rsidRPr="00710424">
        <w:rPr>
          <w:rFonts w:cs="Arial"/>
          <w:szCs w:val="24"/>
        </w:rPr>
        <w:t>wgrzaniem korków należy wykonywać w tym samym dniu. Nie jest dopuszczalne przerwanie prac i odłożenie na dzień następny.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Przed wykonaniem obkurczenia mufy należy wydłubać</w:t>
      </w:r>
      <w:r w:rsidR="004C31A1" w:rsidRPr="00710424">
        <w:rPr>
          <w:rFonts w:cs="Arial"/>
          <w:szCs w:val="24"/>
        </w:rPr>
        <w:t xml:space="preserve"> wierzchnią część pianki po obu </w:t>
      </w:r>
      <w:r w:rsidRPr="00710424">
        <w:rPr>
          <w:rFonts w:cs="Arial"/>
          <w:szCs w:val="24"/>
        </w:rPr>
        <w:t>stronach połączenia.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Wykonawca zleca SCE dokonanie 3 pomiarów (w przypadku</w:t>
      </w:r>
      <w:r w:rsidR="00A410BA">
        <w:rPr>
          <w:rFonts w:cs="Arial"/>
          <w:szCs w:val="24"/>
        </w:rPr>
        <w:t>,</w:t>
      </w:r>
      <w:r w:rsidRPr="00710424">
        <w:rPr>
          <w:rFonts w:cs="Arial"/>
          <w:szCs w:val="24"/>
        </w:rPr>
        <w:t xml:space="preserve"> gdy budowana sieć będzie włączana do istniejącej sieci preizolowanej) oporności pętli pomiarowej i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oporności izolacji za kwotę 200 </w:t>
      </w:r>
      <w:r w:rsidR="00B37C35">
        <w:rPr>
          <w:rFonts w:cs="Arial"/>
          <w:szCs w:val="24"/>
        </w:rPr>
        <w:t>zł</w:t>
      </w:r>
      <w:r w:rsidRPr="00710424">
        <w:rPr>
          <w:rFonts w:cs="Arial"/>
          <w:szCs w:val="24"/>
        </w:rPr>
        <w:t xml:space="preserve"> netto za każdy pomiar. Pierwszy pomiar wykonuje się na istniejącej sieci. Drugi pomiar wykonuje się na nowo zmontowan</w:t>
      </w:r>
      <w:r w:rsidR="004C31A1" w:rsidRPr="00710424">
        <w:rPr>
          <w:rFonts w:cs="Arial"/>
          <w:szCs w:val="24"/>
        </w:rPr>
        <w:t>ym odcinku (przed włączeniem do </w:t>
      </w:r>
      <w:r w:rsidRPr="00710424">
        <w:rPr>
          <w:rFonts w:cs="Arial"/>
          <w:szCs w:val="24"/>
        </w:rPr>
        <w:t>sieci). Trzeci pomiar wykonuje się na całym odci</w:t>
      </w:r>
      <w:r w:rsidR="004C31A1" w:rsidRPr="00710424">
        <w:rPr>
          <w:rFonts w:cs="Arial"/>
          <w:szCs w:val="24"/>
        </w:rPr>
        <w:t>nku po włączeniu nowej sieci. W </w:t>
      </w:r>
      <w:r w:rsidRPr="00710424">
        <w:rPr>
          <w:rFonts w:cs="Arial"/>
          <w:szCs w:val="24"/>
        </w:rPr>
        <w:t>protokole odbioru Wykonawca podaje zmierzoną długość pętli i podaną przez producenta rur preizolowanych oporność właściwą drutu i jego przekrój.</w:t>
      </w:r>
      <w:r w:rsidRPr="00710424">
        <w:rPr>
          <w:rFonts w:cs="Arial"/>
          <w:szCs w:val="24"/>
        </w:rPr>
        <w:br/>
        <w:t xml:space="preserve">Wykonawca zleci SCE wykonanie </w:t>
      </w:r>
      <w:r w:rsidR="00A410BA">
        <w:rPr>
          <w:rFonts w:cs="Arial"/>
          <w:szCs w:val="24"/>
        </w:rPr>
        <w:t>jednego</w:t>
      </w:r>
      <w:r w:rsidRPr="00710424">
        <w:rPr>
          <w:rFonts w:cs="Arial"/>
          <w:szCs w:val="24"/>
        </w:rPr>
        <w:t xml:space="preserve"> pomiaru w przypadku</w:t>
      </w:r>
      <w:r w:rsidR="00A60811" w:rsidRPr="00710424">
        <w:rPr>
          <w:rFonts w:cs="Arial"/>
          <w:szCs w:val="24"/>
        </w:rPr>
        <w:t>,</w:t>
      </w:r>
      <w:r w:rsidRPr="00710424">
        <w:rPr>
          <w:rFonts w:cs="Arial"/>
          <w:szCs w:val="24"/>
        </w:rPr>
        <w:t xml:space="preserve"> gdy budowana sieć będzie włączana do istniejącej sieci, która nie jest siecią preizolowaną.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Po wykonaniu sieci wykonawca zleca SCE bezpłatny pomiar wzorcowy reflektometrem. Wyniki pomiaru (wykres) należy zapisać w formie elektronicznej.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Kwalifikacja sieci do zasypania tj. sprawdzenie wykonania i zabezpieczenia stref kompensacyjnych, przejść przez przegrody budowlane, podpór stałych, odsłoniętych powierzchni czołowych pianki PUR. 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płukania sieci ciepłowniczej wodą uzdatnioną. Płukanie ma się odbywać wodą sieciową (uzdatnioną) dla każdej rury oddzielnie, przy użyciu kompresora o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wydajności pozwalającej na uzyskanie wypływu wody (z zaworu spustowego) o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odpowiednim strumieniu i jednoczesnym utrzymaniu ciśnienia na poziomie</w:t>
      </w:r>
      <w:r w:rsidR="00A410BA">
        <w:rPr>
          <w:rFonts w:cs="Arial"/>
          <w:szCs w:val="24"/>
        </w:rPr>
        <w:br/>
      </w:r>
      <w:r w:rsidRPr="00710424">
        <w:rPr>
          <w:rFonts w:cs="Arial"/>
          <w:szCs w:val="24"/>
        </w:rPr>
        <w:t>p=10 bar, t</w:t>
      </w:r>
      <w:r w:rsidR="00A410BA">
        <w:rPr>
          <w:rFonts w:cs="Arial"/>
          <w:szCs w:val="24"/>
        </w:rPr>
        <w:t xml:space="preserve">o znaczy </w:t>
      </w:r>
      <w:r w:rsidRPr="00710424">
        <w:rPr>
          <w:rFonts w:cs="Arial"/>
          <w:szCs w:val="24"/>
        </w:rPr>
        <w:t>ciśnienia przed rozpoczęciem płukania. Wykonawca ponosi pełną odpowiedzialność za wykonane przez siebie płukanie sieci, a w przypadku zatkania się filtrów po połączeniu sieci z</w:t>
      </w:r>
      <w:r w:rsidR="00A410BA">
        <w:rPr>
          <w:rFonts w:cs="Arial"/>
          <w:szCs w:val="24"/>
        </w:rPr>
        <w:t>e stacją wymienników ciepła (w skrócie SWC)</w:t>
      </w:r>
      <w:r w:rsidRPr="00710424">
        <w:rPr>
          <w:rFonts w:cs="Arial"/>
          <w:szCs w:val="24"/>
        </w:rPr>
        <w:t>, będzie obciążony kosztami związanymi z ich czyszczeniem.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Wykonawca płaci za wodę uzdatnioną do płukania oraz za robociznę pracowników SCE dopuszczających do napełniania sieci przed i po płukaniu. Koszt wody uzdatnionej</w:t>
      </w:r>
      <w:r w:rsidR="00A410BA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i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roboczogodziny w</w:t>
      </w:r>
      <w:r w:rsidR="00A410BA">
        <w:rPr>
          <w:rFonts w:cs="Arial"/>
          <w:szCs w:val="24"/>
        </w:rPr>
        <w:t>edłu</w:t>
      </w:r>
      <w:r w:rsidRPr="00710424">
        <w:rPr>
          <w:rFonts w:cs="Arial"/>
          <w:szCs w:val="24"/>
        </w:rPr>
        <w:t xml:space="preserve">g bieżących stawek SCE. 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końcowy sieci t</w:t>
      </w:r>
      <w:r w:rsidR="00A410BA">
        <w:rPr>
          <w:rFonts w:cs="Arial"/>
          <w:szCs w:val="24"/>
        </w:rPr>
        <w:t>j.</w:t>
      </w:r>
      <w:r w:rsidRPr="00710424">
        <w:rPr>
          <w:rFonts w:cs="Arial"/>
          <w:szCs w:val="24"/>
        </w:rPr>
        <w:t xml:space="preserve"> sprawdzenie wykonania podsypki i zasypki piaskowej stabilizowanej. Zakwalifikowanie sieci do zasypania gruntem rodzimym i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uruchomienia.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systemu sygnalizacji i lokalizacji uszkodzeń sieci ciep</w:t>
      </w:r>
      <w:r w:rsidR="0036415D" w:rsidRPr="00710424">
        <w:rPr>
          <w:rFonts w:cs="Arial"/>
          <w:szCs w:val="24"/>
        </w:rPr>
        <w:t>łowniczej preizolowanej,</w:t>
      </w:r>
      <w:r w:rsidR="00A410BA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tj</w:t>
      </w:r>
      <w:r w:rsidR="00A410BA">
        <w:rPr>
          <w:rFonts w:cs="Arial"/>
          <w:szCs w:val="24"/>
        </w:rPr>
        <w:t>.</w:t>
      </w:r>
      <w:r w:rsidR="0036415D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sprawdzenie zgodności z dokumentacją techniczną wykon</w:t>
      </w:r>
      <w:r w:rsidR="0036415D" w:rsidRPr="00710424">
        <w:rPr>
          <w:rFonts w:cs="Arial"/>
          <w:szCs w:val="24"/>
        </w:rPr>
        <w:t>anego systemu sygnalizacji</w:t>
      </w:r>
      <w:r w:rsidR="00A410BA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i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lokalizacji oraz prawidłowości działania. </w:t>
      </w:r>
    </w:p>
    <w:p w:rsidR="002E017A" w:rsidRPr="00710424" w:rsidRDefault="002E017A" w:rsidP="00305725">
      <w:pPr>
        <w:numPr>
          <w:ilvl w:val="0"/>
          <w:numId w:val="7"/>
        </w:numPr>
        <w:spacing w:after="0"/>
        <w:rPr>
          <w:rFonts w:cs="Arial"/>
          <w:szCs w:val="24"/>
        </w:rPr>
      </w:pPr>
      <w:r w:rsidRPr="00710424">
        <w:rPr>
          <w:rFonts w:cs="Arial"/>
          <w:szCs w:val="24"/>
        </w:rPr>
        <w:t>Odbiór końcowy sieci ciepłowniczej preizolowanej tj. stwierdzenie poprawności wykonania sieci ciepłowniczej w oparciu o przedłożone protokoły odbiorów częściowych. Przekazanie SCE powykonawczych schematów montażowych preizolowanej sieci ciepłowniczej wraz ze schematem pomontażowym systemu sygnalizacji i lokalizacji uszkodzeń. Wykonawca dokonuje pomiarów oporności drutów alarmowych od punktu pomiarowego do punktu pomiarowego (zwykle od</w:t>
      </w:r>
      <w:r w:rsidR="00A410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budynku do budynku) i nanosi zmiany w dokumentacji powykonawczej.</w:t>
      </w:r>
    </w:p>
    <w:p w:rsidR="002E017A" w:rsidRPr="00710424" w:rsidRDefault="002E017A" w:rsidP="00305725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710424">
        <w:rPr>
          <w:rFonts w:ascii="Arial" w:hAnsi="Arial" w:cs="Arial"/>
          <w:sz w:val="24"/>
          <w:szCs w:val="24"/>
        </w:rPr>
        <w:t>Odbiór wszystkich innych robót zanikających, niewymienionych w tym p</w:t>
      </w:r>
      <w:r w:rsidR="00695704">
        <w:rPr>
          <w:rFonts w:ascii="Arial" w:hAnsi="Arial" w:cs="Arial"/>
          <w:sz w:val="24"/>
          <w:szCs w:val="24"/>
        </w:rPr>
        <w:t>unkcie</w:t>
      </w:r>
      <w:r w:rsidRPr="00710424">
        <w:rPr>
          <w:rFonts w:ascii="Arial" w:hAnsi="Arial" w:cs="Arial"/>
          <w:sz w:val="24"/>
          <w:szCs w:val="24"/>
        </w:rPr>
        <w:t>.</w:t>
      </w:r>
    </w:p>
    <w:p w:rsidR="002E017A" w:rsidRPr="00710424" w:rsidRDefault="002E017A" w:rsidP="00305725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10424">
        <w:rPr>
          <w:rFonts w:ascii="Arial" w:hAnsi="Arial" w:cs="Arial"/>
          <w:sz w:val="24"/>
          <w:szCs w:val="24"/>
        </w:rPr>
        <w:t>Wykonawca nie płaci za wodę do napełnienia sieci oraz prac</w:t>
      </w:r>
      <w:r w:rsidR="0036415D" w:rsidRPr="00710424">
        <w:rPr>
          <w:rFonts w:ascii="Arial" w:hAnsi="Arial" w:cs="Arial"/>
          <w:sz w:val="24"/>
          <w:szCs w:val="24"/>
        </w:rPr>
        <w:t>e SCE z tym</w:t>
      </w:r>
      <w:r w:rsidR="00695704">
        <w:rPr>
          <w:rFonts w:ascii="Arial" w:hAnsi="Arial" w:cs="Arial"/>
          <w:sz w:val="24"/>
          <w:szCs w:val="24"/>
        </w:rPr>
        <w:t xml:space="preserve"> </w:t>
      </w:r>
      <w:r w:rsidR="0036415D" w:rsidRPr="00710424">
        <w:rPr>
          <w:rFonts w:ascii="Arial" w:hAnsi="Arial" w:cs="Arial"/>
          <w:sz w:val="24"/>
          <w:szCs w:val="24"/>
        </w:rPr>
        <w:t>związane</w:t>
      </w:r>
      <w:r w:rsidR="00695704">
        <w:rPr>
          <w:rFonts w:ascii="Arial" w:hAnsi="Arial" w:cs="Arial"/>
          <w:sz w:val="24"/>
          <w:szCs w:val="24"/>
        </w:rPr>
        <w:t xml:space="preserve"> </w:t>
      </w:r>
      <w:r w:rsidR="0036415D" w:rsidRPr="00710424">
        <w:rPr>
          <w:rFonts w:ascii="Arial" w:hAnsi="Arial" w:cs="Arial"/>
          <w:sz w:val="24"/>
          <w:szCs w:val="24"/>
        </w:rPr>
        <w:t>po </w:t>
      </w:r>
      <w:r w:rsidRPr="00710424">
        <w:rPr>
          <w:rFonts w:ascii="Arial" w:hAnsi="Arial" w:cs="Arial"/>
          <w:sz w:val="24"/>
          <w:szCs w:val="24"/>
        </w:rPr>
        <w:t>wybudowaniu sieci i jej odbiorze końcowym.</w:t>
      </w:r>
    </w:p>
    <w:p w:rsidR="00A14979" w:rsidRPr="00710424" w:rsidRDefault="002E017A" w:rsidP="00305725">
      <w:pPr>
        <w:ind w:right="-284" w:firstLine="360"/>
        <w:rPr>
          <w:rFonts w:cs="Arial"/>
          <w:szCs w:val="24"/>
        </w:rPr>
      </w:pPr>
      <w:r w:rsidRPr="00710424">
        <w:rPr>
          <w:rFonts w:cs="Arial"/>
          <w:szCs w:val="24"/>
        </w:rPr>
        <w:t>Wykonawca przyjmuje do wiadomości i zarazem akceptuje ponoszenie kosztów związanych z ponownym odbiorem robót zanikowych, t</w:t>
      </w:r>
      <w:r w:rsidR="00695704">
        <w:rPr>
          <w:rFonts w:cs="Arial"/>
          <w:szCs w:val="24"/>
        </w:rPr>
        <w:t>o znaczy</w:t>
      </w:r>
      <w:r w:rsidRPr="00710424">
        <w:rPr>
          <w:rFonts w:cs="Arial"/>
          <w:szCs w:val="24"/>
        </w:rPr>
        <w:t>, jeżeli wykonawca zgłosił do odbioru wykonane prace a nie zostały one odebrane przez przedstawiciela SCE z po</w:t>
      </w:r>
      <w:r w:rsidR="004C31A1" w:rsidRPr="00710424">
        <w:rPr>
          <w:rFonts w:cs="Arial"/>
          <w:szCs w:val="24"/>
        </w:rPr>
        <w:t>wodu złego wykonania</w:t>
      </w:r>
      <w:r w:rsidR="00695704">
        <w:rPr>
          <w:rFonts w:cs="Arial"/>
          <w:szCs w:val="24"/>
        </w:rPr>
        <w:t xml:space="preserve"> </w:t>
      </w:r>
      <w:r w:rsidR="004C31A1" w:rsidRPr="00710424">
        <w:rPr>
          <w:rFonts w:cs="Arial"/>
          <w:szCs w:val="24"/>
        </w:rPr>
        <w:t>bądź w</w:t>
      </w:r>
      <w:r w:rsidR="0069570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momencie przybycia przedstawiciela nie były zakończone i konieczny jest ponowny przyjazd przedstawiciela SCE. Stawka za</w:t>
      </w:r>
      <w:r w:rsidR="0069570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 xml:space="preserve">jednorazowy (ponowny przyjazd) wynosi </w:t>
      </w:r>
      <w:r w:rsidR="00E723F5" w:rsidRPr="00710424">
        <w:rPr>
          <w:rFonts w:cs="Arial"/>
          <w:szCs w:val="24"/>
        </w:rPr>
        <w:t>1</w:t>
      </w:r>
      <w:r w:rsidR="005B51DD" w:rsidRPr="00710424">
        <w:rPr>
          <w:rFonts w:cs="Arial"/>
          <w:szCs w:val="24"/>
        </w:rPr>
        <w:t>50</w:t>
      </w:r>
      <w:r w:rsidRPr="00710424">
        <w:rPr>
          <w:rFonts w:cs="Arial"/>
          <w:szCs w:val="24"/>
        </w:rPr>
        <w:t xml:space="preserve"> zł netto.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Szkolenia pracowników SCE Jaworzno III</w:t>
      </w:r>
      <w:r w:rsidR="00695704">
        <w:t>.</w:t>
      </w:r>
    </w:p>
    <w:p w:rsidR="00952B72" w:rsidRPr="00710424" w:rsidRDefault="002E017A" w:rsidP="00305725">
      <w:pPr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Wykonawca jest zobowiązany do przeprowadzenia na swój ko</w:t>
      </w:r>
      <w:r w:rsidR="0036415D" w:rsidRPr="00710424">
        <w:rPr>
          <w:rFonts w:cs="Arial"/>
          <w:szCs w:val="24"/>
        </w:rPr>
        <w:t>szt szkolenia pracowników SCE w </w:t>
      </w:r>
      <w:r w:rsidRPr="00710424">
        <w:rPr>
          <w:rFonts w:cs="Arial"/>
          <w:szCs w:val="24"/>
        </w:rPr>
        <w:t>zakresie zastosowanej technologii. Szkolenie to ma być przeprowadzone przed rozpoczęciem budowy sieci ciepłowniczej.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Warunki uznania sieci jako gotowej do przekazania SCE</w:t>
      </w:r>
      <w:r w:rsidR="00695704">
        <w:t>.</w:t>
      </w:r>
    </w:p>
    <w:p w:rsidR="002E017A" w:rsidRPr="00710424" w:rsidRDefault="002E017A" w:rsidP="00305725">
      <w:pPr>
        <w:numPr>
          <w:ilvl w:val="0"/>
          <w:numId w:val="1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Przekazanie SCE kompletu dokumentów tj.</w:t>
      </w:r>
      <w:r w:rsidR="004777BA">
        <w:rPr>
          <w:rFonts w:cs="Arial"/>
          <w:szCs w:val="24"/>
        </w:rPr>
        <w:t>: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projektu </w:t>
      </w:r>
      <w:r w:rsidR="00E723F5" w:rsidRPr="00710424">
        <w:rPr>
          <w:rFonts w:cs="Arial"/>
          <w:szCs w:val="24"/>
        </w:rPr>
        <w:t>technicznego</w:t>
      </w:r>
      <w:r w:rsidRPr="00710424">
        <w:rPr>
          <w:rFonts w:cs="Arial"/>
          <w:szCs w:val="24"/>
        </w:rPr>
        <w:t xml:space="preserve"> z naniesionymi zmianami, które wystąpiły w trakcie realizacji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Dziennika  Budowy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dokumentacji powykonawczej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operatu geodezyjnego powykonawczego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 xml:space="preserve">współrzędnych punktów charakterystycznych sieci tj. złącz mufowych, załamań, kolan, odgałęzień, </w:t>
      </w:r>
      <w:r w:rsidR="004777BA">
        <w:rPr>
          <w:rFonts w:cs="Arial"/>
          <w:szCs w:val="24"/>
        </w:rPr>
        <w:t>itd.</w:t>
      </w:r>
      <w:r w:rsidRPr="00710424">
        <w:rPr>
          <w:rFonts w:cs="Arial"/>
          <w:szCs w:val="24"/>
        </w:rPr>
        <w:t xml:space="preserve"> w wersji elektronicznej</w:t>
      </w:r>
      <w:r w:rsidR="004777BA">
        <w:rPr>
          <w:rFonts w:cs="Arial"/>
          <w:szCs w:val="24"/>
        </w:rPr>
        <w:t>;</w:t>
      </w:r>
    </w:p>
    <w:p w:rsidR="002E017A" w:rsidRPr="00710424" w:rsidRDefault="00B37C35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>
        <w:rPr>
          <w:rFonts w:cs="Arial"/>
          <w:szCs w:val="24"/>
        </w:rPr>
        <w:t xml:space="preserve">krajowych ocen technicznych, </w:t>
      </w:r>
      <w:r w:rsidR="002E017A" w:rsidRPr="00710424">
        <w:rPr>
          <w:rFonts w:cs="Arial"/>
          <w:szCs w:val="24"/>
        </w:rPr>
        <w:t>certyfikatów technicznych</w:t>
      </w:r>
      <w:r w:rsidR="00D6194D" w:rsidRPr="00710424">
        <w:rPr>
          <w:rFonts w:cs="Arial"/>
          <w:szCs w:val="24"/>
        </w:rPr>
        <w:t>, deklaracji właściwości użytkowych</w:t>
      </w:r>
      <w:r w:rsidR="002E017A" w:rsidRPr="00710424">
        <w:rPr>
          <w:rFonts w:cs="Arial"/>
          <w:szCs w:val="24"/>
        </w:rPr>
        <w:t xml:space="preserve"> materiałów preizolowanych i pozostałych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oświadczeń o przywróceniu terenów do stanu pierwotnego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protokołów odbioru odtworzonych nawierzchni przez zarządcę dróg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protokołów odbioru właściciela terenu</w:t>
      </w:r>
      <w:r w:rsidR="00D6194D" w:rsidRPr="00710424">
        <w:rPr>
          <w:rFonts w:cs="Arial"/>
          <w:szCs w:val="24"/>
        </w:rPr>
        <w:t>,</w:t>
      </w:r>
      <w:r w:rsidRPr="00710424">
        <w:rPr>
          <w:rFonts w:cs="Arial"/>
          <w:szCs w:val="24"/>
        </w:rPr>
        <w:t xml:space="preserve"> przez który przebiega sieć ciepłownicza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protokołów odbiorowych nr 1</w:t>
      </w:r>
      <w:r w:rsidR="001E217A" w:rsidRPr="00710424">
        <w:rPr>
          <w:rFonts w:cs="Arial"/>
          <w:szCs w:val="24"/>
        </w:rPr>
        <w:t>÷</w:t>
      </w:r>
      <w:r w:rsidRPr="00710424">
        <w:rPr>
          <w:rFonts w:cs="Arial"/>
          <w:szCs w:val="24"/>
        </w:rPr>
        <w:t>10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wypełnionych dokumentów wymaganych przez PINB w momencie składania zawiadomienia o zakończeniu budowy (dotyczy zadań wykonywanych na</w:t>
      </w:r>
      <w:r w:rsidR="004777BA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pozwolenie</w:t>
      </w:r>
      <w:r w:rsidR="004777BA">
        <w:rPr>
          <w:rFonts w:cs="Arial"/>
          <w:szCs w:val="24"/>
        </w:rPr>
        <w:t xml:space="preserve"> </w:t>
      </w:r>
      <w:r w:rsidR="0036415D" w:rsidRPr="00710424">
        <w:rPr>
          <w:rFonts w:cs="Arial"/>
          <w:szCs w:val="24"/>
        </w:rPr>
        <w:t>na </w:t>
      </w:r>
      <w:r w:rsidRPr="00710424">
        <w:rPr>
          <w:rFonts w:cs="Arial"/>
          <w:szCs w:val="24"/>
        </w:rPr>
        <w:t>budowę)</w:t>
      </w:r>
      <w:r w:rsidR="004777BA">
        <w:rPr>
          <w:rFonts w:cs="Arial"/>
          <w:szCs w:val="24"/>
        </w:rPr>
        <w:t>;</w:t>
      </w:r>
    </w:p>
    <w:p w:rsidR="008D4293" w:rsidRPr="00710424" w:rsidRDefault="00813FCE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realizacji zobowiązania Wykonawcy</w:t>
      </w:r>
      <w:r w:rsidR="00FD4751" w:rsidRPr="00710424">
        <w:rPr>
          <w:rFonts w:cs="Arial"/>
          <w:szCs w:val="24"/>
        </w:rPr>
        <w:t xml:space="preserve"> </w:t>
      </w:r>
      <w:r w:rsidR="00280252" w:rsidRPr="00710424">
        <w:rPr>
          <w:rFonts w:cs="Arial"/>
          <w:szCs w:val="24"/>
        </w:rPr>
        <w:t>w</w:t>
      </w:r>
      <w:r w:rsidR="00FD4751" w:rsidRPr="00710424">
        <w:rPr>
          <w:rFonts w:cs="Arial"/>
          <w:szCs w:val="24"/>
        </w:rPr>
        <w:t xml:space="preserve"> zakresie </w:t>
      </w:r>
      <w:r w:rsidR="004777BA" w:rsidRPr="004777BA">
        <w:rPr>
          <w:rFonts w:cs="Arial"/>
          <w:szCs w:val="24"/>
        </w:rPr>
        <w:t>„do no significant harm” w</w:t>
      </w:r>
      <w:r w:rsidR="004777BA">
        <w:rPr>
          <w:rFonts w:cs="Arial"/>
          <w:szCs w:val="24"/>
        </w:rPr>
        <w:t> </w:t>
      </w:r>
      <w:r w:rsidR="004777BA" w:rsidRPr="004777BA">
        <w:rPr>
          <w:rFonts w:cs="Arial"/>
          <w:szCs w:val="24"/>
        </w:rPr>
        <w:t>skrócie DNSH (po polsku „nie czyń poważnej szkody”)</w:t>
      </w:r>
      <w:r w:rsidR="004777BA">
        <w:rPr>
          <w:rFonts w:cs="Arial"/>
          <w:szCs w:val="24"/>
        </w:rPr>
        <w:t>;</w:t>
      </w:r>
    </w:p>
    <w:p w:rsidR="00B233AB" w:rsidRPr="00710424" w:rsidRDefault="00B233AB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kart przekazania odpadów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2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innych, związanych z realizacją zadania</w:t>
      </w:r>
      <w:r w:rsidR="001627D5" w:rsidRPr="00710424">
        <w:rPr>
          <w:rFonts w:cs="Arial"/>
          <w:szCs w:val="24"/>
        </w:rPr>
        <w:t>, wynikających z umowy lub wymagań stawianych podczas procedury przetargu</w:t>
      </w:r>
      <w:r w:rsidR="004777BA">
        <w:rPr>
          <w:rFonts w:cs="Arial"/>
          <w:szCs w:val="24"/>
        </w:rPr>
        <w:t>;</w:t>
      </w:r>
    </w:p>
    <w:p w:rsidR="002E017A" w:rsidRPr="00710424" w:rsidRDefault="002E017A" w:rsidP="00305725">
      <w:pPr>
        <w:numPr>
          <w:ilvl w:val="0"/>
          <w:numId w:val="1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napełnienie sieci wodą uzdatnioną, po uprzednim przepłukaniu i próbie ciśnieniowej</w:t>
      </w:r>
      <w:r w:rsidR="004777BA">
        <w:rPr>
          <w:rFonts w:cs="Arial"/>
          <w:szCs w:val="24"/>
        </w:rPr>
        <w:t>;</w:t>
      </w:r>
    </w:p>
    <w:p w:rsidR="00280252" w:rsidRPr="00093EA6" w:rsidRDefault="002E017A" w:rsidP="00093EA6">
      <w:pPr>
        <w:numPr>
          <w:ilvl w:val="0"/>
          <w:numId w:val="1"/>
        </w:numPr>
        <w:spacing w:after="0"/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zorganizowanie szkolenia dla pracowników SCE, w</w:t>
      </w:r>
      <w:r w:rsidR="004777BA">
        <w:rPr>
          <w:rFonts w:cs="Arial"/>
          <w:szCs w:val="24"/>
        </w:rPr>
        <w:t>edłu</w:t>
      </w:r>
      <w:r w:rsidRPr="00710424">
        <w:rPr>
          <w:rFonts w:cs="Arial"/>
          <w:szCs w:val="24"/>
        </w:rPr>
        <w:t>g punktu 1</w:t>
      </w:r>
      <w:r w:rsidR="007D1D7E" w:rsidRPr="00710424">
        <w:rPr>
          <w:rFonts w:cs="Arial"/>
          <w:szCs w:val="24"/>
        </w:rPr>
        <w:t>1</w:t>
      </w:r>
      <w:r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Termin przełączenia sieci</w:t>
      </w:r>
      <w:r w:rsidR="00986A27">
        <w:t>.</w:t>
      </w:r>
    </w:p>
    <w:p w:rsidR="002E017A" w:rsidRPr="00710424" w:rsidRDefault="002E017A" w:rsidP="00305725">
      <w:pPr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O planowanym terminie przełączenia sieci wykon</w:t>
      </w:r>
      <w:r w:rsidR="0036415D" w:rsidRPr="00710424">
        <w:rPr>
          <w:rFonts w:cs="Arial"/>
          <w:szCs w:val="24"/>
        </w:rPr>
        <w:t>awca</w:t>
      </w:r>
      <w:r w:rsidR="001D0177" w:rsidRPr="00710424">
        <w:rPr>
          <w:rFonts w:cs="Arial"/>
          <w:szCs w:val="24"/>
        </w:rPr>
        <w:t xml:space="preserve"> powiadomi SCE Jaworzno III z 14</w:t>
      </w:r>
      <w:r w:rsidR="0036415D" w:rsidRPr="00710424">
        <w:rPr>
          <w:rFonts w:cs="Arial"/>
          <w:szCs w:val="24"/>
        </w:rPr>
        <w:t> </w:t>
      </w:r>
      <w:r w:rsidRPr="00710424">
        <w:rPr>
          <w:rFonts w:cs="Arial"/>
          <w:szCs w:val="24"/>
        </w:rPr>
        <w:t>dniowym wyprzedzeniem oraz przedstawi do akceptacji SCE harmonogram przełączenia sieci.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Bezpieczeństwo na placu budowy</w:t>
      </w:r>
      <w:r w:rsidR="00986A27">
        <w:t>.</w:t>
      </w:r>
    </w:p>
    <w:p w:rsidR="002E017A" w:rsidRPr="00710424" w:rsidRDefault="002E017A" w:rsidP="00305725">
      <w:pPr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Wszystkie wykopy należy zabezpieczać stosując ogrodzenia budowlane ażurowe</w:t>
      </w:r>
      <w:r w:rsidR="00986A27">
        <w:rPr>
          <w:rFonts w:cs="Arial"/>
          <w:szCs w:val="24"/>
        </w:rPr>
        <w:t>, zgodnie z obowiązującymi przepisami</w:t>
      </w:r>
      <w:r w:rsidRPr="00710424">
        <w:rPr>
          <w:rFonts w:cs="Arial"/>
          <w:szCs w:val="24"/>
        </w:rPr>
        <w:t>.</w:t>
      </w:r>
    </w:p>
    <w:p w:rsidR="002E017A" w:rsidRPr="00710424" w:rsidRDefault="002E017A" w:rsidP="00305725">
      <w:pPr>
        <w:pStyle w:val="Nagwek1"/>
        <w:numPr>
          <w:ilvl w:val="0"/>
          <w:numId w:val="19"/>
        </w:numPr>
        <w:ind w:left="426" w:hanging="426"/>
      </w:pPr>
      <w:r w:rsidRPr="00710424">
        <w:t>Uwagi i zapytania</w:t>
      </w:r>
      <w:r w:rsidR="00986A27">
        <w:t>.</w:t>
      </w:r>
    </w:p>
    <w:p w:rsidR="00F41314" w:rsidRPr="00710424" w:rsidRDefault="002E017A" w:rsidP="00305725">
      <w:pPr>
        <w:ind w:right="-284"/>
        <w:rPr>
          <w:rFonts w:cs="Arial"/>
          <w:szCs w:val="24"/>
        </w:rPr>
      </w:pPr>
      <w:r w:rsidRPr="00710424">
        <w:rPr>
          <w:rFonts w:cs="Arial"/>
          <w:szCs w:val="24"/>
        </w:rPr>
        <w:t>Wsz</w:t>
      </w:r>
      <w:r w:rsidR="00986A27">
        <w:rPr>
          <w:rFonts w:cs="Arial"/>
          <w:szCs w:val="24"/>
        </w:rPr>
        <w:t>el</w:t>
      </w:r>
      <w:r w:rsidRPr="00710424">
        <w:rPr>
          <w:rFonts w:cs="Arial"/>
          <w:szCs w:val="24"/>
        </w:rPr>
        <w:t xml:space="preserve">kie pytania należy </w:t>
      </w:r>
      <w:r w:rsidR="001D0177" w:rsidRPr="00710424">
        <w:rPr>
          <w:rFonts w:cs="Arial"/>
          <w:szCs w:val="24"/>
        </w:rPr>
        <w:t>kierować w formie pisemnej lub e-mail</w:t>
      </w:r>
      <w:r w:rsidR="00986A27">
        <w:rPr>
          <w:rFonts w:cs="Arial"/>
          <w:szCs w:val="24"/>
        </w:rPr>
        <w:t>owej</w:t>
      </w:r>
      <w:r w:rsidRPr="00710424">
        <w:rPr>
          <w:rFonts w:cs="Arial"/>
          <w:szCs w:val="24"/>
        </w:rPr>
        <w:t xml:space="preserve">. SCE Jaworzno III udziela odpowiedzi </w:t>
      </w:r>
      <w:r w:rsidR="00986A27" w:rsidRPr="00986A27">
        <w:rPr>
          <w:rFonts w:cs="Arial"/>
          <w:szCs w:val="24"/>
        </w:rPr>
        <w:t>jedynie na pytania przesłane w tych formach</w:t>
      </w:r>
      <w:r w:rsidRPr="00710424">
        <w:rPr>
          <w:rFonts w:cs="Arial"/>
          <w:szCs w:val="24"/>
        </w:rPr>
        <w:t>.</w:t>
      </w:r>
    </w:p>
    <w:sectPr w:rsidR="00F41314" w:rsidRPr="007104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906" w:rsidRDefault="00CA4906" w:rsidP="001F551E">
      <w:pPr>
        <w:spacing w:after="0" w:line="240" w:lineRule="auto"/>
      </w:pPr>
      <w:r>
        <w:separator/>
      </w:r>
    </w:p>
  </w:endnote>
  <w:endnote w:type="continuationSeparator" w:id="0">
    <w:p w:rsidR="00CA4906" w:rsidRDefault="00CA4906" w:rsidP="001F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8355"/>
      <w:docPartObj>
        <w:docPartGallery w:val="Page Numbers (Bottom of Page)"/>
        <w:docPartUnique/>
      </w:docPartObj>
    </w:sdtPr>
    <w:sdtEndPr/>
    <w:sdtContent>
      <w:p w:rsidR="00C823AD" w:rsidRDefault="00C823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23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906" w:rsidRDefault="00CA4906" w:rsidP="001F551E">
      <w:pPr>
        <w:spacing w:after="0" w:line="240" w:lineRule="auto"/>
      </w:pPr>
      <w:r>
        <w:separator/>
      </w:r>
    </w:p>
  </w:footnote>
  <w:footnote w:type="continuationSeparator" w:id="0">
    <w:p w:rsidR="00CA4906" w:rsidRDefault="00CA4906" w:rsidP="001F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E0B"/>
    <w:multiLevelType w:val="singleLevel"/>
    <w:tmpl w:val="B1ACA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FC64DBD"/>
    <w:multiLevelType w:val="singleLevel"/>
    <w:tmpl w:val="B54C983C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 w15:restartNumberingAfterBreak="0">
    <w:nsid w:val="1406529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24431"/>
    <w:multiLevelType w:val="hybridMultilevel"/>
    <w:tmpl w:val="6262CCC4"/>
    <w:lvl w:ilvl="0" w:tplc="AD24E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A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7072E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D3A50A5"/>
    <w:multiLevelType w:val="singleLevel"/>
    <w:tmpl w:val="75AA83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312F2668"/>
    <w:multiLevelType w:val="hybridMultilevel"/>
    <w:tmpl w:val="2D58D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019EA"/>
    <w:multiLevelType w:val="hybridMultilevel"/>
    <w:tmpl w:val="DB8A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165B3"/>
    <w:multiLevelType w:val="hybridMultilevel"/>
    <w:tmpl w:val="AF4EB0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A4CCD"/>
    <w:multiLevelType w:val="singleLevel"/>
    <w:tmpl w:val="35985C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CAD439C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FB0309A"/>
    <w:multiLevelType w:val="hybridMultilevel"/>
    <w:tmpl w:val="95A2E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A100A"/>
    <w:multiLevelType w:val="hybridMultilevel"/>
    <w:tmpl w:val="ECF6182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D218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1605D2"/>
    <w:multiLevelType w:val="hybridMultilevel"/>
    <w:tmpl w:val="DF0C9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82B4A"/>
    <w:multiLevelType w:val="singleLevel"/>
    <w:tmpl w:val="5352CEB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7D1F73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E7A56AE"/>
    <w:multiLevelType w:val="singleLevel"/>
    <w:tmpl w:val="3EA82BE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15370875">
    <w:abstractNumId w:val="17"/>
  </w:num>
  <w:num w:numId="2" w16cid:durableId="131603228">
    <w:abstractNumId w:val="18"/>
  </w:num>
  <w:num w:numId="3" w16cid:durableId="633409016">
    <w:abstractNumId w:val="5"/>
  </w:num>
  <w:num w:numId="4" w16cid:durableId="1895701225">
    <w:abstractNumId w:val="14"/>
  </w:num>
  <w:num w:numId="5" w16cid:durableId="731930991">
    <w:abstractNumId w:val="10"/>
  </w:num>
  <w:num w:numId="6" w16cid:durableId="1426340718">
    <w:abstractNumId w:val="2"/>
  </w:num>
  <w:num w:numId="7" w16cid:durableId="2055811508">
    <w:abstractNumId w:val="4"/>
  </w:num>
  <w:num w:numId="8" w16cid:durableId="923536808">
    <w:abstractNumId w:val="0"/>
  </w:num>
  <w:num w:numId="9" w16cid:durableId="1692993433">
    <w:abstractNumId w:val="1"/>
  </w:num>
  <w:num w:numId="10" w16cid:durableId="1241599150">
    <w:abstractNumId w:val="6"/>
  </w:num>
  <w:num w:numId="11" w16cid:durableId="1791699440">
    <w:abstractNumId w:val="16"/>
  </w:num>
  <w:num w:numId="12" w16cid:durableId="1637025876">
    <w:abstractNumId w:val="11"/>
  </w:num>
  <w:num w:numId="13" w16cid:durableId="983199168">
    <w:abstractNumId w:val="12"/>
  </w:num>
  <w:num w:numId="14" w16cid:durableId="2050646700">
    <w:abstractNumId w:val="8"/>
  </w:num>
  <w:num w:numId="15" w16cid:durableId="1421372509">
    <w:abstractNumId w:val="13"/>
  </w:num>
  <w:num w:numId="16" w16cid:durableId="940142240">
    <w:abstractNumId w:val="7"/>
  </w:num>
  <w:num w:numId="17" w16cid:durableId="496574736">
    <w:abstractNumId w:val="3"/>
  </w:num>
  <w:num w:numId="18" w16cid:durableId="24990089">
    <w:abstractNumId w:val="9"/>
  </w:num>
  <w:num w:numId="19" w16cid:durableId="992490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E"/>
    <w:rsid w:val="000020AB"/>
    <w:rsid w:val="000264E5"/>
    <w:rsid w:val="00047D1F"/>
    <w:rsid w:val="0005095F"/>
    <w:rsid w:val="000564A5"/>
    <w:rsid w:val="00072F4B"/>
    <w:rsid w:val="00073A36"/>
    <w:rsid w:val="00087DD7"/>
    <w:rsid w:val="00093152"/>
    <w:rsid w:val="00093EA6"/>
    <w:rsid w:val="000945B4"/>
    <w:rsid w:val="000A35FE"/>
    <w:rsid w:val="001013E4"/>
    <w:rsid w:val="001046F2"/>
    <w:rsid w:val="001627D5"/>
    <w:rsid w:val="001A62B6"/>
    <w:rsid w:val="001C1BCA"/>
    <w:rsid w:val="001D0177"/>
    <w:rsid w:val="001E217A"/>
    <w:rsid w:val="001F551E"/>
    <w:rsid w:val="00213269"/>
    <w:rsid w:val="002162CC"/>
    <w:rsid w:val="00233BDC"/>
    <w:rsid w:val="00262E8B"/>
    <w:rsid w:val="00280252"/>
    <w:rsid w:val="00286D81"/>
    <w:rsid w:val="00291961"/>
    <w:rsid w:val="002960CC"/>
    <w:rsid w:val="002C1185"/>
    <w:rsid w:val="002E017A"/>
    <w:rsid w:val="002F1B2B"/>
    <w:rsid w:val="002F1F3E"/>
    <w:rsid w:val="002F51DE"/>
    <w:rsid w:val="00305725"/>
    <w:rsid w:val="00311CC4"/>
    <w:rsid w:val="00312740"/>
    <w:rsid w:val="003143B0"/>
    <w:rsid w:val="00315949"/>
    <w:rsid w:val="003177D3"/>
    <w:rsid w:val="0036415D"/>
    <w:rsid w:val="00366C0B"/>
    <w:rsid w:val="00367921"/>
    <w:rsid w:val="003A213B"/>
    <w:rsid w:val="003D2B8D"/>
    <w:rsid w:val="0041337E"/>
    <w:rsid w:val="00416416"/>
    <w:rsid w:val="004777BA"/>
    <w:rsid w:val="00483F1C"/>
    <w:rsid w:val="00497997"/>
    <w:rsid w:val="004B16B6"/>
    <w:rsid w:val="004B6503"/>
    <w:rsid w:val="004C31A1"/>
    <w:rsid w:val="004E1C08"/>
    <w:rsid w:val="004F4EF5"/>
    <w:rsid w:val="005128D7"/>
    <w:rsid w:val="00543E7A"/>
    <w:rsid w:val="00575673"/>
    <w:rsid w:val="005911DF"/>
    <w:rsid w:val="0059416A"/>
    <w:rsid w:val="005A57D2"/>
    <w:rsid w:val="005B07B3"/>
    <w:rsid w:val="005B51DD"/>
    <w:rsid w:val="005B5C6D"/>
    <w:rsid w:val="005C6CA7"/>
    <w:rsid w:val="005D492F"/>
    <w:rsid w:val="005F0713"/>
    <w:rsid w:val="00603D0E"/>
    <w:rsid w:val="00627A05"/>
    <w:rsid w:val="00634FF3"/>
    <w:rsid w:val="00681486"/>
    <w:rsid w:val="00695704"/>
    <w:rsid w:val="006B3AD3"/>
    <w:rsid w:val="006B5448"/>
    <w:rsid w:val="006B67C3"/>
    <w:rsid w:val="006F0435"/>
    <w:rsid w:val="00707185"/>
    <w:rsid w:val="00710424"/>
    <w:rsid w:val="007471D8"/>
    <w:rsid w:val="007655AE"/>
    <w:rsid w:val="00772BC9"/>
    <w:rsid w:val="007D1D7E"/>
    <w:rsid w:val="007D4E20"/>
    <w:rsid w:val="007F6544"/>
    <w:rsid w:val="00802DD3"/>
    <w:rsid w:val="00813FCE"/>
    <w:rsid w:val="008169AE"/>
    <w:rsid w:val="00834A92"/>
    <w:rsid w:val="00860724"/>
    <w:rsid w:val="00885D12"/>
    <w:rsid w:val="008A07AE"/>
    <w:rsid w:val="008B2CA0"/>
    <w:rsid w:val="008C33B0"/>
    <w:rsid w:val="008C50CE"/>
    <w:rsid w:val="008D4293"/>
    <w:rsid w:val="008E440A"/>
    <w:rsid w:val="008F69F8"/>
    <w:rsid w:val="008F7B80"/>
    <w:rsid w:val="00912AF6"/>
    <w:rsid w:val="009148D4"/>
    <w:rsid w:val="00952B72"/>
    <w:rsid w:val="00953B92"/>
    <w:rsid w:val="00980326"/>
    <w:rsid w:val="00986A27"/>
    <w:rsid w:val="0099189F"/>
    <w:rsid w:val="009C235D"/>
    <w:rsid w:val="00A14979"/>
    <w:rsid w:val="00A174BE"/>
    <w:rsid w:val="00A410BA"/>
    <w:rsid w:val="00A60811"/>
    <w:rsid w:val="00A80250"/>
    <w:rsid w:val="00AC17ED"/>
    <w:rsid w:val="00B13072"/>
    <w:rsid w:val="00B233AB"/>
    <w:rsid w:val="00B37C35"/>
    <w:rsid w:val="00B50E51"/>
    <w:rsid w:val="00B7483D"/>
    <w:rsid w:val="00B90F08"/>
    <w:rsid w:val="00B9444F"/>
    <w:rsid w:val="00BA0DBF"/>
    <w:rsid w:val="00BA3804"/>
    <w:rsid w:val="00BA3E04"/>
    <w:rsid w:val="00BF106E"/>
    <w:rsid w:val="00C139C5"/>
    <w:rsid w:val="00C23C83"/>
    <w:rsid w:val="00C46623"/>
    <w:rsid w:val="00C568EA"/>
    <w:rsid w:val="00C76E98"/>
    <w:rsid w:val="00C823AD"/>
    <w:rsid w:val="00C87B46"/>
    <w:rsid w:val="00CA03C7"/>
    <w:rsid w:val="00CA4906"/>
    <w:rsid w:val="00CB666C"/>
    <w:rsid w:val="00CD1A35"/>
    <w:rsid w:val="00D0265C"/>
    <w:rsid w:val="00D37797"/>
    <w:rsid w:val="00D378B6"/>
    <w:rsid w:val="00D6194D"/>
    <w:rsid w:val="00DA7AEB"/>
    <w:rsid w:val="00DE7198"/>
    <w:rsid w:val="00E440D6"/>
    <w:rsid w:val="00E723F5"/>
    <w:rsid w:val="00E810D8"/>
    <w:rsid w:val="00EC5FB9"/>
    <w:rsid w:val="00EE19D7"/>
    <w:rsid w:val="00EE3C52"/>
    <w:rsid w:val="00EE4871"/>
    <w:rsid w:val="00EE5734"/>
    <w:rsid w:val="00F14A3E"/>
    <w:rsid w:val="00F32193"/>
    <w:rsid w:val="00F41314"/>
    <w:rsid w:val="00F5720A"/>
    <w:rsid w:val="00F638C5"/>
    <w:rsid w:val="00FB1B4D"/>
    <w:rsid w:val="00FD4751"/>
    <w:rsid w:val="00FE0AD9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C4A3"/>
  <w15:docId w15:val="{FD6D26B8-83D3-44E4-9CCB-11BE88D7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42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42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0F08"/>
    <w:pPr>
      <w:keepNext/>
      <w:keepLines/>
      <w:spacing w:before="280" w:after="240" w:line="48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6544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51E"/>
  </w:style>
  <w:style w:type="paragraph" w:styleId="Stopka">
    <w:name w:val="footer"/>
    <w:basedOn w:val="Normalny"/>
    <w:link w:val="StopkaZnak"/>
    <w:uiPriority w:val="99"/>
    <w:unhideWhenUsed/>
    <w:rsid w:val="001F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51E"/>
  </w:style>
  <w:style w:type="paragraph" w:styleId="Tekstdymka">
    <w:name w:val="Balloon Text"/>
    <w:basedOn w:val="Normalny"/>
    <w:link w:val="TekstdymkaZnak"/>
    <w:uiPriority w:val="99"/>
    <w:semiHidden/>
    <w:unhideWhenUsed/>
    <w:rsid w:val="001F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5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6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8E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128D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28D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Bezodstpw">
    <w:name w:val="No Spacing"/>
    <w:uiPriority w:val="1"/>
    <w:qFormat/>
    <w:rsid w:val="001C1BC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10424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CD1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5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5B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564A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4A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styleId="Pogrubienie">
    <w:name w:val="Strong"/>
    <w:basedOn w:val="Domylnaczcionkaakapitu"/>
    <w:uiPriority w:val="22"/>
    <w:qFormat/>
    <w:rsid w:val="00D0265C"/>
    <w:rPr>
      <w:rFonts w:ascii="Arial" w:hAnsi="Arial"/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90F08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F6544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BC8B-3772-4CAA-9C4A-52657C8E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2950</Words>
  <Characters>17702</Characters>
  <Application>Microsoft Office Word</Application>
  <DocSecurity>8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</vt:lpstr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</dc:title>
  <dc:creator>asiac</dc:creator>
  <cp:lastModifiedBy>zabek.j@sce.jaw.pl</cp:lastModifiedBy>
  <cp:revision>1</cp:revision>
  <cp:lastPrinted>2025-05-22T11:42:00Z</cp:lastPrinted>
  <dcterms:created xsi:type="dcterms:W3CDTF">2025-05-28T09:03:00Z</dcterms:created>
  <dcterms:modified xsi:type="dcterms:W3CDTF">2025-05-28T09:03:00Z</dcterms:modified>
</cp:coreProperties>
</file>