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B5FB" w14:textId="77777777" w:rsidR="00E00037" w:rsidRDefault="00E00037" w:rsidP="00E00037">
      <w:pPr>
        <w:jc w:val="center"/>
        <w:rPr>
          <w:b/>
          <w:bCs/>
          <w:sz w:val="24"/>
          <w:szCs w:val="24"/>
        </w:rPr>
      </w:pPr>
      <w:r w:rsidRPr="00E00037">
        <w:rPr>
          <w:rFonts w:cstheme="minorHAnsi"/>
          <w:b/>
          <w:bCs/>
          <w:color w:val="000000" w:themeColor="text1"/>
          <w:sz w:val="24"/>
          <w:szCs w:val="24"/>
        </w:rPr>
        <w:t xml:space="preserve">Załącznik nr </w:t>
      </w:r>
      <w:r w:rsidRPr="00E00037">
        <w:rPr>
          <w:rFonts w:cstheme="minorHAnsi"/>
          <w:b/>
          <w:bCs/>
          <w:color w:val="000000" w:themeColor="text1"/>
          <w:sz w:val="24"/>
          <w:szCs w:val="24"/>
        </w:rPr>
        <w:t>9</w:t>
      </w:r>
      <w:r w:rsidRPr="00E00037">
        <w:rPr>
          <w:rFonts w:cstheme="minorHAnsi"/>
          <w:b/>
          <w:bCs/>
          <w:color w:val="000000" w:themeColor="text1"/>
          <w:sz w:val="24"/>
          <w:szCs w:val="24"/>
        </w:rPr>
        <w:t xml:space="preserve">. </w:t>
      </w:r>
      <w:r w:rsidRPr="00E00037">
        <w:rPr>
          <w:b/>
          <w:bCs/>
          <w:sz w:val="24"/>
          <w:szCs w:val="24"/>
        </w:rPr>
        <w:t xml:space="preserve">Uzasadnienie braku możliwości składania </w:t>
      </w:r>
    </w:p>
    <w:p w14:paraId="01AB7637" w14:textId="6127A40F" w:rsidR="00E00037" w:rsidRPr="00E00037" w:rsidRDefault="00E00037" w:rsidP="00E00037">
      <w:pPr>
        <w:jc w:val="center"/>
        <w:rPr>
          <w:sz w:val="24"/>
          <w:szCs w:val="24"/>
        </w:rPr>
      </w:pPr>
      <w:r w:rsidRPr="00E00037">
        <w:rPr>
          <w:b/>
          <w:bCs/>
          <w:sz w:val="24"/>
          <w:szCs w:val="24"/>
        </w:rPr>
        <w:t>ofert częściowych lub wariantowych</w:t>
      </w:r>
    </w:p>
    <w:p w14:paraId="56860BA6" w14:textId="29E2D8F9" w:rsidR="00E00037" w:rsidRPr="002239F4" w:rsidRDefault="00E00037" w:rsidP="00E00037">
      <w:pPr>
        <w:spacing w:after="0" w:line="360" w:lineRule="auto"/>
        <w:ind w:left="360"/>
        <w:jc w:val="center"/>
        <w:rPr>
          <w:b/>
          <w:bCs/>
          <w:sz w:val="24"/>
          <w:szCs w:val="24"/>
        </w:rPr>
      </w:pPr>
    </w:p>
    <w:p w14:paraId="6F79C6C7" w14:textId="77777777" w:rsidR="00E00037" w:rsidRDefault="00E00037" w:rsidP="00E00037">
      <w:pPr>
        <w:spacing w:after="0" w:line="360" w:lineRule="auto"/>
        <w:ind w:left="360"/>
        <w:rPr>
          <w:rFonts w:cstheme="minorHAnsi"/>
          <w:color w:val="000000" w:themeColor="text1"/>
        </w:rPr>
      </w:pPr>
    </w:p>
    <w:p w14:paraId="2DCBBA94" w14:textId="77777777" w:rsidR="00E00037" w:rsidRPr="00171484" w:rsidRDefault="00E00037" w:rsidP="00E00037">
      <w:pPr>
        <w:spacing w:after="0" w:line="360" w:lineRule="auto"/>
        <w:jc w:val="both"/>
        <w:rPr>
          <w:rFonts w:cstheme="minorHAnsi"/>
          <w:i/>
          <w:iCs/>
          <w:color w:val="000000" w:themeColor="text1"/>
        </w:rPr>
      </w:pPr>
      <w:r w:rsidRPr="00171484">
        <w:rPr>
          <w:rFonts w:cstheme="minorHAnsi"/>
          <w:color w:val="000000" w:themeColor="text1"/>
        </w:rPr>
        <w:t xml:space="preserve">Dotyczy zamówienia: </w:t>
      </w:r>
      <w:r w:rsidRPr="00171484">
        <w:rPr>
          <w:rFonts w:cstheme="minorHAnsi"/>
          <w:b/>
          <w:bCs/>
          <w:i/>
          <w:iCs/>
          <w:color w:val="000000" w:themeColor="text1"/>
        </w:rPr>
        <w:t>System centralnego suszenia i dystrybucji granulatu</w:t>
      </w:r>
      <w:r w:rsidRPr="00171484">
        <w:rPr>
          <w:rFonts w:cstheme="minorHAnsi"/>
          <w:i/>
          <w:iCs/>
          <w:color w:val="000000" w:themeColor="text1"/>
        </w:rPr>
        <w:t xml:space="preserve"> </w:t>
      </w:r>
      <w:r w:rsidRPr="00171484">
        <w:rPr>
          <w:rFonts w:cstheme="minorHAnsi"/>
          <w:color w:val="000000" w:themeColor="text1"/>
        </w:rPr>
        <w:t>będącego częścią projektu:</w:t>
      </w:r>
      <w:r w:rsidRPr="00171484">
        <w:rPr>
          <w:rFonts w:cstheme="minorHAnsi"/>
          <w:i/>
          <w:iCs/>
          <w:color w:val="000000" w:themeColor="text1"/>
        </w:rPr>
        <w:t xml:space="preserve"> „Poprawa efektywności energetycznej poprzez wdrożenie systemu centralnej dystrybucji surowca oraz wykorzystanie OZE.”</w:t>
      </w:r>
      <w:r>
        <w:rPr>
          <w:rFonts w:cstheme="minorHAnsi"/>
          <w:i/>
          <w:iCs/>
          <w:color w:val="000000" w:themeColor="text1"/>
        </w:rPr>
        <w:t xml:space="preserve">.  </w:t>
      </w:r>
      <w:r w:rsidRPr="00171484">
        <w:rPr>
          <w:rFonts w:cstheme="minorHAnsi"/>
          <w:color w:val="000000" w:themeColor="text1"/>
        </w:rPr>
        <w:t>Realizowanego</w:t>
      </w:r>
      <w:r>
        <w:rPr>
          <w:rFonts w:cstheme="minorHAnsi"/>
          <w:color w:val="000000" w:themeColor="text1"/>
        </w:rPr>
        <w:t xml:space="preserve"> </w:t>
      </w:r>
      <w:r w:rsidRPr="00171484">
        <w:rPr>
          <w:rFonts w:cstheme="minorHAnsi"/>
          <w:color w:val="000000" w:themeColor="text1"/>
        </w:rPr>
        <w:t xml:space="preserve">przez: </w:t>
      </w:r>
      <w:r w:rsidRPr="00171484">
        <w:rPr>
          <w:rFonts w:eastAsia="Times New Roman" w:cstheme="minorHAnsi"/>
          <w:b/>
          <w:bCs/>
          <w:color w:val="000000" w:themeColor="text1"/>
          <w:lang w:eastAsia="pl-PL"/>
        </w:rPr>
        <w:t>TECHNIPLAST SPÓŁKA Z OGRANICZONĄ ODPOWIEDZIALNOŚCIĄ</w:t>
      </w:r>
      <w:r w:rsidRPr="00171484">
        <w:rPr>
          <w:rFonts w:eastAsia="Times New Roman" w:cstheme="minorHAnsi"/>
          <w:color w:val="000000" w:themeColor="text1"/>
          <w:lang w:eastAsia="pl-PL"/>
        </w:rPr>
        <w:t xml:space="preserve"> z siedzibą w Skoczowie przy ulicy Góreckiej 34, 43-430 Skoczów. KRS: 0000688790; REGON: 070660785, NIP: 5481015270,</w:t>
      </w:r>
    </w:p>
    <w:p w14:paraId="67983DC1" w14:textId="77777777" w:rsidR="00E00037" w:rsidRDefault="00E00037" w:rsidP="00E00037">
      <w:pPr>
        <w:rPr>
          <w:b/>
          <w:bCs/>
        </w:rPr>
      </w:pPr>
    </w:p>
    <w:p w14:paraId="5093E0F2" w14:textId="74238706" w:rsidR="00E00037" w:rsidRPr="00E00037" w:rsidRDefault="00E00037" w:rsidP="00E00037">
      <w:pPr>
        <w:spacing w:after="0" w:line="360" w:lineRule="auto"/>
        <w:jc w:val="both"/>
      </w:pPr>
      <w:r w:rsidRPr="00E00037">
        <w:t>Zamawiający nie dopuszcza składania ofert częściowych ani wariantowych z uwagi na złożony i ściśle zintegrowany charakter przedmiotu zamówienia, którym jest dostawa i montaż kompletnego systemu centralnego suszenia i dystrybucji granulatu. Przedmiot zamówienia stanowi funkcjonalnie i technologicznie nierozerwalną całość, wymagającą pełnej kompatybilności wszystkich elementów, takich jak</w:t>
      </w:r>
      <w:r>
        <w:t xml:space="preserve"> m.in.</w:t>
      </w:r>
      <w:r w:rsidRPr="00E00037">
        <w:t>: odwilżacze, leje suszące, systemy rurowe, antresola technologiczna, systemy sterowania i rozdzielcze, a także podajniki, grupy grzewcze i serwery zarządzające.</w:t>
      </w:r>
    </w:p>
    <w:p w14:paraId="54297D01" w14:textId="77777777" w:rsidR="00E00037" w:rsidRPr="00E00037" w:rsidRDefault="00E00037" w:rsidP="00E00037">
      <w:pPr>
        <w:spacing w:after="0" w:line="360" w:lineRule="auto"/>
        <w:jc w:val="both"/>
      </w:pPr>
      <w:r w:rsidRPr="00E00037">
        <w:t>Realizacja zamówienia w częściach naruszałaby zasadę pełnej integracji systemu oraz uniemożliwiała osiągnięcie zakładanych efektów w zakresie poprawy efektywności energetycznej i automatyzacji produkcji. W szczególności wymagane jest, aby kluczowe moduły systemu pochodziły od jednego producenta, co zapewni jednolitą specyfikację techniczną, spójną kontrolę jakości, łatwość w zakresie serwisowania i gwarancji, a także stabilność parametrów operacyjnych systemu.</w:t>
      </w:r>
    </w:p>
    <w:p w14:paraId="56AD6814" w14:textId="77777777" w:rsidR="00E00037" w:rsidRPr="00E00037" w:rsidRDefault="00E00037" w:rsidP="00E00037">
      <w:pPr>
        <w:spacing w:after="0" w:line="360" w:lineRule="auto"/>
        <w:jc w:val="both"/>
      </w:pPr>
      <w:r w:rsidRPr="00E00037">
        <w:t>Dopuszczenie ofert częściowych lub wariantowych mogłoby prowadzić do niekompatybilności technicznej poszczególnych elementów systemu, obniżenia efektywności energetycznej, zwiększenia ryzyka awaryjności oraz wzrostu kosztów eksploatacyjnych. Ponadto dopuszczenie takich ofert mogłoby skutkować niejednoznaczną oceną ofert, utrudniając wybór wykonawcy zdolnego do kompleksowej realizacji zamówienia zgodnie z założeniami projektowymi i wymaganiami Zamawiającego.</w:t>
      </w:r>
    </w:p>
    <w:p w14:paraId="4FD62A74" w14:textId="228C5218" w:rsidR="00501F41" w:rsidRDefault="00E00037" w:rsidP="00E00037">
      <w:pPr>
        <w:spacing w:after="0" w:line="360" w:lineRule="auto"/>
        <w:jc w:val="both"/>
      </w:pPr>
      <w:r w:rsidRPr="00E00037">
        <w:t>W związku z powyższym, brak dopuszczenia ofert częściowych i wariantowych znajduje pełne uzasadnienie w potrzebie zapewnienia spójności technologicznej, efektywności realizacji oraz wysokiej jakości dostarczanego rozwiązania.</w:t>
      </w:r>
    </w:p>
    <w:sectPr w:rsidR="00501F4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FB4C" w14:textId="77777777" w:rsidR="00E00037" w:rsidRDefault="00E00037" w:rsidP="00E00037">
      <w:pPr>
        <w:spacing w:after="0" w:line="240" w:lineRule="auto"/>
      </w:pPr>
      <w:r>
        <w:separator/>
      </w:r>
    </w:p>
  </w:endnote>
  <w:endnote w:type="continuationSeparator" w:id="0">
    <w:p w14:paraId="270F1A3C" w14:textId="77777777" w:rsidR="00E00037" w:rsidRDefault="00E00037" w:rsidP="00E0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D66B" w14:textId="77777777" w:rsidR="00E00037" w:rsidRDefault="00E00037" w:rsidP="00E00037">
      <w:pPr>
        <w:spacing w:after="0" w:line="240" w:lineRule="auto"/>
      </w:pPr>
      <w:r>
        <w:separator/>
      </w:r>
    </w:p>
  </w:footnote>
  <w:footnote w:type="continuationSeparator" w:id="0">
    <w:p w14:paraId="02655585" w14:textId="77777777" w:rsidR="00E00037" w:rsidRDefault="00E00037" w:rsidP="00E00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078F" w14:textId="5F17BF14" w:rsidR="00E00037" w:rsidRDefault="00E00037">
    <w:pPr>
      <w:pStyle w:val="Nagwek"/>
    </w:pPr>
    <w:r w:rsidRPr="0073553E">
      <w:rPr>
        <w:noProof/>
      </w:rPr>
      <w:drawing>
        <wp:inline distT="0" distB="0" distL="0" distR="0" wp14:anchorId="4DC915C9" wp14:editId="6530110E">
          <wp:extent cx="5760720" cy="544195"/>
          <wp:effectExtent l="0" t="0" r="0" b="8255"/>
          <wp:docPr id="396092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9205" name=""/>
                  <pic:cNvPicPr/>
                </pic:nvPicPr>
                <pic:blipFill>
                  <a:blip r:embed="rId1"/>
                  <a:stretch>
                    <a:fillRect/>
                  </a:stretch>
                </pic:blipFill>
                <pic:spPr>
                  <a:xfrm>
                    <a:off x="0" y="0"/>
                    <a:ext cx="5760720" cy="544195"/>
                  </a:xfrm>
                  <a:prstGeom prst="rect">
                    <a:avLst/>
                  </a:prstGeom>
                </pic:spPr>
              </pic:pic>
            </a:graphicData>
          </a:graphic>
        </wp:inline>
      </w:drawing>
    </w:r>
  </w:p>
  <w:p w14:paraId="0073B457" w14:textId="77777777" w:rsidR="00E00037" w:rsidRDefault="00E0003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37"/>
    <w:rsid w:val="00501F41"/>
    <w:rsid w:val="009637D4"/>
    <w:rsid w:val="00E00037"/>
    <w:rsid w:val="00E94220"/>
    <w:rsid w:val="00F77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6DFC"/>
  <w15:chartTrackingRefBased/>
  <w15:docId w15:val="{7ECFDEA3-EB37-4926-AE5C-284428BE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00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00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0003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003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003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0003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003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003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003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003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003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003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003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003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003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003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003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0037"/>
    <w:rPr>
      <w:rFonts w:eastAsiaTheme="majorEastAsia" w:cstheme="majorBidi"/>
      <w:color w:val="272727" w:themeColor="text1" w:themeTint="D8"/>
    </w:rPr>
  </w:style>
  <w:style w:type="paragraph" w:styleId="Tytu">
    <w:name w:val="Title"/>
    <w:basedOn w:val="Normalny"/>
    <w:next w:val="Normalny"/>
    <w:link w:val="TytuZnak"/>
    <w:uiPriority w:val="10"/>
    <w:qFormat/>
    <w:rsid w:val="00E00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00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003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003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0037"/>
    <w:pPr>
      <w:spacing w:before="160"/>
      <w:jc w:val="center"/>
    </w:pPr>
    <w:rPr>
      <w:i/>
      <w:iCs/>
      <w:color w:val="404040" w:themeColor="text1" w:themeTint="BF"/>
    </w:rPr>
  </w:style>
  <w:style w:type="character" w:customStyle="1" w:styleId="CytatZnak">
    <w:name w:val="Cytat Znak"/>
    <w:basedOn w:val="Domylnaczcionkaakapitu"/>
    <w:link w:val="Cytat"/>
    <w:uiPriority w:val="29"/>
    <w:rsid w:val="00E00037"/>
    <w:rPr>
      <w:i/>
      <w:iCs/>
      <w:color w:val="404040" w:themeColor="text1" w:themeTint="BF"/>
    </w:rPr>
  </w:style>
  <w:style w:type="paragraph" w:styleId="Akapitzlist">
    <w:name w:val="List Paragraph"/>
    <w:basedOn w:val="Normalny"/>
    <w:uiPriority w:val="34"/>
    <w:qFormat/>
    <w:rsid w:val="00E00037"/>
    <w:pPr>
      <w:ind w:left="720"/>
      <w:contextualSpacing/>
    </w:pPr>
  </w:style>
  <w:style w:type="character" w:styleId="Wyrnienieintensywne">
    <w:name w:val="Intense Emphasis"/>
    <w:basedOn w:val="Domylnaczcionkaakapitu"/>
    <w:uiPriority w:val="21"/>
    <w:qFormat/>
    <w:rsid w:val="00E00037"/>
    <w:rPr>
      <w:i/>
      <w:iCs/>
      <w:color w:val="0F4761" w:themeColor="accent1" w:themeShade="BF"/>
    </w:rPr>
  </w:style>
  <w:style w:type="paragraph" w:styleId="Cytatintensywny">
    <w:name w:val="Intense Quote"/>
    <w:basedOn w:val="Normalny"/>
    <w:next w:val="Normalny"/>
    <w:link w:val="CytatintensywnyZnak"/>
    <w:uiPriority w:val="30"/>
    <w:qFormat/>
    <w:rsid w:val="00E00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0037"/>
    <w:rPr>
      <w:i/>
      <w:iCs/>
      <w:color w:val="0F4761" w:themeColor="accent1" w:themeShade="BF"/>
    </w:rPr>
  </w:style>
  <w:style w:type="character" w:styleId="Odwoanieintensywne">
    <w:name w:val="Intense Reference"/>
    <w:basedOn w:val="Domylnaczcionkaakapitu"/>
    <w:uiPriority w:val="32"/>
    <w:qFormat/>
    <w:rsid w:val="00E00037"/>
    <w:rPr>
      <w:b/>
      <w:bCs/>
      <w:smallCaps/>
      <w:color w:val="0F4761" w:themeColor="accent1" w:themeShade="BF"/>
      <w:spacing w:val="5"/>
    </w:rPr>
  </w:style>
  <w:style w:type="paragraph" w:styleId="Nagwek">
    <w:name w:val="header"/>
    <w:basedOn w:val="Normalny"/>
    <w:link w:val="NagwekZnak"/>
    <w:uiPriority w:val="99"/>
    <w:unhideWhenUsed/>
    <w:rsid w:val="00E000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0037"/>
  </w:style>
  <w:style w:type="paragraph" w:styleId="Stopka">
    <w:name w:val="footer"/>
    <w:basedOn w:val="Normalny"/>
    <w:link w:val="StopkaZnak"/>
    <w:uiPriority w:val="99"/>
    <w:unhideWhenUsed/>
    <w:rsid w:val="00E000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0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078">
      <w:bodyDiv w:val="1"/>
      <w:marLeft w:val="0"/>
      <w:marRight w:val="0"/>
      <w:marTop w:val="0"/>
      <w:marBottom w:val="0"/>
      <w:divBdr>
        <w:top w:val="none" w:sz="0" w:space="0" w:color="auto"/>
        <w:left w:val="none" w:sz="0" w:space="0" w:color="auto"/>
        <w:bottom w:val="none" w:sz="0" w:space="0" w:color="auto"/>
        <w:right w:val="none" w:sz="0" w:space="0" w:color="auto"/>
      </w:divBdr>
    </w:div>
    <w:div w:id="111779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1897</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Matuszek</dc:creator>
  <cp:keywords/>
  <dc:description/>
  <cp:lastModifiedBy>Tomasz Matuszek</cp:lastModifiedBy>
  <cp:revision>1</cp:revision>
  <dcterms:created xsi:type="dcterms:W3CDTF">2025-05-09T11:37:00Z</dcterms:created>
  <dcterms:modified xsi:type="dcterms:W3CDTF">2025-05-09T11:41:00Z</dcterms:modified>
</cp:coreProperties>
</file>