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77" w:rsidRDefault="001C3477" w:rsidP="0008261E">
      <w:pPr>
        <w:rPr>
          <w:b/>
          <w:bCs/>
        </w:rPr>
      </w:pPr>
      <w:r>
        <w:rPr>
          <w:b/>
          <w:bCs/>
        </w:rPr>
        <w:t xml:space="preserve">WYMOGI </w:t>
      </w:r>
      <w:r w:rsidRPr="001C3477">
        <w:rPr>
          <w:b/>
          <w:bCs/>
        </w:rPr>
        <w:t xml:space="preserve">do </w:t>
      </w:r>
      <w:r w:rsidRPr="001C3477">
        <w:rPr>
          <w:rFonts w:ascii="Calibri" w:hAnsi="Calibri" w:cs="Calibri"/>
          <w:b/>
        </w:rPr>
        <w:t>IGSW/1/2025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1. Cel i Zakres Zamówienia</w:t>
      </w:r>
    </w:p>
    <w:p w:rsidR="0008261E" w:rsidRPr="0008261E" w:rsidRDefault="0008261E" w:rsidP="0008261E">
      <w:r w:rsidRPr="0008261E">
        <w:t xml:space="preserve">Przedmiotem </w:t>
      </w:r>
      <w:r>
        <w:t xml:space="preserve">niniejszego zamówienia jest </w:t>
      </w:r>
      <w:r w:rsidR="001C3477">
        <w:t xml:space="preserve">zlecenie </w:t>
      </w:r>
      <w:r w:rsidRPr="0008261E">
        <w:t>zaprojektowani</w:t>
      </w:r>
      <w:r>
        <w:t>a</w:t>
      </w:r>
      <w:r w:rsidRPr="0008261E">
        <w:t xml:space="preserve"> i wykonani</w:t>
      </w:r>
      <w:r>
        <w:t>a</w:t>
      </w:r>
      <w:r w:rsidRPr="0008261E">
        <w:t xml:space="preserve"> sześciu unikalnych stoisk wystawienniczych o powierzchni 18 m² każde. Stoisko ma wyróżniać markę </w:t>
      </w:r>
      <w:proofErr w:type="spellStart"/>
      <w:r w:rsidR="00DB3CF9">
        <w:t>InvestGIS</w:t>
      </w:r>
      <w:proofErr w:type="spellEnd"/>
      <w:r w:rsidR="00C50B55">
        <w:t xml:space="preserve"> </w:t>
      </w:r>
      <w:r w:rsidRPr="0008261E">
        <w:t>oraz produkty firmy</w:t>
      </w:r>
      <w:r w:rsidR="00067BDE">
        <w:t xml:space="preserve"> wymienione na stronie </w:t>
      </w:r>
      <w:hyperlink r:id="rId5" w:history="1">
        <w:r w:rsidR="00067BDE" w:rsidRPr="00E81A68">
          <w:rPr>
            <w:rStyle w:val="Hipercze"/>
          </w:rPr>
          <w:t>https://www.investgis.eu/aetherx</w:t>
        </w:r>
      </w:hyperlink>
      <w:r w:rsidR="00067BDE">
        <w:t xml:space="preserve"> . </w:t>
      </w:r>
      <w:r w:rsidR="00F35E6E">
        <w:t>Dokładnie</w:t>
      </w:r>
      <w:r w:rsidR="00067BDE">
        <w:t xml:space="preserve"> chodzi o oprogramowanie </w:t>
      </w:r>
      <w:proofErr w:type="spellStart"/>
      <w:r w:rsidR="00067BDE">
        <w:t>AetherX</w:t>
      </w:r>
      <w:proofErr w:type="spellEnd"/>
      <w:r w:rsidR="00067BDE">
        <w:t xml:space="preserve"> wraz z jego modułami. Stoisko ma</w:t>
      </w:r>
      <w:r w:rsidRPr="0008261E">
        <w:t xml:space="preserve"> </w:t>
      </w:r>
      <w:r w:rsidR="00067BDE">
        <w:t>p</w:t>
      </w:r>
      <w:r w:rsidRPr="0008261E">
        <w:t xml:space="preserve">rzyciągać uwagę odwiedzających na międzynarodowych wydarzeniach targowych i spełniać wymogi zrównoważonego rozwoju. </w:t>
      </w:r>
      <w:r w:rsidR="00067BDE">
        <w:t xml:space="preserve">Bardzo ważne jest wyeksponowanie marki i sektora np. w formie modelu satelity czy </w:t>
      </w:r>
      <w:proofErr w:type="spellStart"/>
      <w:r w:rsidR="00067BDE">
        <w:t>drona</w:t>
      </w:r>
      <w:proofErr w:type="spellEnd"/>
      <w:r w:rsidR="00067BDE">
        <w:t xml:space="preserve"> rzucającego obraz na ekran LED na którym wyświetlane są najważniejsze informacje o oferowanych oprogramowaniach. </w:t>
      </w:r>
      <w:r w:rsidRPr="0008261E">
        <w:t>Oferent zobowiązany jest do dostosowania projektu i wykonania stoiska do lokalnych przepisów i wymogów organizatora każdego wydarzenia.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2. Lokalizacje Wydarzeń Targowych</w:t>
      </w:r>
    </w:p>
    <w:p w:rsidR="00067BDE" w:rsidRPr="00067BDE" w:rsidRDefault="00067BDE" w:rsidP="0008261E">
      <w:r w:rsidRPr="00067BDE">
        <w:t xml:space="preserve">- International </w:t>
      </w:r>
      <w:proofErr w:type="spellStart"/>
      <w:r w:rsidRPr="00067BDE">
        <w:t>Astronautical</w:t>
      </w:r>
      <w:proofErr w:type="spellEnd"/>
      <w:r w:rsidRPr="00067BDE">
        <w:t xml:space="preserve"> </w:t>
      </w:r>
      <w:proofErr w:type="spellStart"/>
      <w:r w:rsidRPr="00067BDE">
        <w:t>Congress</w:t>
      </w:r>
      <w:proofErr w:type="spellEnd"/>
      <w:r w:rsidRPr="00067BDE">
        <w:t xml:space="preserve"> (IAC) w Sydney, Australia, w 2025 roku. </w:t>
      </w:r>
    </w:p>
    <w:p w:rsidR="00067BDE" w:rsidRPr="00067BDE" w:rsidRDefault="00067BDE" w:rsidP="0008261E">
      <w:r w:rsidRPr="00067BDE">
        <w:t xml:space="preserve">- Space Tech Expo w Bremie, Niemcy, w 2026 roku. </w:t>
      </w:r>
    </w:p>
    <w:p w:rsidR="00067BDE" w:rsidRPr="00067BDE" w:rsidRDefault="00067BDE" w:rsidP="0008261E">
      <w:r w:rsidRPr="00067BDE">
        <w:t xml:space="preserve">- </w:t>
      </w:r>
      <w:proofErr w:type="spellStart"/>
      <w:r w:rsidRPr="00067BDE">
        <w:t>Space</w:t>
      </w:r>
      <w:proofErr w:type="spellEnd"/>
      <w:r w:rsidRPr="00067BDE">
        <w:t xml:space="preserve"> </w:t>
      </w:r>
      <w:proofErr w:type="spellStart"/>
      <w:r w:rsidRPr="00067BDE">
        <w:t>Symposium</w:t>
      </w:r>
      <w:proofErr w:type="spellEnd"/>
      <w:r w:rsidRPr="00067BDE">
        <w:t xml:space="preserve"> w Colorado Springs, USA, w 2027 roku. </w:t>
      </w:r>
    </w:p>
    <w:p w:rsidR="00067BDE" w:rsidRPr="00067BDE" w:rsidRDefault="00067BDE" w:rsidP="0008261E">
      <w:r w:rsidRPr="00067BDE">
        <w:t xml:space="preserve">- Space BR Show w São Paulo, Brazylia, w 2028 roku. </w:t>
      </w:r>
    </w:p>
    <w:p w:rsidR="00067BDE" w:rsidRDefault="00067BDE" w:rsidP="0008261E">
      <w:r w:rsidRPr="00067BDE">
        <w:t xml:space="preserve">- </w:t>
      </w:r>
      <w:proofErr w:type="spellStart"/>
      <w:r w:rsidRPr="00067BDE">
        <w:t>Paris</w:t>
      </w:r>
      <w:proofErr w:type="spellEnd"/>
      <w:r w:rsidRPr="00067BDE">
        <w:t xml:space="preserve"> Air Show we Francji w 2027 oraz 2029 roku.</w:t>
      </w:r>
    </w:p>
    <w:p w:rsidR="00067BDE" w:rsidRPr="00067BDE" w:rsidRDefault="00067BDE" w:rsidP="0008261E"/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 Wytyczne dla Projektów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3.1. Design i Estetyka</w:t>
      </w:r>
    </w:p>
    <w:p w:rsidR="0008261E" w:rsidRPr="0008261E" w:rsidRDefault="0008261E" w:rsidP="0008261E">
      <w:pPr>
        <w:numPr>
          <w:ilvl w:val="0"/>
          <w:numId w:val="2"/>
        </w:numPr>
      </w:pPr>
      <w:r w:rsidRPr="0008261E">
        <w:t>Każde stoisko musi być unikalne, nawiązując do specyfiki lokalnego rynku i charakteru wydarzenia targowego.</w:t>
      </w:r>
    </w:p>
    <w:p w:rsidR="0008261E" w:rsidRPr="0008261E" w:rsidRDefault="0008261E" w:rsidP="0008261E">
      <w:pPr>
        <w:numPr>
          <w:ilvl w:val="0"/>
          <w:numId w:val="2"/>
        </w:numPr>
      </w:pPr>
      <w:r w:rsidRPr="0008261E">
        <w:t>Modułowość: Elementy stoiska muszą być zaprojektowane tak, aby umożliwić ponowne wykorzystanie do 50% jego masy w kolejnych projektach.</w:t>
      </w:r>
    </w:p>
    <w:p w:rsidR="0008261E" w:rsidRPr="0008261E" w:rsidRDefault="0008261E" w:rsidP="0008261E">
      <w:pPr>
        <w:numPr>
          <w:ilvl w:val="0"/>
          <w:numId w:val="2"/>
        </w:numPr>
      </w:pPr>
      <w:r w:rsidRPr="0008261E">
        <w:t>Estetyka</w:t>
      </w:r>
      <w:r w:rsidR="00DB3CF9">
        <w:t xml:space="preserve"> wysokiej klasy</w:t>
      </w:r>
      <w:r w:rsidRPr="0008261E">
        <w:t xml:space="preserve">: Nowoczesny design z wykorzystaniem ekologicznych i wytrzymałych materiałów, takich jak drewno, aluminium, szkło czy kompozyty łatwe do </w:t>
      </w:r>
      <w:proofErr w:type="spellStart"/>
      <w:r w:rsidRPr="0008261E">
        <w:t>recyklingu.</w:t>
      </w:r>
      <w:r w:rsidR="00183D10">
        <w:t>Stosiko</w:t>
      </w:r>
      <w:proofErr w:type="spellEnd"/>
      <w:r w:rsidR="00183D10">
        <w:t xml:space="preserve"> ma ukazywać unikatową technologię i przełomową w zakresie </w:t>
      </w:r>
      <w:proofErr w:type="spellStart"/>
      <w:r w:rsidR="00183D10">
        <w:t>samodezynfekcji</w:t>
      </w:r>
      <w:proofErr w:type="spellEnd"/>
      <w:r w:rsidR="00183D10">
        <w:t xml:space="preserve"> ekranów.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3.2. Funkcjonalność</w:t>
      </w:r>
    </w:p>
    <w:p w:rsidR="0008261E" w:rsidRPr="0008261E" w:rsidRDefault="0008261E" w:rsidP="0008261E">
      <w:pPr>
        <w:numPr>
          <w:ilvl w:val="0"/>
          <w:numId w:val="3"/>
        </w:numPr>
      </w:pPr>
      <w:r w:rsidRPr="0008261E">
        <w:rPr>
          <w:b/>
          <w:bCs/>
        </w:rPr>
        <w:t>Strefa demonstracyjna</w:t>
      </w:r>
      <w:r w:rsidRPr="0008261E">
        <w:t>:</w:t>
      </w:r>
    </w:p>
    <w:p w:rsidR="0008261E" w:rsidRPr="0008261E" w:rsidRDefault="0008261E" w:rsidP="0008261E">
      <w:pPr>
        <w:numPr>
          <w:ilvl w:val="1"/>
          <w:numId w:val="3"/>
        </w:numPr>
      </w:pPr>
      <w:r w:rsidRPr="0008261E">
        <w:t>Powinna zajmować minimum 50% powierzchni stoiska.</w:t>
      </w:r>
    </w:p>
    <w:p w:rsidR="0008261E" w:rsidRPr="0008261E" w:rsidRDefault="0008261E" w:rsidP="0008261E">
      <w:pPr>
        <w:numPr>
          <w:ilvl w:val="1"/>
          <w:numId w:val="3"/>
        </w:numPr>
      </w:pPr>
      <w:r w:rsidRPr="0008261E">
        <w:t>Wyposażona w interaktywne technologie (np. ekrany dotykowe, VR/AR, hologramy).</w:t>
      </w:r>
    </w:p>
    <w:p w:rsidR="0008261E" w:rsidRPr="0008261E" w:rsidRDefault="0008261E" w:rsidP="0008261E">
      <w:pPr>
        <w:numPr>
          <w:ilvl w:val="0"/>
          <w:numId w:val="3"/>
        </w:numPr>
      </w:pPr>
      <w:r w:rsidRPr="0008261E">
        <w:rPr>
          <w:b/>
          <w:bCs/>
        </w:rPr>
        <w:t>Strefa spotkań</w:t>
      </w:r>
      <w:r w:rsidRPr="0008261E">
        <w:t>:</w:t>
      </w:r>
    </w:p>
    <w:p w:rsidR="0008261E" w:rsidRPr="0008261E" w:rsidRDefault="0008261E" w:rsidP="0008261E">
      <w:pPr>
        <w:numPr>
          <w:ilvl w:val="1"/>
          <w:numId w:val="3"/>
        </w:numPr>
      </w:pPr>
      <w:r w:rsidRPr="0008261E">
        <w:t>Przestrzeń do rozmów biznesowych z wygodnymi meblami i odpowiednim oświetleniem.</w:t>
      </w:r>
    </w:p>
    <w:p w:rsidR="0008261E" w:rsidRPr="0008261E" w:rsidRDefault="0008261E" w:rsidP="0008261E">
      <w:pPr>
        <w:numPr>
          <w:ilvl w:val="0"/>
          <w:numId w:val="3"/>
        </w:numPr>
      </w:pPr>
      <w:r w:rsidRPr="0008261E">
        <w:rPr>
          <w:b/>
          <w:bCs/>
        </w:rPr>
        <w:t>Magazyn</w:t>
      </w:r>
      <w:r w:rsidRPr="0008261E">
        <w:t>:</w:t>
      </w:r>
    </w:p>
    <w:p w:rsidR="0008261E" w:rsidRDefault="0008261E" w:rsidP="0008261E">
      <w:pPr>
        <w:numPr>
          <w:ilvl w:val="1"/>
          <w:numId w:val="3"/>
        </w:numPr>
      </w:pPr>
      <w:r w:rsidRPr="0008261E">
        <w:lastRenderedPageBreak/>
        <w:t>Dyskretnie wkomponowane miejsce na przechowywanie materiałów promocyjnych i produktów.</w:t>
      </w:r>
    </w:p>
    <w:p w:rsidR="003028D6" w:rsidRDefault="003028D6" w:rsidP="003028D6">
      <w:pPr>
        <w:numPr>
          <w:ilvl w:val="0"/>
          <w:numId w:val="3"/>
        </w:numPr>
      </w:pPr>
      <w:r>
        <w:rPr>
          <w:b/>
          <w:bCs/>
        </w:rPr>
        <w:t>Modularność</w:t>
      </w:r>
      <w:r w:rsidRPr="0008261E">
        <w:t>:</w:t>
      </w:r>
    </w:p>
    <w:p w:rsidR="003028D6" w:rsidRPr="0008261E" w:rsidRDefault="003028D6" w:rsidP="003028D6">
      <w:pPr>
        <w:numPr>
          <w:ilvl w:val="1"/>
          <w:numId w:val="3"/>
        </w:numPr>
      </w:pPr>
      <w:r>
        <w:t>U</w:t>
      </w:r>
      <w:r w:rsidRPr="003028D6">
        <w:t>możliwia łatwe rozłożenie, złożenie i transport w zoptymalizowanej formie, jak na dwóch paletach.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3.3. Materiały</w:t>
      </w:r>
    </w:p>
    <w:p w:rsidR="0008261E" w:rsidRPr="0008261E" w:rsidRDefault="0008261E" w:rsidP="0008261E">
      <w:pPr>
        <w:numPr>
          <w:ilvl w:val="0"/>
          <w:numId w:val="4"/>
        </w:numPr>
      </w:pPr>
      <w:r w:rsidRPr="0008261E">
        <w:t>Wymagane są materiały przyjazne środowisku, takie jak: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Drewno certyfikowane FSC.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Szkło hartowane.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Aluminium lub stal nierdzewna.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Tkaniny naturalne lub z recyklingu.</w:t>
      </w:r>
    </w:p>
    <w:p w:rsidR="0008261E" w:rsidRPr="0008261E" w:rsidRDefault="0008261E" w:rsidP="0008261E">
      <w:pPr>
        <w:numPr>
          <w:ilvl w:val="0"/>
          <w:numId w:val="4"/>
        </w:numPr>
      </w:pPr>
      <w:r w:rsidRPr="0008261E">
        <w:t>Zakaz stosowania PCV oraz materiałów trudnych do recyklingu.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3.4. Oświetlenie</w:t>
      </w:r>
    </w:p>
    <w:p w:rsidR="0008261E" w:rsidRPr="0008261E" w:rsidRDefault="0008261E" w:rsidP="0008261E">
      <w:pPr>
        <w:numPr>
          <w:ilvl w:val="0"/>
          <w:numId w:val="5"/>
        </w:numPr>
      </w:pPr>
      <w:r w:rsidRPr="0008261E">
        <w:t>Zaawansowane oświetlenie LED z możliwością regulacji intensywności i koloru.</w:t>
      </w:r>
    </w:p>
    <w:p w:rsidR="0008261E" w:rsidRPr="0008261E" w:rsidRDefault="0008261E" w:rsidP="0008261E">
      <w:pPr>
        <w:numPr>
          <w:ilvl w:val="0"/>
          <w:numId w:val="5"/>
        </w:numPr>
      </w:pPr>
      <w:r w:rsidRPr="0008261E">
        <w:t>Punktowe reflektory do podkreślenia kluczowych produktów i elementów stoiska.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3.5. Technologie Multimedialne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Ekrany dotykowe lub ściany interaktywne.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Prezentacje holograficzne i systemy VR/AR.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System zarządzania oświetleniem i dźwiękiem.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3.6. Zrównoważony Rozwój</w:t>
      </w:r>
    </w:p>
    <w:p w:rsidR="0008261E" w:rsidRPr="0008261E" w:rsidRDefault="0008261E" w:rsidP="0008261E">
      <w:pPr>
        <w:numPr>
          <w:ilvl w:val="0"/>
          <w:numId w:val="7"/>
        </w:numPr>
      </w:pPr>
      <w:r w:rsidRPr="0008261E">
        <w:t>Elementy projektu i wykonania muszą uwzględniać minimalizację odpadów.</w:t>
      </w:r>
    </w:p>
    <w:p w:rsidR="0008261E" w:rsidRPr="0008261E" w:rsidRDefault="0008261E" w:rsidP="0008261E">
      <w:pPr>
        <w:numPr>
          <w:ilvl w:val="0"/>
          <w:numId w:val="7"/>
        </w:numPr>
      </w:pPr>
      <w:r w:rsidRPr="0008261E">
        <w:t>Materiały powinny być łatwe w transporcie, wielokrotnego użytku oraz ekologiczne.</w:t>
      </w:r>
    </w:p>
    <w:p w:rsidR="0008261E" w:rsidRPr="0008261E" w:rsidRDefault="0008261E" w:rsidP="0008261E"/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 Wytyczne dla Wykonania Stoisk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4.1. Konstrukcja</w:t>
      </w:r>
    </w:p>
    <w:p w:rsidR="0008261E" w:rsidRPr="0008261E" w:rsidRDefault="0008261E" w:rsidP="0008261E">
      <w:pPr>
        <w:numPr>
          <w:ilvl w:val="0"/>
          <w:numId w:val="8"/>
        </w:numPr>
      </w:pPr>
      <w:r w:rsidRPr="0008261E">
        <w:t>Stoisko musi być stabilne, zgodne z przepisami bezpieczeństwa i lokalnymi regulacjami budowlanymi.</w:t>
      </w:r>
    </w:p>
    <w:p w:rsidR="0008261E" w:rsidRPr="0008261E" w:rsidRDefault="0008261E" w:rsidP="0008261E">
      <w:pPr>
        <w:numPr>
          <w:ilvl w:val="0"/>
          <w:numId w:val="8"/>
        </w:numPr>
      </w:pPr>
      <w:r w:rsidRPr="0008261E">
        <w:t>Montaż i demontaż muszą być łatwe i szybkie, z uwzględnieniem możliwości przechowywania elementów do ponownego wykorzystania.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4.2. Obsługa Techniczna</w:t>
      </w:r>
    </w:p>
    <w:p w:rsidR="0008261E" w:rsidRPr="0008261E" w:rsidRDefault="0008261E" w:rsidP="0008261E">
      <w:pPr>
        <w:numPr>
          <w:ilvl w:val="0"/>
          <w:numId w:val="9"/>
        </w:numPr>
      </w:pPr>
      <w:r w:rsidRPr="0008261E">
        <w:t>Wykonawca zobowiązany jest do zapewnienia serwisu technicznego na miejscu wydarzenia, obejmującego:</w:t>
      </w:r>
    </w:p>
    <w:p w:rsidR="0008261E" w:rsidRPr="0008261E" w:rsidRDefault="0008261E" w:rsidP="0008261E">
      <w:pPr>
        <w:numPr>
          <w:ilvl w:val="1"/>
          <w:numId w:val="9"/>
        </w:numPr>
      </w:pPr>
      <w:r w:rsidRPr="0008261E">
        <w:t>Poprawność działania technologii multimedialnych.</w:t>
      </w:r>
    </w:p>
    <w:p w:rsidR="0008261E" w:rsidRDefault="0008261E" w:rsidP="0008261E">
      <w:pPr>
        <w:numPr>
          <w:ilvl w:val="1"/>
          <w:numId w:val="9"/>
        </w:numPr>
      </w:pPr>
      <w:r w:rsidRPr="0008261E">
        <w:lastRenderedPageBreak/>
        <w:t>Szybką reakcję na problemy związane z eksploatacją stoiska.</w:t>
      </w:r>
    </w:p>
    <w:p w:rsidR="00042BE0" w:rsidRPr="0008261E" w:rsidRDefault="00042BE0" w:rsidP="0008261E">
      <w:pPr>
        <w:numPr>
          <w:ilvl w:val="1"/>
          <w:numId w:val="9"/>
        </w:numPr>
      </w:pPr>
      <w:r>
        <w:t>Rozłożenie i ponowne złożenie stoiska wraz z nadaniem do Polski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4.3. Transport i Logistyka</w:t>
      </w:r>
    </w:p>
    <w:p w:rsidR="0008261E" w:rsidRPr="0008261E" w:rsidRDefault="0008261E" w:rsidP="0008261E">
      <w:pPr>
        <w:numPr>
          <w:ilvl w:val="0"/>
          <w:numId w:val="10"/>
        </w:numPr>
      </w:pPr>
      <w:r w:rsidRPr="0008261E">
        <w:t>Wykonawca odpowiedzialny za bezpieczny transport stoiska na miejsce targów.</w:t>
      </w:r>
    </w:p>
    <w:p w:rsidR="0008261E" w:rsidRPr="0008261E" w:rsidRDefault="0008261E" w:rsidP="0008261E">
      <w:pPr>
        <w:numPr>
          <w:ilvl w:val="0"/>
          <w:numId w:val="10"/>
        </w:numPr>
      </w:pPr>
      <w:r w:rsidRPr="0008261E">
        <w:t>Wymagane ubezpieczenie stoiska na czas transportu oraz wydarzenia.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4.4. Utylizacja</w:t>
      </w:r>
    </w:p>
    <w:p w:rsidR="0008261E" w:rsidRPr="0008261E" w:rsidRDefault="0008261E" w:rsidP="0008261E">
      <w:pPr>
        <w:numPr>
          <w:ilvl w:val="0"/>
          <w:numId w:val="11"/>
        </w:numPr>
      </w:pPr>
      <w:r w:rsidRPr="0008261E">
        <w:t>Po zakończeniu wydarzenia wykonawca zobowiązany jest do demontażu stoiska oraz utylizacji odpadów zgodnie z lokalnymi regulacjami.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5. Dokumentacja Wymagana od Oferenta</w:t>
      </w:r>
    </w:p>
    <w:p w:rsidR="0008261E" w:rsidRPr="0008261E" w:rsidRDefault="0008261E" w:rsidP="0008261E">
      <w:r w:rsidRPr="0008261E">
        <w:t>Oferent musi przedłożyć:</w:t>
      </w:r>
    </w:p>
    <w:p w:rsidR="0008261E" w:rsidRPr="0008261E" w:rsidRDefault="0008261E" w:rsidP="0008261E">
      <w:pPr>
        <w:numPr>
          <w:ilvl w:val="0"/>
          <w:numId w:val="12"/>
        </w:numPr>
      </w:pPr>
      <w:r w:rsidRPr="0008261E">
        <w:t>Wizualizacje 3D i rysunki każdego stoiska.</w:t>
      </w:r>
    </w:p>
    <w:p w:rsidR="0008261E" w:rsidRDefault="00A846BA" w:rsidP="0008261E">
      <w:pPr>
        <w:numPr>
          <w:ilvl w:val="0"/>
          <w:numId w:val="12"/>
        </w:numPr>
      </w:pPr>
      <w:r>
        <w:t>O</w:t>
      </w:r>
      <w:r w:rsidR="0008261E" w:rsidRPr="0008261E">
        <w:t xml:space="preserve">pis </w:t>
      </w:r>
      <w:r w:rsidR="00042BE0">
        <w:t>proponowanych</w:t>
      </w:r>
      <w:r w:rsidR="0008261E" w:rsidRPr="0008261E">
        <w:t xml:space="preserve"> </w:t>
      </w:r>
      <w:r w:rsidR="00042BE0">
        <w:t xml:space="preserve">do użycia </w:t>
      </w:r>
      <w:r w:rsidR="0008261E" w:rsidRPr="0008261E">
        <w:t xml:space="preserve">materiałów wraz </w:t>
      </w:r>
      <w:r>
        <w:t xml:space="preserve">listą użytych materiałów </w:t>
      </w:r>
      <w:r w:rsidR="0008261E" w:rsidRPr="0008261E">
        <w:t>ekologicznymi.</w:t>
      </w:r>
    </w:p>
    <w:p w:rsidR="00A846BA" w:rsidRDefault="00A846BA" w:rsidP="0008261E">
      <w:pPr>
        <w:numPr>
          <w:ilvl w:val="0"/>
          <w:numId w:val="12"/>
        </w:numPr>
      </w:pPr>
      <w:r>
        <w:t>Wypełniony załącznik nr 1</w:t>
      </w:r>
    </w:p>
    <w:p w:rsidR="00042BE0" w:rsidRDefault="00042BE0" w:rsidP="00042BE0">
      <w:pPr>
        <w:numPr>
          <w:ilvl w:val="0"/>
          <w:numId w:val="12"/>
        </w:numPr>
      </w:pPr>
      <w:r>
        <w:t>Podpisany załącznik nr 2</w:t>
      </w:r>
    </w:p>
    <w:p w:rsidR="00042BE0" w:rsidRDefault="00042BE0" w:rsidP="00042BE0">
      <w:pPr>
        <w:numPr>
          <w:ilvl w:val="0"/>
          <w:numId w:val="12"/>
        </w:numPr>
      </w:pPr>
      <w:r>
        <w:t>Podpisany załącznik nr 3</w:t>
      </w:r>
    </w:p>
    <w:p w:rsidR="00042BE0" w:rsidRDefault="00042BE0" w:rsidP="00042BE0">
      <w:pPr>
        <w:ind w:left="720"/>
      </w:pPr>
    </w:p>
    <w:p w:rsidR="00A846BA" w:rsidRPr="0008261E" w:rsidRDefault="00A846BA" w:rsidP="00A846BA"/>
    <w:p w:rsidR="00C253B3" w:rsidRDefault="00C253B3"/>
    <w:sectPr w:rsidR="00C253B3" w:rsidSect="006D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D8F"/>
    <w:multiLevelType w:val="multilevel"/>
    <w:tmpl w:val="654E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00F68"/>
    <w:multiLevelType w:val="multilevel"/>
    <w:tmpl w:val="69AA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7602A"/>
    <w:multiLevelType w:val="multilevel"/>
    <w:tmpl w:val="E730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579A"/>
    <w:multiLevelType w:val="multilevel"/>
    <w:tmpl w:val="DEFC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76D15"/>
    <w:multiLevelType w:val="multilevel"/>
    <w:tmpl w:val="004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241F9"/>
    <w:multiLevelType w:val="multilevel"/>
    <w:tmpl w:val="6DF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D0847"/>
    <w:multiLevelType w:val="multilevel"/>
    <w:tmpl w:val="710E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45C8D"/>
    <w:multiLevelType w:val="multilevel"/>
    <w:tmpl w:val="898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9483B"/>
    <w:multiLevelType w:val="multilevel"/>
    <w:tmpl w:val="7B8C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4347D6"/>
    <w:multiLevelType w:val="multilevel"/>
    <w:tmpl w:val="2CFA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31943"/>
    <w:multiLevelType w:val="multilevel"/>
    <w:tmpl w:val="ACF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A31E10"/>
    <w:multiLevelType w:val="multilevel"/>
    <w:tmpl w:val="21F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08261E"/>
    <w:rsid w:val="00042BE0"/>
    <w:rsid w:val="00067BDE"/>
    <w:rsid w:val="0008261E"/>
    <w:rsid w:val="000B0C4E"/>
    <w:rsid w:val="00183D10"/>
    <w:rsid w:val="001C3477"/>
    <w:rsid w:val="003028D6"/>
    <w:rsid w:val="003D6938"/>
    <w:rsid w:val="0040153B"/>
    <w:rsid w:val="00430805"/>
    <w:rsid w:val="004A788B"/>
    <w:rsid w:val="00570D66"/>
    <w:rsid w:val="006A69AC"/>
    <w:rsid w:val="006D76F2"/>
    <w:rsid w:val="00856786"/>
    <w:rsid w:val="008F0263"/>
    <w:rsid w:val="00942E7C"/>
    <w:rsid w:val="009E38BE"/>
    <w:rsid w:val="00A846BA"/>
    <w:rsid w:val="00AB66F3"/>
    <w:rsid w:val="00B6327C"/>
    <w:rsid w:val="00BB369F"/>
    <w:rsid w:val="00C253B3"/>
    <w:rsid w:val="00C50B55"/>
    <w:rsid w:val="00CE4E4E"/>
    <w:rsid w:val="00D46AD3"/>
    <w:rsid w:val="00D67F1B"/>
    <w:rsid w:val="00DB3CF9"/>
    <w:rsid w:val="00F3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7B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7B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vestgis.eu/aether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538</Words>
  <Characters>3617</Characters>
  <Application>Microsoft Office Word</Application>
  <DocSecurity>0</DocSecurity>
  <Lines>58</Lines>
  <Paragraphs>27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grzeszczak</dc:creator>
  <cp:keywords/>
  <dc:description/>
  <cp:lastModifiedBy>arek grzeszczak</cp:lastModifiedBy>
  <cp:revision>16</cp:revision>
  <dcterms:created xsi:type="dcterms:W3CDTF">2024-12-01T13:14:00Z</dcterms:created>
  <dcterms:modified xsi:type="dcterms:W3CDTF">2025-04-29T18:22:00Z</dcterms:modified>
</cp:coreProperties>
</file>