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7AF" w14:textId="4DB21050" w:rsidR="008F34F7" w:rsidRPr="004161AC" w:rsidRDefault="008F34F7" w:rsidP="008F34F7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Białogard</w:t>
      </w:r>
      <w:r w:rsidRPr="004161AC">
        <w:rPr>
          <w:rFonts w:cstheme="minorHAnsi"/>
          <w:b/>
          <w:bCs/>
          <w:sz w:val="24"/>
          <w:szCs w:val="24"/>
        </w:rPr>
        <w:t xml:space="preserve">, </w:t>
      </w:r>
      <w:r w:rsidR="00B01F14">
        <w:rPr>
          <w:rFonts w:cstheme="minorHAnsi"/>
          <w:b/>
          <w:bCs/>
          <w:sz w:val="24"/>
          <w:szCs w:val="24"/>
        </w:rPr>
        <w:t>1</w:t>
      </w:r>
      <w:r w:rsidR="00B719F7">
        <w:rPr>
          <w:rFonts w:cstheme="minorHAnsi"/>
          <w:b/>
          <w:bCs/>
          <w:sz w:val="24"/>
          <w:szCs w:val="24"/>
        </w:rPr>
        <w:t>7</w:t>
      </w:r>
      <w:r w:rsidRPr="004161AC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04</w:t>
      </w:r>
      <w:r w:rsidRPr="004161AC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5</w:t>
      </w:r>
      <w:r w:rsidRPr="004161AC">
        <w:rPr>
          <w:rFonts w:cstheme="minorHAnsi"/>
          <w:b/>
          <w:bCs/>
          <w:sz w:val="24"/>
          <w:szCs w:val="24"/>
        </w:rPr>
        <w:t xml:space="preserve"> r.</w:t>
      </w:r>
    </w:p>
    <w:p w14:paraId="430A7EF9" w14:textId="77777777" w:rsidR="008F34F7" w:rsidRPr="00F104E9" w:rsidRDefault="008F34F7" w:rsidP="008F34F7">
      <w:pPr>
        <w:spacing w:after="0" w:line="240" w:lineRule="auto"/>
        <w:jc w:val="both"/>
        <w:rPr>
          <w:rFonts w:cstheme="minorHAnsi"/>
          <w:b/>
          <w:sz w:val="44"/>
          <w:szCs w:val="44"/>
        </w:rPr>
      </w:pPr>
    </w:p>
    <w:p w14:paraId="04B5ED9A" w14:textId="4CC1F61D" w:rsidR="008F34F7" w:rsidRPr="00F104E9" w:rsidRDefault="008F34F7" w:rsidP="008F34F7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F104E9">
        <w:rPr>
          <w:rFonts w:cstheme="minorHAnsi"/>
          <w:b/>
          <w:bCs/>
          <w:sz w:val="44"/>
          <w:szCs w:val="44"/>
        </w:rPr>
        <w:t xml:space="preserve">ZAPYTANIE OFERTOWE NR </w:t>
      </w:r>
      <w:r w:rsidR="00B719F7">
        <w:rPr>
          <w:rFonts w:cstheme="minorHAnsi"/>
          <w:b/>
          <w:bCs/>
          <w:sz w:val="44"/>
          <w:szCs w:val="44"/>
        </w:rPr>
        <w:t>4</w:t>
      </w:r>
      <w:r w:rsidRPr="00F104E9">
        <w:rPr>
          <w:rFonts w:cstheme="minorHAnsi"/>
          <w:b/>
          <w:bCs/>
          <w:sz w:val="44"/>
          <w:szCs w:val="44"/>
        </w:rPr>
        <w:t>/GOZ</w:t>
      </w:r>
    </w:p>
    <w:p w14:paraId="5268E9F0" w14:textId="77777777" w:rsidR="008F34F7" w:rsidRDefault="008F34F7" w:rsidP="008F34F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2796E10" w14:textId="77777777" w:rsidR="007544B7" w:rsidRPr="00F104E9" w:rsidRDefault="007544B7" w:rsidP="007544B7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LINIA DO REGRANULACJI</w:t>
      </w:r>
    </w:p>
    <w:p w14:paraId="395F05C9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89D2BB" w14:textId="0EE7FBCD" w:rsidR="008F34F7" w:rsidRPr="004161AC" w:rsidRDefault="008F34F7" w:rsidP="008F34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bCs/>
          <w:sz w:val="24"/>
          <w:szCs w:val="24"/>
        </w:rPr>
        <w:t>Tytuł projektu: „</w:t>
      </w:r>
      <w:r w:rsidRPr="008F34F7">
        <w:rPr>
          <w:rFonts w:cstheme="minorHAnsi"/>
          <w:b/>
          <w:i/>
          <w:sz w:val="24"/>
          <w:szCs w:val="24"/>
        </w:rPr>
        <w:t>Implementacja technologii środowiskowych w firmie TS PACK - Droga do Gospodarki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8F34F7">
        <w:rPr>
          <w:rFonts w:cstheme="minorHAnsi"/>
          <w:b/>
          <w:i/>
          <w:sz w:val="24"/>
          <w:szCs w:val="24"/>
        </w:rPr>
        <w:t>o Obiegu Zamkniętym</w:t>
      </w:r>
      <w:r w:rsidRPr="004161AC">
        <w:rPr>
          <w:rFonts w:cstheme="minorHAnsi"/>
          <w:b/>
          <w:sz w:val="24"/>
          <w:szCs w:val="24"/>
        </w:rPr>
        <w:t>”.</w:t>
      </w:r>
    </w:p>
    <w:p w14:paraId="0D663A1C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5D00669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Niniejsze postępowanie toczy się w trybie zapytania ofertowego, z zachowaniem uczciwej konkurencji i równego traktowania wykonawców zgodnie z:</w:t>
      </w:r>
    </w:p>
    <w:p w14:paraId="3892B380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 xml:space="preserve">a) ustawą z dnia 11 września 2019 r. Prawo zamówień publicznych (Dz. U. z 2023 r. poz. 1605, z </w:t>
      </w:r>
      <w:proofErr w:type="spellStart"/>
      <w:r w:rsidRPr="004161AC">
        <w:rPr>
          <w:rFonts w:cstheme="minorHAnsi"/>
          <w:bCs/>
          <w:sz w:val="24"/>
          <w:szCs w:val="24"/>
        </w:rPr>
        <w:t>późn</w:t>
      </w:r>
      <w:proofErr w:type="spellEnd"/>
      <w:r w:rsidRPr="004161AC">
        <w:rPr>
          <w:rFonts w:cstheme="minorHAnsi"/>
          <w:bCs/>
          <w:sz w:val="24"/>
          <w:szCs w:val="24"/>
        </w:rPr>
        <w:t>. zm.) w przypadku podmiotów będących zamawiającymi w rozumieniu tej ustawy,</w:t>
      </w:r>
    </w:p>
    <w:p w14:paraId="6EFD08AB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b) art. 6c ustawy o PARP,</w:t>
      </w:r>
    </w:p>
    <w:p w14:paraId="7C4279C9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Cs/>
          <w:sz w:val="24"/>
          <w:szCs w:val="24"/>
        </w:rPr>
        <w:t>c) zasadą konkurencyjności, o której mowa w Wytycznych dotyczących kwalifikowalności wydatków na lata 2021-2027 stosowanych odpowiednio, dostępnych pod adresem https://www.funduszeeuropejskie.gov.pl/strony/o-funduszach/dokumenty/wytyczne-dotyczace-kwalifikowalnosci-2021-2027.</w:t>
      </w:r>
    </w:p>
    <w:p w14:paraId="1D4702FE" w14:textId="77777777" w:rsidR="008F34F7" w:rsidRPr="004161AC" w:rsidRDefault="008F34F7" w:rsidP="008F34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84A7E33" w14:textId="77777777" w:rsidR="008F34F7" w:rsidRPr="003F2632" w:rsidRDefault="008F34F7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2632">
        <w:rPr>
          <w:rFonts w:cstheme="minorHAnsi"/>
          <w:b/>
          <w:bCs/>
          <w:sz w:val="24"/>
          <w:szCs w:val="24"/>
        </w:rPr>
        <w:t xml:space="preserve">Program: </w:t>
      </w:r>
      <w:r w:rsidRPr="003F2632">
        <w:rPr>
          <w:rFonts w:cstheme="minorHAnsi"/>
          <w:bCs/>
          <w:sz w:val="24"/>
          <w:szCs w:val="24"/>
        </w:rPr>
        <w:t>Krajowy Plan Odbudowy i Zwiększania Odporności</w:t>
      </w:r>
    </w:p>
    <w:p w14:paraId="6CD83FA5" w14:textId="77777777" w:rsidR="008F34F7" w:rsidRPr="003F2632" w:rsidRDefault="008F34F7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2632">
        <w:rPr>
          <w:rFonts w:cstheme="minorHAnsi"/>
          <w:b/>
          <w:bCs/>
          <w:sz w:val="24"/>
          <w:szCs w:val="24"/>
        </w:rPr>
        <w:t xml:space="preserve">Komponent: </w:t>
      </w:r>
      <w:r w:rsidRPr="003F2632">
        <w:rPr>
          <w:rFonts w:cstheme="minorHAnsi"/>
          <w:bCs/>
          <w:sz w:val="24"/>
          <w:szCs w:val="24"/>
        </w:rPr>
        <w:t>A „Odporność i Konkurencyjność Gospodarki”</w:t>
      </w:r>
    </w:p>
    <w:p w14:paraId="3F0E83F8" w14:textId="77777777" w:rsidR="008F34F7" w:rsidRDefault="008F34F7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161AC">
        <w:rPr>
          <w:rFonts w:cstheme="minorHAnsi"/>
          <w:b/>
          <w:bCs/>
          <w:sz w:val="24"/>
          <w:szCs w:val="24"/>
        </w:rPr>
        <w:t xml:space="preserve">Inwestycja: </w:t>
      </w:r>
      <w:r w:rsidRPr="004161AC">
        <w:rPr>
          <w:rFonts w:cstheme="minorHAnsi"/>
          <w:bCs/>
          <w:sz w:val="24"/>
          <w:szCs w:val="24"/>
        </w:rPr>
        <w:t>A2.2.1 Inwestycje we wdrażanie technologii i innowacji środowiskowych, w tym związanych z GOZ</w:t>
      </w:r>
    </w:p>
    <w:p w14:paraId="258CA39E" w14:textId="77777777" w:rsidR="006849E2" w:rsidRPr="004161AC" w:rsidRDefault="006849E2" w:rsidP="008F34F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3D59B36" w14:textId="77777777" w:rsidR="008F34F7" w:rsidRPr="004161AC" w:rsidRDefault="008F34F7" w:rsidP="008F3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 xml:space="preserve">Nazwa, adres i dane teleadresowe Beneficjenta: </w:t>
      </w:r>
    </w:p>
    <w:p w14:paraId="51C814EC" w14:textId="7A46A98D" w:rsidR="008F34F7" w:rsidRDefault="008F34F7" w:rsidP="008F34F7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TS PACK Białogard sp. z o.o</w:t>
      </w:r>
      <w:r w:rsidRPr="004161AC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sp. k.</w:t>
      </w:r>
      <w:r>
        <w:rPr>
          <w:rFonts w:cstheme="minorHAnsi"/>
          <w:color w:val="000000"/>
          <w:sz w:val="24"/>
          <w:szCs w:val="24"/>
        </w:rPr>
        <w:br/>
        <w:t>ul. Gdyńska 15</w:t>
      </w:r>
      <w:r>
        <w:rPr>
          <w:rFonts w:cstheme="minorHAnsi"/>
          <w:color w:val="000000"/>
          <w:sz w:val="24"/>
          <w:szCs w:val="24"/>
        </w:rPr>
        <w:br/>
        <w:t>75-800 Białogard</w:t>
      </w:r>
      <w:r>
        <w:rPr>
          <w:rFonts w:cstheme="minorHAnsi"/>
          <w:color w:val="000000"/>
          <w:sz w:val="24"/>
          <w:szCs w:val="24"/>
        </w:rPr>
        <w:br/>
        <w:t xml:space="preserve">NIP: </w:t>
      </w:r>
      <w:r w:rsidRPr="008F34F7">
        <w:rPr>
          <w:rFonts w:cstheme="minorHAnsi"/>
          <w:color w:val="000000"/>
          <w:sz w:val="24"/>
          <w:szCs w:val="24"/>
        </w:rPr>
        <w:t>6721515298</w:t>
      </w:r>
    </w:p>
    <w:p w14:paraId="6B7E2E9F" w14:textId="77777777" w:rsidR="008F34F7" w:rsidRPr="004161AC" w:rsidRDefault="008F34F7" w:rsidP="008F3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Opis przedmiotu zamówienia:</w:t>
      </w:r>
    </w:p>
    <w:p w14:paraId="048D1293" w14:textId="77777777" w:rsidR="007544B7" w:rsidRDefault="008F34F7" w:rsidP="007544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 xml:space="preserve">KOD CPV </w:t>
      </w:r>
      <w:r w:rsidR="004E2524">
        <w:rPr>
          <w:rFonts w:cstheme="minorHAnsi"/>
          <w:b/>
          <w:sz w:val="24"/>
          <w:szCs w:val="24"/>
        </w:rPr>
        <w:t>–</w:t>
      </w:r>
      <w:r w:rsidRPr="004161AC">
        <w:rPr>
          <w:rFonts w:cstheme="minorHAnsi"/>
          <w:b/>
          <w:sz w:val="24"/>
          <w:szCs w:val="24"/>
        </w:rPr>
        <w:t xml:space="preserve"> </w:t>
      </w:r>
      <w:r w:rsidR="007544B7" w:rsidRPr="00F4344F">
        <w:rPr>
          <w:rFonts w:cstheme="minorHAnsi"/>
          <w:b/>
          <w:sz w:val="24"/>
          <w:szCs w:val="24"/>
        </w:rPr>
        <w:t>42900000-5 - Różne maszyny ogólnego i specjalnego przeznaczenia</w:t>
      </w:r>
    </w:p>
    <w:p w14:paraId="330E3CC9" w14:textId="77777777" w:rsidR="007544B7" w:rsidRDefault="007544B7" w:rsidP="007544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4344F">
        <w:rPr>
          <w:rFonts w:cstheme="minorHAnsi"/>
          <w:b/>
          <w:sz w:val="24"/>
          <w:szCs w:val="24"/>
        </w:rPr>
        <w:t>42914000-6 - Urządzenia do recyklingu</w:t>
      </w:r>
    </w:p>
    <w:p w14:paraId="443ECB61" w14:textId="77777777" w:rsidR="007544B7" w:rsidRDefault="007544B7" w:rsidP="007544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4344F">
        <w:rPr>
          <w:rFonts w:cstheme="minorHAnsi"/>
          <w:b/>
          <w:sz w:val="24"/>
          <w:szCs w:val="24"/>
        </w:rPr>
        <w:t>42990000-2 - Różne maszyny specjalnego zastosowania</w:t>
      </w:r>
    </w:p>
    <w:p w14:paraId="380D1258" w14:textId="77777777" w:rsidR="007544B7" w:rsidRDefault="007544B7" w:rsidP="007544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4344F">
        <w:rPr>
          <w:rFonts w:cstheme="minorHAnsi"/>
          <w:b/>
          <w:sz w:val="24"/>
          <w:szCs w:val="24"/>
        </w:rPr>
        <w:t>42994200-2 - Maszyny do przerobu tworzyw sztucznych</w:t>
      </w:r>
    </w:p>
    <w:p w14:paraId="5B49944C" w14:textId="68858618" w:rsidR="00750EFC" w:rsidRPr="004161AC" w:rsidRDefault="00750EFC" w:rsidP="007544B7">
      <w:pPr>
        <w:spacing w:after="0" w:line="240" w:lineRule="auto"/>
        <w:jc w:val="both"/>
        <w:rPr>
          <w:rFonts w:cstheme="minorHAnsi"/>
          <w:b/>
        </w:rPr>
      </w:pPr>
    </w:p>
    <w:p w14:paraId="4A09F2E4" w14:textId="72164812" w:rsidR="008F34F7" w:rsidRDefault="008F34F7" w:rsidP="008F34F7">
      <w:pPr>
        <w:pStyle w:val="Default"/>
        <w:jc w:val="both"/>
        <w:rPr>
          <w:rFonts w:asciiTheme="minorHAnsi" w:hAnsiTheme="minorHAnsi" w:cstheme="minorHAnsi"/>
          <w:b/>
        </w:rPr>
      </w:pPr>
      <w:r w:rsidRPr="004161AC">
        <w:rPr>
          <w:rFonts w:asciiTheme="minorHAnsi" w:hAnsiTheme="minorHAnsi" w:cstheme="minorHAnsi"/>
          <w:b/>
        </w:rPr>
        <w:t xml:space="preserve">Zapytanie ofertowe dotyczy </w:t>
      </w:r>
      <w:r>
        <w:rPr>
          <w:rFonts w:asciiTheme="minorHAnsi" w:hAnsiTheme="minorHAnsi" w:cstheme="minorHAnsi"/>
          <w:b/>
        </w:rPr>
        <w:t xml:space="preserve">dostawy i montażu niżej wymienionej </w:t>
      </w:r>
      <w:r w:rsidR="00F66A4F">
        <w:rPr>
          <w:rFonts w:asciiTheme="minorHAnsi" w:hAnsiTheme="minorHAnsi" w:cstheme="minorHAnsi"/>
          <w:b/>
        </w:rPr>
        <w:t>maszyny</w:t>
      </w:r>
      <w:r w:rsidRPr="004161AC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44F" w:rsidRPr="004161AC" w14:paraId="20C673CC" w14:textId="77777777" w:rsidTr="004E2524">
        <w:tc>
          <w:tcPr>
            <w:tcW w:w="0" w:type="auto"/>
            <w:vAlign w:val="center"/>
          </w:tcPr>
          <w:p w14:paraId="0D2D5FF2" w14:textId="3589F931" w:rsidR="004E2524" w:rsidRPr="004E2524" w:rsidRDefault="007544B7" w:rsidP="007544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D9D9D9" w:themeFill="background1" w:themeFillShade="D9"/>
              <w:jc w:val="center"/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 xml:space="preserve">Linia do </w:t>
            </w:r>
            <w:proofErr w:type="spellStart"/>
            <w:r>
              <w:rPr>
                <w:rFonts w:eastAsia="Arial Unicode MS" w:cstheme="minorHAnsi"/>
                <w:b/>
                <w:bCs/>
                <w:color w:val="000000"/>
                <w:sz w:val="36"/>
                <w:szCs w:val="36"/>
                <w:bdr w:val="nil"/>
                <w:lang w:eastAsia="pl-PL"/>
              </w:rPr>
              <w:t>regranulacji</w:t>
            </w:r>
            <w:proofErr w:type="spellEnd"/>
          </w:p>
        </w:tc>
      </w:tr>
      <w:tr w:rsidR="00F4344F" w:rsidRPr="004161AC" w14:paraId="4CAC47A3" w14:textId="77777777" w:rsidTr="00F452EF">
        <w:tc>
          <w:tcPr>
            <w:tcW w:w="0" w:type="auto"/>
          </w:tcPr>
          <w:p w14:paraId="5356FC40" w14:textId="77777777" w:rsidR="00F03411" w:rsidRDefault="00F03411" w:rsidP="00EC3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679DAE7E" w14:textId="5275532A" w:rsidR="00F03411" w:rsidRPr="00F03411" w:rsidRDefault="00F03411" w:rsidP="00B0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Przedmiotem zamówienia jest </w:t>
            </w:r>
            <w:r w:rsidR="007544B7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l</w:t>
            </w:r>
            <w:r w:rsidR="007544B7" w:rsidRPr="007544B7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inia do </w:t>
            </w:r>
            <w:proofErr w:type="spellStart"/>
            <w:r w:rsidR="007544B7" w:rsidRPr="007544B7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regranulacji</w:t>
            </w:r>
            <w:proofErr w:type="spellEnd"/>
            <w:r w:rsidR="007544B7" w:rsidRPr="007544B7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, </w:t>
            </w:r>
            <w:r w:rsidR="007544B7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która </w:t>
            </w:r>
            <w:r w:rsidR="007544B7" w:rsidRPr="007544B7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umożliwi przetwarzanie odpadów produkcyjnych na nowe surowce, które mogą być ponownie wykorzystane. Dzięki temu możliwe </w:t>
            </w:r>
            <w:r w:rsidR="00B01F14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będzie</w:t>
            </w:r>
            <w:r w:rsidR="007544B7" w:rsidRPr="007544B7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zamknięcie obiegu materiałów, co jest kluczowym celem gospodarki o obiegu zamkniętym. </w:t>
            </w:r>
          </w:p>
          <w:p w14:paraId="273C03D2" w14:textId="77777777" w:rsidR="00F03411" w:rsidRPr="00F03411" w:rsidRDefault="00F03411" w:rsidP="00F03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4FF66C1D" w14:textId="446B6648" w:rsidR="00F03411" w:rsidRDefault="00F03411" w:rsidP="00F03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F03411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lastRenderedPageBreak/>
              <w:t>Zamówienie obejmuje dostawę kompletnego urządzenia gotowego do pracy, spełniającego obowiązujące normy jakościowe i bezpieczeństwa, wraz z niezbędną dokumentacją techniczną oraz instrukcją obsługi.</w:t>
            </w:r>
          </w:p>
          <w:p w14:paraId="13892A6C" w14:textId="102D33D9" w:rsidR="00F03411" w:rsidRDefault="00F03411" w:rsidP="00EC3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76AC9563" w14:textId="76E5711F" w:rsidR="00EC392D" w:rsidRPr="00EC392D" w:rsidRDefault="00F03411" w:rsidP="00EC3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Minimalne p</w:t>
            </w:r>
            <w:r w:rsidR="00EC392D" w:rsidRPr="00EC392D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arametry techniczne </w:t>
            </w:r>
            <w:r w:rsidR="00A00A09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linii</w:t>
            </w:r>
            <w:r w:rsidR="00EC392D" w:rsidRPr="00EC392D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:</w:t>
            </w:r>
          </w:p>
          <w:p w14:paraId="2C595ED0" w14:textId="560EA260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Materiał: PE/PP</w:t>
            </w:r>
          </w:p>
          <w:p w14:paraId="3DC6E83D" w14:textId="488C4886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Wydajność maksymalna:</w:t>
            </w:r>
          </w:p>
          <w:p w14:paraId="19CE9172" w14:textId="5180A074" w:rsidR="007544B7" w:rsidRDefault="007544B7" w:rsidP="00D049C5">
            <w:pPr>
              <w:pStyle w:val="Akapitzlist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PP: 200 kg/h</w:t>
            </w:r>
          </w:p>
          <w:p w14:paraId="46721954" w14:textId="57EB6038" w:rsidR="007544B7" w:rsidRDefault="007544B7" w:rsidP="00D049C5">
            <w:pPr>
              <w:pStyle w:val="Akapitzlist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PE: 240 kg/h</w:t>
            </w:r>
          </w:p>
          <w:p w14:paraId="7BD58411" w14:textId="0AB712D0" w:rsidR="00804DC3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Moc zainstalowana: min. 140 kW</w:t>
            </w:r>
            <w:r w:rsidR="00804DC3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,</w:t>
            </w:r>
          </w:p>
          <w:p w14:paraId="49DFB0AF" w14:textId="2BD3EF56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Pobór mocy w czasie pracy: max. 78 kW,</w:t>
            </w:r>
          </w:p>
          <w:p w14:paraId="722FA266" w14:textId="11E0DBAF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Średnica ślimaka: min 85 mm,</w:t>
            </w:r>
          </w:p>
          <w:p w14:paraId="3316E84E" w14:textId="071EC0E5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Stosunek L/DL: min. 32:1,</w:t>
            </w:r>
          </w:p>
          <w:p w14:paraId="7E985E3B" w14:textId="359EFF00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Zakres obrotów: 0 – 150 </w:t>
            </w:r>
            <w:proofErr w:type="spellStart"/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obr</w:t>
            </w:r>
            <w:proofErr w:type="spellEnd"/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/min,</w:t>
            </w:r>
          </w:p>
          <w:p w14:paraId="128EE825" w14:textId="25463007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Ilość stref grzewczych cylindra </w:t>
            </w:r>
            <w:proofErr w:type="spellStart"/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plastyfikującego</w:t>
            </w:r>
            <w:proofErr w:type="spellEnd"/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: min 5 szt.</w:t>
            </w:r>
          </w:p>
          <w:p w14:paraId="5FA1FB47" w14:textId="1A114E1D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Moc grzałek tulei cylindra </w:t>
            </w:r>
            <w:proofErr w:type="spellStart"/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plastyfikujacego</w:t>
            </w:r>
            <w:proofErr w:type="spellEnd"/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: min. 32,5 kW,</w:t>
            </w:r>
          </w:p>
          <w:p w14:paraId="6874FBC9" w14:textId="5383ADD4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Ilość noży w głowicy granulującej: min. 4 szt.,</w:t>
            </w:r>
          </w:p>
          <w:p w14:paraId="785FC24B" w14:textId="2D015EBE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Moc grzewcza głowicy granulującej: min. 2 kW,</w:t>
            </w:r>
          </w:p>
          <w:p w14:paraId="11E1B57C" w14:textId="0A50559A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Średnica komory zagęszczania: min. 750 mm,</w:t>
            </w:r>
          </w:p>
          <w:p w14:paraId="183257A7" w14:textId="6F8F0898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Zagęszczarka surowca wyposażona w min. 4 szt. noży obrotowych oraz min. 12 noży stacjonarnych,</w:t>
            </w:r>
          </w:p>
          <w:p w14:paraId="6EA21691" w14:textId="359E879F" w:rsidR="007544B7" w:rsidRDefault="007544B7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Moc silnika transportera wprowadzającego surowiec do zagęszczarki: min. 1 HP,</w:t>
            </w:r>
          </w:p>
          <w:p w14:paraId="44B24458" w14:textId="7030E2EA" w:rsidR="007544B7" w:rsidRDefault="003961C2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Silos do płatków o pojemności min.: 680 l.,</w:t>
            </w:r>
          </w:p>
          <w:p w14:paraId="503FE379" w14:textId="4C61375D" w:rsidR="003961C2" w:rsidRPr="00D049C5" w:rsidRDefault="003961C2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sz w:val="24"/>
                <w:szCs w:val="24"/>
                <w:bdr w:val="nil"/>
                <w:lang w:eastAsia="pl-PL"/>
              </w:rPr>
            </w:pPr>
            <w:r w:rsidRPr="00D049C5">
              <w:rPr>
                <w:rFonts w:eastAsia="Arial Unicode MS" w:cstheme="minorHAnsi"/>
                <w:sz w:val="24"/>
                <w:szCs w:val="24"/>
                <w:bdr w:val="nil"/>
                <w:lang w:eastAsia="pl-PL"/>
              </w:rPr>
              <w:t>Pulpit sterowniczy: analogowo-cyfrowy</w:t>
            </w:r>
            <w:r w:rsidR="00D049C5" w:rsidRPr="00D049C5">
              <w:rPr>
                <w:rFonts w:eastAsia="Arial Unicode MS" w:cstheme="minorHAnsi"/>
                <w:sz w:val="24"/>
                <w:szCs w:val="24"/>
                <w:bdr w:val="nil"/>
                <w:lang w:eastAsia="pl-PL"/>
              </w:rPr>
              <w:t>,</w:t>
            </w:r>
          </w:p>
          <w:p w14:paraId="34BBFEC3" w14:textId="70E13B65" w:rsidR="00D049C5" w:rsidRPr="00D049C5" w:rsidRDefault="00D049C5" w:rsidP="00D049C5">
            <w:pPr>
              <w:pStyle w:val="Akapitzlist"/>
              <w:numPr>
                <w:ilvl w:val="0"/>
                <w:numId w:val="28"/>
              </w:numPr>
              <w:spacing w:line="256" w:lineRule="auto"/>
              <w:jc w:val="both"/>
              <w:rPr>
                <w:rFonts w:eastAsia="Arial Unicode MS" w:cstheme="minorHAnsi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D049C5">
              <w:rPr>
                <w:rFonts w:eastAsia="Arial Unicode MS" w:cstheme="minorHAnsi"/>
                <w:sz w:val="24"/>
                <w:szCs w:val="24"/>
                <w:bdr w:val="none" w:sz="0" w:space="0" w:color="auto" w:frame="1"/>
                <w:lang w:eastAsia="pl-PL"/>
              </w:rPr>
              <w:t>Wyposażenie: detektor metali, podwójne odgazowanie z pompą</w:t>
            </w:r>
            <w:r>
              <w:rPr>
                <w:rFonts w:eastAsia="Arial Unicode MS" w:cstheme="minorHAnsi"/>
                <w:sz w:val="24"/>
                <w:szCs w:val="24"/>
                <w:bdr w:val="none" w:sz="0" w:space="0" w:color="auto" w:frame="1"/>
                <w:lang w:eastAsia="pl-PL"/>
              </w:rPr>
              <w:t>;</w:t>
            </w:r>
          </w:p>
          <w:p w14:paraId="7BA04D01" w14:textId="77777777" w:rsidR="00004C92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3F5B0790" w14:textId="043836F0" w:rsidR="00004C92" w:rsidRPr="003A759C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  <w:t>Pozostałe informacje:</w:t>
            </w:r>
          </w:p>
          <w:p w14:paraId="223DEA05" w14:textId="59926D54" w:rsidR="00004C92" w:rsidRPr="003A759C" w:rsidRDefault="00004C92" w:rsidP="00D049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Dostawca zobowiązany jest do wykonania montażu </w:t>
            </w:r>
            <w:r w:rsidR="00AD481B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linii do </w:t>
            </w:r>
            <w:proofErr w:type="spellStart"/>
            <w:r w:rsidR="003961C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regranulacji</w:t>
            </w:r>
            <w:proofErr w:type="spellEnd"/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w miejscu wskazanym przez Zamawiającego.</w:t>
            </w:r>
          </w:p>
          <w:p w14:paraId="3C4778F7" w14:textId="0B8C401C" w:rsidR="00004C92" w:rsidRPr="003A759C" w:rsidRDefault="00004C92" w:rsidP="00D049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Maszyna</w:t>
            </w: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powinna być dostarczona wraz z kompletną dokumentacją techniczną oraz instrukcją obsługi w języku polskim.</w:t>
            </w:r>
          </w:p>
          <w:p w14:paraId="1CF86995" w14:textId="77777777" w:rsidR="00004C92" w:rsidRDefault="00004C92" w:rsidP="00D049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Po zakończeniu montażu wymagane jest przeprowadzenie prób odbiorczych oraz szkolenie personelu w zakresie obsługi i konserwacji urządzenia.</w:t>
            </w:r>
          </w:p>
          <w:p w14:paraId="00F74868" w14:textId="77777777" w:rsidR="00004C92" w:rsidRPr="003A759C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29A17801" w14:textId="77777777" w:rsidR="00004C92" w:rsidRPr="003A759C" w:rsidRDefault="00004C92" w:rsidP="00004C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bdr w:val="nil"/>
                <w:lang w:eastAsia="pl-PL"/>
              </w:rPr>
              <w:t>Wymagania dotyczące jakości i bezpieczeństwa</w:t>
            </w:r>
          </w:p>
          <w:p w14:paraId="32857703" w14:textId="4FDEFC31" w:rsidR="00004C92" w:rsidRPr="003A759C" w:rsidRDefault="00004C92" w:rsidP="00D049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Urządzenie</w:t>
            </w: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musi spełniać obowiązujące normy oraz przepisy w zakresie bezpieczeństwa i eksploatacji.</w:t>
            </w:r>
          </w:p>
          <w:p w14:paraId="3D677D26" w14:textId="2A405557" w:rsidR="00004C92" w:rsidRDefault="00004C92" w:rsidP="00D049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Konstrukcja powinna zapewniać bezpieczną i ergonomiczną obsługę </w:t>
            </w:r>
            <w:r w:rsidR="00AD481B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linii do </w:t>
            </w:r>
            <w:proofErr w:type="spellStart"/>
            <w:r w:rsidR="003961C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regranulacji</w:t>
            </w:r>
            <w:proofErr w:type="spellEnd"/>
            <w:r w:rsidRPr="003A759C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  <w:p w14:paraId="6FDC9D5E" w14:textId="77777777" w:rsidR="00004C92" w:rsidRDefault="00004C92" w:rsidP="00D049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004C9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Elementy sterowania muszą być przystosowane do pracy w wymagających warunkach przemysłowych, w tym odporne na zapylenie i wilgoć.</w:t>
            </w:r>
          </w:p>
          <w:p w14:paraId="5063F0B8" w14:textId="77777777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0C6C1D0D" w14:textId="77777777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Na etapie końcowego odbioru Przedmiotu Zamówienia, Dostawca jest zobowiązany przekazać Zamawiającemu:</w:t>
            </w:r>
          </w:p>
          <w:p w14:paraId="529E3A75" w14:textId="018F3DA1" w:rsidR="00D76122" w:rsidRPr="00D76122" w:rsidRDefault="00D76122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lastRenderedPageBreak/>
              <w:t>dokumentację techniczno-ruchową (DTR) wszystkich urządzeń</w:t>
            </w:r>
            <w:r w:rsidR="00D049C5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w j. polskim,</w:t>
            </w:r>
          </w:p>
          <w:p w14:paraId="1B356A74" w14:textId="3EE3AD0F" w:rsidR="00D76122" w:rsidRPr="00D76122" w:rsidRDefault="00D76122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deklarację zgodności CE, </w:t>
            </w:r>
          </w:p>
          <w:p w14:paraId="3C610984" w14:textId="125AEF0A" w:rsidR="00D76122" w:rsidRDefault="00D76122" w:rsidP="00D049C5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wymagane przepisami atesty i certyfikaty.</w:t>
            </w:r>
          </w:p>
          <w:p w14:paraId="45911924" w14:textId="67160836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0B3DCCA2" w14:textId="65597279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Dostawca udziela minimum </w:t>
            </w:r>
            <w:r w:rsidR="00B01F14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12</w:t>
            </w: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miesięcznej gwarancji. Bieg terminu gwarancji będzie liczony od podpisania przez każd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ą</w:t>
            </w: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 ze stron protokołu odbioru.</w:t>
            </w:r>
          </w:p>
          <w:p w14:paraId="5CE02337" w14:textId="0F0344AE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 ramach gwarancji Dostawca zobowiązany jest do naprawy lub wymiany wadliwego elementu zakładu na nowy, wolny od wad, w terminie 7 dni od daty doręczenia mu zgłoszenia przesłanego elektronicznie.</w:t>
            </w:r>
          </w:p>
          <w:p w14:paraId="0B6E9105" w14:textId="77777777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5345E42C" w14:textId="15147D77" w:rsid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 xml:space="preserve">Dostawca musi posiadać odpowiednie zaplecze w postaci serwisu stacjonarnego i/lub serwisu mobilnego, zapewniającego serwis gwarancyjny i pogwarancyjny z czasem reakcji nie dłużej niż </w:t>
            </w:r>
            <w:r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48</w:t>
            </w:r>
            <w:r w:rsidRPr="00D76122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h od dnia zgłoszenia usterki.</w:t>
            </w:r>
          </w:p>
          <w:p w14:paraId="78997C42" w14:textId="77777777" w:rsidR="00142240" w:rsidRDefault="00142240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  <w:p w14:paraId="5D4DC641" w14:textId="7DDDEE09" w:rsidR="00142240" w:rsidRPr="00D76122" w:rsidRDefault="00142240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  <w:r w:rsidRPr="00142240"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  <w:t>W przypadku wskazania w opisie przedmiotu zamówienia nazw własnych, znaków towarowych, patentów lub pochodzenia Zamawiający informuje, że dopuszcza możliwość zastosowania równoważnych rozwiązań, tzn. takich, których parametry techniczne są równoważne – co najmniej takie same (nie gorsze) od tych podanych w specyfikacji przedmiotu zamówienia. W przypadku opisania przedmiotu zamówienia za pomocą norm, aprobat, specyfikacji technicznych Zamawiający dopuszcza rozwiązania równoważne. Zamówienie obejmuje zakup NOWEGO środka trwałego.</w:t>
            </w:r>
          </w:p>
          <w:p w14:paraId="5746A81D" w14:textId="75EDBC63" w:rsidR="00D76122" w:rsidRPr="00D76122" w:rsidRDefault="00D76122" w:rsidP="00D761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eastAsia="Arial Unicode MS" w:cstheme="minorHAnsi"/>
                <w:color w:val="000000"/>
                <w:sz w:val="24"/>
                <w:szCs w:val="24"/>
                <w:bdr w:val="nil"/>
                <w:lang w:eastAsia="pl-PL"/>
              </w:rPr>
            </w:pPr>
          </w:p>
        </w:tc>
      </w:tr>
    </w:tbl>
    <w:p w14:paraId="07C8AA55" w14:textId="77777777" w:rsidR="00F4344F" w:rsidRPr="004161AC" w:rsidRDefault="00F4344F" w:rsidP="008F34F7">
      <w:pPr>
        <w:pStyle w:val="Default"/>
        <w:jc w:val="both"/>
        <w:rPr>
          <w:rFonts w:asciiTheme="minorHAnsi" w:hAnsiTheme="minorHAnsi" w:cstheme="minorHAnsi"/>
          <w:b/>
        </w:rPr>
      </w:pPr>
    </w:p>
    <w:p w14:paraId="2A3F7EB7" w14:textId="77777777" w:rsidR="006B2F3F" w:rsidRPr="004161AC" w:rsidRDefault="006B2F3F" w:rsidP="006B2F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Warunki udziału w postępowaniu oraz opis sposobu dokonywania oceny ich spełnienia:</w:t>
      </w:r>
    </w:p>
    <w:p w14:paraId="05AFD66D" w14:textId="77777777" w:rsidR="00D76122" w:rsidRPr="00D76122" w:rsidRDefault="00D76122" w:rsidP="00D7612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76122">
        <w:rPr>
          <w:rFonts w:cs="Times New Roman"/>
          <w:sz w:val="24"/>
          <w:szCs w:val="24"/>
        </w:rPr>
        <w:t>W postępowaniu mogą wziąć udział Wykonawcy, którzy spełniają poniższe warunki:</w:t>
      </w:r>
    </w:p>
    <w:p w14:paraId="45C1C307" w14:textId="77777777" w:rsidR="00D76122" w:rsidRPr="00D76122" w:rsidRDefault="00D76122" w:rsidP="00D76122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Oferent powinien posiadać niezbędne uprawnienia i zasoby niezbędne do niezakłóconej realizacji przedmiotu zamówienia, w szczególności niezbędne środki techniczno-organizacyjne, niezbędne doświadczenie, kwalifikacje oraz potencjał osobowy i finansowy.</w:t>
      </w:r>
    </w:p>
    <w:p w14:paraId="3563BC8F" w14:textId="07875E6E" w:rsidR="00D76122" w:rsidRDefault="00D76122" w:rsidP="00D76122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 xml:space="preserve">Oferent powinien posiadać doświadczenie w sprzedaży danego typu </w:t>
      </w:r>
      <w:r>
        <w:rPr>
          <w:rFonts w:cs="Times New Roman"/>
          <w:sz w:val="24"/>
          <w:szCs w:val="24"/>
          <w:lang w:eastAsia="pl-PL"/>
        </w:rPr>
        <w:t>maszyn</w:t>
      </w:r>
      <w:r w:rsidRPr="00D76122">
        <w:rPr>
          <w:rFonts w:cs="Times New Roman"/>
          <w:sz w:val="24"/>
          <w:szCs w:val="24"/>
          <w:lang w:eastAsia="pl-PL"/>
        </w:rPr>
        <w:t xml:space="preserve"> przez ostatnie 2 lata</w:t>
      </w:r>
      <w:r>
        <w:rPr>
          <w:rFonts w:cs="Times New Roman"/>
          <w:sz w:val="24"/>
          <w:szCs w:val="24"/>
          <w:lang w:eastAsia="pl-PL"/>
        </w:rPr>
        <w:t>, poprzez przedstawienie co najmniej 3 listów referencyjnych lub innych dokumentów potwierdzających (np. FV sprzedaży)</w:t>
      </w:r>
      <w:r w:rsidR="008E13A5">
        <w:rPr>
          <w:rFonts w:cs="Times New Roman"/>
          <w:sz w:val="24"/>
          <w:szCs w:val="24"/>
          <w:lang w:eastAsia="pl-PL"/>
        </w:rPr>
        <w:t xml:space="preserve"> sprzedaż.</w:t>
      </w:r>
    </w:p>
    <w:p w14:paraId="47C442B1" w14:textId="32C9C4C6" w:rsidR="008E13A5" w:rsidRDefault="008E13A5" w:rsidP="00D76122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8E13A5">
        <w:rPr>
          <w:rFonts w:cs="Times New Roman"/>
          <w:sz w:val="24"/>
          <w:szCs w:val="24"/>
          <w:lang w:eastAsia="pl-PL"/>
        </w:rPr>
        <w:t>Dokumentów potwierdzających niezaleganie w opłaceniu podatków oraz składek na ubezpieczenie społeczne i zdrowotne</w:t>
      </w:r>
      <w:r>
        <w:rPr>
          <w:rFonts w:cs="Times New Roman"/>
          <w:sz w:val="24"/>
          <w:szCs w:val="24"/>
          <w:lang w:eastAsia="pl-PL"/>
        </w:rPr>
        <w:t xml:space="preserve"> - </w:t>
      </w:r>
      <w:r w:rsidRPr="008E13A5">
        <w:rPr>
          <w:rFonts w:cs="Times New Roman"/>
          <w:sz w:val="24"/>
          <w:szCs w:val="24"/>
          <w:lang w:eastAsia="pl-PL"/>
        </w:rPr>
        <w:t>wymagane jest dołączenie zaświadczeń z ZUS</w:t>
      </w:r>
      <w:r>
        <w:rPr>
          <w:rFonts w:cs="Times New Roman"/>
          <w:sz w:val="24"/>
          <w:szCs w:val="24"/>
          <w:lang w:eastAsia="pl-PL"/>
        </w:rPr>
        <w:t xml:space="preserve"> i</w:t>
      </w:r>
      <w:r w:rsidRPr="008E13A5">
        <w:rPr>
          <w:rFonts w:cs="Times New Roman"/>
          <w:sz w:val="24"/>
          <w:szCs w:val="24"/>
          <w:lang w:eastAsia="pl-PL"/>
        </w:rPr>
        <w:t xml:space="preserve"> US w formie załączników do </w:t>
      </w:r>
      <w:r w:rsidR="00D049C5">
        <w:rPr>
          <w:rFonts w:cs="Times New Roman"/>
          <w:sz w:val="24"/>
          <w:szCs w:val="24"/>
          <w:lang w:eastAsia="pl-PL"/>
        </w:rPr>
        <w:t>formularza</w:t>
      </w:r>
      <w:r>
        <w:rPr>
          <w:rFonts w:cs="Times New Roman"/>
          <w:sz w:val="24"/>
          <w:szCs w:val="24"/>
          <w:lang w:eastAsia="pl-PL"/>
        </w:rPr>
        <w:t>.</w:t>
      </w:r>
      <w:r w:rsidRPr="008E13A5">
        <w:rPr>
          <w:rFonts w:cs="Times New Roman"/>
          <w:sz w:val="24"/>
          <w:szCs w:val="24"/>
          <w:lang w:eastAsia="pl-PL"/>
        </w:rPr>
        <w:t xml:space="preserve"> Zamawiający wymaga aby zaświadczenia były nie starsze niż 3 miesiące od dnia publikacji p</w:t>
      </w:r>
      <w:r>
        <w:rPr>
          <w:rFonts w:cs="Times New Roman"/>
          <w:sz w:val="24"/>
          <w:szCs w:val="24"/>
          <w:lang w:eastAsia="pl-PL"/>
        </w:rPr>
        <w:t>ostępowania.</w:t>
      </w:r>
    </w:p>
    <w:p w14:paraId="69BC8598" w14:textId="18220FDE" w:rsidR="00B01F14" w:rsidRPr="00B01F14" w:rsidRDefault="00B01F14" w:rsidP="00B01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  <w:r w:rsidRPr="00B01F14">
        <w:rPr>
          <w:rFonts w:cs="Times New Roman"/>
          <w:sz w:val="24"/>
          <w:szCs w:val="24"/>
          <w:lang w:eastAsia="pl-PL"/>
        </w:rPr>
        <w:t xml:space="preserve">Oferent powinien posiadać </w:t>
      </w:r>
      <w:r w:rsidRPr="00B01F14">
        <w:rPr>
          <w:rFonts w:cs="Times New Roman"/>
          <w:b/>
          <w:bCs/>
          <w:sz w:val="24"/>
          <w:szCs w:val="24"/>
          <w:lang w:eastAsia="pl-PL"/>
        </w:rPr>
        <w:t xml:space="preserve">polisę ubezpieczeniową OC na kwotę min. </w:t>
      </w:r>
      <w:r>
        <w:rPr>
          <w:rFonts w:cs="Times New Roman"/>
          <w:b/>
          <w:bCs/>
          <w:sz w:val="24"/>
          <w:szCs w:val="24"/>
          <w:lang w:eastAsia="pl-PL"/>
        </w:rPr>
        <w:t>2</w:t>
      </w:r>
      <w:r w:rsidRPr="00B01F14">
        <w:rPr>
          <w:rFonts w:cs="Times New Roman"/>
          <w:b/>
          <w:bCs/>
          <w:sz w:val="24"/>
          <w:szCs w:val="24"/>
          <w:lang w:eastAsia="pl-PL"/>
        </w:rPr>
        <w:t xml:space="preserve"> 000 000 zł</w:t>
      </w:r>
      <w:r w:rsidRPr="00B01F14">
        <w:rPr>
          <w:rFonts w:cs="Times New Roman"/>
          <w:sz w:val="24"/>
          <w:szCs w:val="24"/>
          <w:lang w:eastAsia="pl-PL"/>
        </w:rPr>
        <w:t xml:space="preserve"> – wymagane jest dołączenie kopii polisy w formie załącznika do oferty.</w:t>
      </w:r>
    </w:p>
    <w:p w14:paraId="07FD60C4" w14:textId="42AB7C16" w:rsidR="00D76122" w:rsidRPr="00D76122" w:rsidRDefault="00D76122" w:rsidP="00B01F14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Sposób dokonania oceny warunku w odniesieniu do punktów 1-4.: warunek ten zostanie spełniony jeśli oferent przedstawi:</w:t>
      </w:r>
    </w:p>
    <w:p w14:paraId="1E75E51F" w14:textId="77777777" w:rsidR="00D76122" w:rsidRPr="00D76122" w:rsidRDefault="00D76122" w:rsidP="00B01F14">
      <w:pPr>
        <w:numPr>
          <w:ilvl w:val="1"/>
          <w:numId w:val="5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oświadczenie zgodnie ze wzorem będącym częścią formularza oferty. Ocena zostanie dokonana poprzez analizę oświadczenia (podpis pod oświadczeniem oznacza spełnienie warunku);</w:t>
      </w:r>
    </w:p>
    <w:p w14:paraId="2BE3864B" w14:textId="77777777" w:rsidR="00D76122" w:rsidRPr="00D76122" w:rsidRDefault="00D76122" w:rsidP="00D76122">
      <w:pPr>
        <w:numPr>
          <w:ilvl w:val="1"/>
          <w:numId w:val="5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wypełnienie wykazu zrealizowanych projektów (wraz z podpisem i pieczątką);</w:t>
      </w:r>
    </w:p>
    <w:p w14:paraId="52A3AF48" w14:textId="760DB937" w:rsidR="00D76122" w:rsidRPr="00D76122" w:rsidRDefault="00D76122" w:rsidP="00D76122">
      <w:pPr>
        <w:numPr>
          <w:ilvl w:val="1"/>
          <w:numId w:val="5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złożenie wymaganych załączników;</w:t>
      </w:r>
    </w:p>
    <w:p w14:paraId="6C88344C" w14:textId="77777777" w:rsidR="00D76122" w:rsidRPr="00D76122" w:rsidRDefault="00D76122" w:rsidP="00D76122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Times New Roman"/>
          <w:sz w:val="24"/>
          <w:szCs w:val="24"/>
          <w:lang w:eastAsia="pl-PL"/>
        </w:rPr>
      </w:pPr>
      <w:r w:rsidRPr="00D76122">
        <w:rPr>
          <w:rFonts w:cs="Times New Roman"/>
          <w:sz w:val="24"/>
          <w:szCs w:val="24"/>
          <w:lang w:eastAsia="pl-PL"/>
        </w:rPr>
        <w:t>Oferent, który nie wypełni powyższych warunku określonego w rozdziale III zostanie wykluczony z postępowania.</w:t>
      </w:r>
    </w:p>
    <w:p w14:paraId="43F2303F" w14:textId="1DAB6C5E" w:rsidR="00CB7A99" w:rsidRPr="00004C92" w:rsidRDefault="00CB7A99" w:rsidP="00004C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004C92">
        <w:rPr>
          <w:rFonts w:cstheme="minorHAnsi"/>
          <w:b/>
          <w:color w:val="0070C0"/>
          <w:sz w:val="24"/>
          <w:szCs w:val="24"/>
        </w:rPr>
        <w:lastRenderedPageBreak/>
        <w:t>Informację o kryteriach oceny oraz wagach punktowych i procentowych przypisanych do poszczególnych kryteriów oceny oferty:</w:t>
      </w:r>
    </w:p>
    <w:p w14:paraId="3D31BB8D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Wykonawca zostanie wybrany w oparciu o kryteria wskazane poniżej:</w:t>
      </w:r>
    </w:p>
    <w:p w14:paraId="05CFA7F4" w14:textId="022DC2B1" w:rsidR="00CB7A99" w:rsidRPr="00B01F14" w:rsidRDefault="00CB7A99" w:rsidP="00B01F14">
      <w:pPr>
        <w:pStyle w:val="Listapunktowana2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Cena brutto przedmiotu zamówienia (waga </w:t>
      </w:r>
      <w:r w:rsidR="00004C92">
        <w:rPr>
          <w:rFonts w:cstheme="minorHAnsi"/>
          <w:sz w:val="24"/>
          <w:szCs w:val="24"/>
          <w:lang w:eastAsia="pl-PL"/>
        </w:rPr>
        <w:t>7</w:t>
      </w:r>
      <w:r w:rsidRPr="004161AC">
        <w:rPr>
          <w:rFonts w:cstheme="minorHAnsi"/>
          <w:sz w:val="24"/>
          <w:szCs w:val="24"/>
          <w:lang w:eastAsia="pl-PL"/>
        </w:rPr>
        <w:t>0)</w:t>
      </w:r>
    </w:p>
    <w:p w14:paraId="488807B6" w14:textId="05A61AE1" w:rsidR="00CB7A99" w:rsidRDefault="00CB7A99" w:rsidP="00CB7A99">
      <w:pPr>
        <w:pStyle w:val="Listapunktowana2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Okres gwarancji – liczba miesięcy (waga </w:t>
      </w:r>
      <w:r w:rsidR="00B01F14">
        <w:rPr>
          <w:rFonts w:cstheme="minorHAnsi"/>
          <w:sz w:val="24"/>
          <w:szCs w:val="24"/>
          <w:lang w:eastAsia="pl-PL"/>
        </w:rPr>
        <w:t>2</w:t>
      </w:r>
      <w:r>
        <w:rPr>
          <w:rFonts w:cstheme="minorHAnsi"/>
          <w:sz w:val="24"/>
          <w:szCs w:val="24"/>
          <w:lang w:eastAsia="pl-PL"/>
        </w:rPr>
        <w:t>0)</w:t>
      </w:r>
    </w:p>
    <w:p w14:paraId="259CA377" w14:textId="52BD408A" w:rsidR="00CB7A99" w:rsidRPr="004161AC" w:rsidRDefault="00CB7A99" w:rsidP="00CB7A99">
      <w:pPr>
        <w:pStyle w:val="Listapunktowana2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Czas reakcji serwisowej i usunięcie awarii (waga </w:t>
      </w:r>
      <w:r w:rsidR="00004C92">
        <w:rPr>
          <w:rFonts w:cstheme="minorHAnsi"/>
          <w:sz w:val="24"/>
          <w:szCs w:val="24"/>
          <w:lang w:eastAsia="pl-PL"/>
        </w:rPr>
        <w:t>1</w:t>
      </w:r>
      <w:r>
        <w:rPr>
          <w:rFonts w:cstheme="minorHAnsi"/>
          <w:sz w:val="24"/>
          <w:szCs w:val="24"/>
          <w:lang w:eastAsia="pl-PL"/>
        </w:rPr>
        <w:t>0)</w:t>
      </w:r>
    </w:p>
    <w:p w14:paraId="0537D79D" w14:textId="0583C973" w:rsidR="00CB7A99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4A574B2C" w14:textId="77777777" w:rsidR="00CB7A99" w:rsidRPr="004161AC" w:rsidRDefault="00CB7A99" w:rsidP="00CB7A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 xml:space="preserve">Opis sposobu przyznawania punktacji za spełnienie danego kryterium oceny oferty: </w:t>
      </w:r>
    </w:p>
    <w:p w14:paraId="11EBA61D" w14:textId="77777777" w:rsidR="00CB7A99" w:rsidRPr="004161AC" w:rsidRDefault="00CB7A99" w:rsidP="00CB7A99">
      <w:pPr>
        <w:pStyle w:val="Listapunktowana2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Sposób wyliczenia punktów nastąpi przy zastosowaniu poniższych wzorów oraz wytycznych:</w:t>
      </w:r>
    </w:p>
    <w:p w14:paraId="185052D2" w14:textId="6BC1CA3F" w:rsidR="00CB7A99" w:rsidRPr="004161AC" w:rsidRDefault="00CB7A99" w:rsidP="00CB7A99">
      <w:pPr>
        <w:pStyle w:val="Listapunktowana2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u w:val="single"/>
          <w:lang w:eastAsia="pl-PL"/>
        </w:rPr>
        <w:t xml:space="preserve">Cena brutto przedmiotu zamówienia (waga </w:t>
      </w:r>
      <w:r w:rsidR="00004C92">
        <w:rPr>
          <w:rFonts w:cstheme="minorHAnsi"/>
          <w:sz w:val="24"/>
          <w:szCs w:val="24"/>
          <w:u w:val="single"/>
          <w:lang w:eastAsia="pl-PL"/>
        </w:rPr>
        <w:t>7</w:t>
      </w:r>
      <w:r w:rsidRPr="004161AC">
        <w:rPr>
          <w:rFonts w:cstheme="minorHAnsi"/>
          <w:sz w:val="24"/>
          <w:szCs w:val="24"/>
          <w:u w:val="single"/>
          <w:lang w:eastAsia="pl-PL"/>
        </w:rPr>
        <w:t>0)</w:t>
      </w:r>
    </w:p>
    <w:p w14:paraId="5C86032D" w14:textId="1B35EA1B" w:rsidR="00CB7A99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Punktacja za cenę będzie obliczana na podstawie wzoru:</w:t>
      </w:r>
    </w:p>
    <w:p w14:paraId="1C34BABA" w14:textId="5F302DE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2832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4161AC">
        <w:rPr>
          <w:rFonts w:cstheme="minorHAnsi"/>
          <w:sz w:val="24"/>
          <w:szCs w:val="24"/>
          <w:lang w:eastAsia="pl-PL"/>
        </w:rPr>
        <w:t xml:space="preserve"> x </w:t>
      </w:r>
      <w:r w:rsidR="00004C92">
        <w:rPr>
          <w:rFonts w:cstheme="minorHAnsi"/>
          <w:sz w:val="24"/>
          <w:szCs w:val="24"/>
          <w:lang w:eastAsia="pl-PL"/>
        </w:rPr>
        <w:t>7</w:t>
      </w:r>
      <w:r w:rsidRPr="004161AC">
        <w:rPr>
          <w:rFonts w:cstheme="minorHAnsi"/>
          <w:sz w:val="24"/>
          <w:szCs w:val="24"/>
          <w:lang w:eastAsia="pl-PL"/>
        </w:rPr>
        <w:t xml:space="preserve">0  </w:t>
      </w:r>
    </w:p>
    <w:p w14:paraId="2DEC4232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 xml:space="preserve">1 </w:t>
      </w:r>
      <w:r w:rsidRPr="004161AC">
        <w:rPr>
          <w:rFonts w:cstheme="minorHAnsi"/>
          <w:sz w:val="24"/>
          <w:szCs w:val="24"/>
          <w:lang w:eastAsia="pl-PL"/>
        </w:rPr>
        <w:t xml:space="preserve">= -------------------------     </w:t>
      </w:r>
    </w:p>
    <w:p w14:paraId="5BB43CB9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2124"/>
        <w:jc w:val="both"/>
        <w:rPr>
          <w:rFonts w:cstheme="minorHAnsi"/>
          <w:sz w:val="24"/>
          <w:szCs w:val="24"/>
          <w:vertAlign w:val="subscript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                    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R</w:t>
      </w:r>
    </w:p>
    <w:p w14:paraId="2C8A66C4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P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1</w:t>
      </w:r>
      <w:r w:rsidRPr="004161AC">
        <w:rPr>
          <w:rFonts w:cstheme="minorHAnsi"/>
          <w:sz w:val="24"/>
          <w:szCs w:val="24"/>
          <w:lang w:eastAsia="pl-PL"/>
        </w:rPr>
        <w:t xml:space="preserve"> – otrzymane punkty</w:t>
      </w:r>
    </w:p>
    <w:p w14:paraId="549533B6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B</w:t>
      </w:r>
      <w:r w:rsidRPr="004161AC">
        <w:rPr>
          <w:rFonts w:cstheme="minorHAnsi"/>
          <w:sz w:val="24"/>
          <w:szCs w:val="24"/>
          <w:lang w:eastAsia="pl-PL"/>
        </w:rPr>
        <w:t xml:space="preserve"> – cena brutto oferty najniższej ze złożonych ofert</w:t>
      </w:r>
    </w:p>
    <w:p w14:paraId="7AEDA408" w14:textId="77777777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ab/>
        <w:t>C</w:t>
      </w:r>
      <w:r w:rsidRPr="004161AC">
        <w:rPr>
          <w:rFonts w:cstheme="minorHAnsi"/>
          <w:sz w:val="24"/>
          <w:szCs w:val="24"/>
          <w:vertAlign w:val="subscript"/>
          <w:lang w:eastAsia="pl-PL"/>
        </w:rPr>
        <w:t>R</w:t>
      </w:r>
      <w:r w:rsidRPr="004161AC">
        <w:rPr>
          <w:rFonts w:cstheme="minorHAnsi"/>
          <w:sz w:val="24"/>
          <w:szCs w:val="24"/>
          <w:lang w:eastAsia="pl-PL"/>
        </w:rPr>
        <w:t xml:space="preserve"> – cena brutto oferty rozpatrywanej</w:t>
      </w:r>
    </w:p>
    <w:p w14:paraId="5BC06293" w14:textId="2595612A" w:rsidR="00CB7A99" w:rsidRPr="004161AC" w:rsidRDefault="00CB7A99" w:rsidP="00CB7A99">
      <w:pPr>
        <w:pStyle w:val="Listapunktowana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u w:val="single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Najkorzystniejsza oferta otrzyma </w:t>
      </w:r>
      <w:r w:rsidR="00004C92">
        <w:rPr>
          <w:rFonts w:cstheme="minorHAnsi"/>
          <w:b/>
          <w:sz w:val="24"/>
          <w:szCs w:val="24"/>
          <w:lang w:eastAsia="pl-PL"/>
        </w:rPr>
        <w:t>7</w:t>
      </w:r>
      <w:r w:rsidRPr="004161AC">
        <w:rPr>
          <w:rFonts w:cstheme="minorHAnsi"/>
          <w:b/>
          <w:sz w:val="24"/>
          <w:szCs w:val="24"/>
          <w:lang w:eastAsia="pl-PL"/>
        </w:rPr>
        <w:t>0 pkt.</w:t>
      </w:r>
    </w:p>
    <w:p w14:paraId="7E928E58" w14:textId="77777777" w:rsidR="00CB7A99" w:rsidRDefault="00CB7A99" w:rsidP="00CB7A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6BCA37" w14:textId="77777777" w:rsidR="00CB7A99" w:rsidRDefault="00CB7A99" w:rsidP="00CB7A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Ocenie podlega łączna cena brutto oferty. Łączna cena brutto oferty musi zawierać wszelkie koszty niezbędne do zrealizowania przedmiotu zamówienia. W przypadku złożenia w niniejszym postępowaniu oferty wykonawcy zagranicznego (EUR) nie zobowiązanego do zapłaty w Polsce podatku VAT z tytułu wykonania zamówienia stanowiącego przedmiot niniejszego postępowania – w celu zapewnienia możliwości porównania cen oferowanych przez wykonawców krajowych z cenami wykonawców zagranicznych – porównaniu cen, podlegać będzie kwota po doliczeniu obowiązującej w Polsce stawki podatku VAT.</w:t>
      </w:r>
    </w:p>
    <w:p w14:paraId="133E9188" w14:textId="77777777" w:rsidR="00CB7A99" w:rsidRPr="00CB7A99" w:rsidRDefault="00CB7A99" w:rsidP="00CB7A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4A03E8" w14:textId="5C28E459" w:rsidR="00CB7A99" w:rsidRPr="00CB7A99" w:rsidRDefault="00CB7A99" w:rsidP="00CB7A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A4690">
        <w:rPr>
          <w:rFonts w:cstheme="minorHAnsi"/>
          <w:sz w:val="24"/>
          <w:szCs w:val="24"/>
          <w:u w:val="single"/>
        </w:rPr>
        <w:t xml:space="preserve">Okres gwarancji – liczba miesięcy (waga </w:t>
      </w:r>
      <w:r w:rsidR="00D049C5">
        <w:rPr>
          <w:rFonts w:cstheme="minorHAnsi"/>
          <w:sz w:val="24"/>
          <w:szCs w:val="24"/>
          <w:u w:val="single"/>
        </w:rPr>
        <w:t>2</w:t>
      </w:r>
      <w:r w:rsidRPr="000A4690">
        <w:rPr>
          <w:rFonts w:cstheme="minorHAnsi"/>
          <w:sz w:val="24"/>
          <w:szCs w:val="24"/>
          <w:u w:val="single"/>
        </w:rPr>
        <w:t>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21"/>
        <w:gridCol w:w="5355"/>
      </w:tblGrid>
      <w:tr w:rsidR="00CB7A99" w:rsidRPr="002F6441" w14:paraId="3A523D05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4BDCF4D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0C68AC0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Gwarancja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BC5B00F" w14:textId="77777777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Przypisana wartość punktowa</w:t>
            </w:r>
          </w:p>
          <w:p w14:paraId="09FFEDCB" w14:textId="01A6EC49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(0 - </w:t>
            </w:r>
            <w:r w:rsidR="00D049C5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0 pkt max)</w:t>
            </w:r>
          </w:p>
        </w:tc>
      </w:tr>
      <w:tr w:rsidR="00CB7A99" w:rsidRPr="002F6441" w14:paraId="75EBDBCB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AC19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3FA1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36 miesiące i więcej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E9C5" w14:textId="544B25D8" w:rsidR="00CB7A99" w:rsidRPr="002F6441" w:rsidRDefault="00B01F14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CB7A99" w:rsidRPr="002F6441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CB7A99" w:rsidRPr="002F6441" w14:paraId="5444A57A" w14:textId="77777777" w:rsidTr="00F452EF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E18B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99CB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poniżej 36 miesięcy</w:t>
            </w:r>
            <w:r>
              <w:rPr>
                <w:rFonts w:eastAsia="Times New Roman" w:cstheme="minorHAnsi"/>
                <w:sz w:val="24"/>
                <w:szCs w:val="24"/>
              </w:rPr>
              <w:t>, ale więcej niż 24 miesiące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C3CF" w14:textId="668539F6" w:rsidR="00CB7A99" w:rsidRPr="002F6441" w:rsidRDefault="00B01F14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  <w:tr w:rsidR="00CB7A99" w:rsidRPr="002F6441" w14:paraId="0F110651" w14:textId="77777777" w:rsidTr="00F452EF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BE2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2E4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Poniżej 24 miesięcy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5CFC" w14:textId="406FA2BC" w:rsidR="00CB7A99" w:rsidRPr="002F6441" w:rsidRDefault="00B01F14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</w:tbl>
    <w:p w14:paraId="04B90D17" w14:textId="1043D6F4" w:rsidR="00CB7A99" w:rsidRDefault="00CB7A99" w:rsidP="00CB7A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A4690">
        <w:rPr>
          <w:rFonts w:cstheme="minorHAnsi"/>
          <w:sz w:val="24"/>
          <w:szCs w:val="24"/>
        </w:rPr>
        <w:t xml:space="preserve">Najkorzystniejsza oferta otrzyma </w:t>
      </w:r>
      <w:r w:rsidR="00D049C5">
        <w:rPr>
          <w:rFonts w:cstheme="minorHAnsi"/>
          <w:b/>
          <w:bCs/>
          <w:sz w:val="24"/>
          <w:szCs w:val="24"/>
        </w:rPr>
        <w:t>2</w:t>
      </w:r>
      <w:r w:rsidRPr="000A4690">
        <w:rPr>
          <w:rFonts w:cstheme="minorHAnsi"/>
          <w:b/>
          <w:bCs/>
          <w:sz w:val="24"/>
          <w:szCs w:val="24"/>
        </w:rPr>
        <w:t>0 pkt.</w:t>
      </w:r>
    </w:p>
    <w:p w14:paraId="4A37EA38" w14:textId="77777777" w:rsidR="00CB7A99" w:rsidRPr="000A4690" w:rsidRDefault="00CB7A99" w:rsidP="00CB7A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14F64" w14:textId="1FAC706A" w:rsidR="00CB7A99" w:rsidRPr="000A4690" w:rsidRDefault="00CB7A99" w:rsidP="00CB7A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A4690">
        <w:rPr>
          <w:rFonts w:cstheme="minorHAnsi"/>
          <w:sz w:val="24"/>
          <w:szCs w:val="24"/>
          <w:u w:val="single"/>
        </w:rPr>
        <w:t xml:space="preserve">Czas reakcji serwisowej i usunięcia awarii (waga </w:t>
      </w:r>
      <w:r w:rsidR="00004C92">
        <w:rPr>
          <w:rFonts w:cstheme="minorHAnsi"/>
          <w:sz w:val="24"/>
          <w:szCs w:val="24"/>
          <w:u w:val="single"/>
        </w:rPr>
        <w:t>1</w:t>
      </w:r>
      <w:r w:rsidRPr="000A4690">
        <w:rPr>
          <w:rFonts w:cstheme="minorHAnsi"/>
          <w:sz w:val="24"/>
          <w:szCs w:val="24"/>
          <w:u w:val="single"/>
        </w:rPr>
        <w:t>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21"/>
        <w:gridCol w:w="5355"/>
      </w:tblGrid>
      <w:tr w:rsidR="00CB7A99" w:rsidRPr="002F6441" w14:paraId="654FF286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EEFA27E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0A399C96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Czas reakcji serwisowej i usunięcia awarii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F38CDAE" w14:textId="77777777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Przypisana wartość punktowa</w:t>
            </w:r>
          </w:p>
          <w:p w14:paraId="213765FA" w14:textId="7452148E" w:rsidR="00CB7A99" w:rsidRPr="002F6441" w:rsidRDefault="00CB7A99" w:rsidP="00F452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(0 - </w:t>
            </w:r>
            <w:r w:rsidR="00004C92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Pr="002F6441">
              <w:rPr>
                <w:rFonts w:eastAsia="Times New Roman" w:cstheme="minorHAnsi"/>
                <w:b/>
                <w:sz w:val="24"/>
                <w:szCs w:val="24"/>
              </w:rPr>
              <w:t>0 pkt max)</w:t>
            </w:r>
          </w:p>
        </w:tc>
      </w:tr>
      <w:tr w:rsidR="00CB7A99" w:rsidRPr="002F6441" w14:paraId="2E06B849" w14:textId="77777777" w:rsidTr="00F452EF">
        <w:trPr>
          <w:trHeight w:val="428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DC31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1A6" w14:textId="13E5FC85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Do </w:t>
            </w:r>
            <w:r w:rsidR="00F3790A">
              <w:rPr>
                <w:rFonts w:eastAsia="Times New Roman" w:cstheme="minorHAnsi"/>
                <w:sz w:val="24"/>
                <w:szCs w:val="24"/>
              </w:rPr>
              <w:t>12</w:t>
            </w:r>
            <w:r>
              <w:rPr>
                <w:rFonts w:eastAsia="Times New Roman" w:cstheme="minorHAnsi"/>
                <w:sz w:val="24"/>
                <w:szCs w:val="24"/>
              </w:rPr>
              <w:t>h od zgłoszenia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02F2" w14:textId="09174BB9" w:rsidR="00CB7A99" w:rsidRPr="002F6441" w:rsidRDefault="00004C92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  <w:tr w:rsidR="00CB7A99" w:rsidRPr="002F6441" w14:paraId="43E8BFB8" w14:textId="77777777" w:rsidTr="00F452EF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8F1A" w14:textId="77777777" w:rsidR="00CB7A99" w:rsidRPr="002F6441" w:rsidRDefault="00CB7A99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F6441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CD55" w14:textId="223F6CD7" w:rsidR="00CB7A99" w:rsidRPr="002F6441" w:rsidRDefault="00F3790A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 h – 24 h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1D82" w14:textId="41148670" w:rsidR="00CB7A99" w:rsidRPr="002F6441" w:rsidRDefault="00004C92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F3790A" w:rsidRPr="002F6441" w14:paraId="57A1FFCB" w14:textId="77777777" w:rsidTr="00F452EF">
        <w:trPr>
          <w:trHeight w:val="447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6A0" w14:textId="4A57176D" w:rsidR="00F3790A" w:rsidRPr="002F6441" w:rsidRDefault="00F3790A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22F" w14:textId="57A0CFAB" w:rsidR="00F3790A" w:rsidRDefault="00F3790A" w:rsidP="00F452E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Powyżej 24h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ACA" w14:textId="4F4BC5FC" w:rsidR="00F3790A" w:rsidRPr="002F6441" w:rsidRDefault="00F3790A" w:rsidP="00F452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</w:tbl>
    <w:p w14:paraId="21E6EF81" w14:textId="175201D1" w:rsidR="00CB7A99" w:rsidRDefault="00CB7A99" w:rsidP="00CB7A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3685">
        <w:rPr>
          <w:rFonts w:cstheme="minorHAnsi"/>
          <w:sz w:val="24"/>
          <w:szCs w:val="24"/>
        </w:rPr>
        <w:t xml:space="preserve">Najkorzystniejsza oferta otrzyma </w:t>
      </w:r>
      <w:r w:rsidR="00004C92">
        <w:rPr>
          <w:rFonts w:cstheme="minorHAnsi"/>
          <w:b/>
          <w:sz w:val="24"/>
          <w:szCs w:val="24"/>
        </w:rPr>
        <w:t>1</w:t>
      </w:r>
      <w:r w:rsidRPr="00A33685">
        <w:rPr>
          <w:rFonts w:cstheme="minorHAnsi"/>
          <w:b/>
          <w:sz w:val="24"/>
          <w:szCs w:val="24"/>
        </w:rPr>
        <w:t>0 pkt</w:t>
      </w:r>
      <w:r>
        <w:rPr>
          <w:rFonts w:cstheme="minorHAnsi"/>
          <w:b/>
          <w:sz w:val="24"/>
          <w:szCs w:val="24"/>
        </w:rPr>
        <w:t>.</w:t>
      </w:r>
    </w:p>
    <w:p w14:paraId="28F5B923" w14:textId="77777777" w:rsidR="00CB7A99" w:rsidRPr="004161AC" w:rsidRDefault="00CB7A99" w:rsidP="00CB7A99">
      <w:pPr>
        <w:pStyle w:val="Listapunktowana2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lastRenderedPageBreak/>
        <w:t>Zamawiający dokona oceny ofert na podstawie wyników osiągniętej liczby punktów wyliczonych w oparciu o powyższe kryteria. Ilości punktów stanowić będzie końcową ocenę oferty. Za najkorzystniejszą zostanie uznana oferta, która uzyska największą ilość punktów.</w:t>
      </w:r>
    </w:p>
    <w:p w14:paraId="75CC2DA2" w14:textId="77777777" w:rsidR="00CB7A99" w:rsidRPr="004161AC" w:rsidRDefault="00CB7A99" w:rsidP="00CB7A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>Zamawiający uzna za najkorzystniejszą tę ofertę, która uzyska największą ilość punktów (P) po zsumowaniu kryteriów oceny ofert.</w:t>
      </w:r>
    </w:p>
    <w:p w14:paraId="34FF895A" w14:textId="77777777" w:rsidR="00CB7A99" w:rsidRPr="004161AC" w:rsidRDefault="00CB7A99" w:rsidP="00CB7A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>Jeżeli nie będzie można wybrać oferty najkorzystniejszej z uwagi na to, że dwie lub więcej ofert przedstawia taki sam bilans ceny i innych kryteriów oceny ofert, Zamawiający spośród tych ofert wybiera ofertę z najniższą ceną.</w:t>
      </w:r>
    </w:p>
    <w:p w14:paraId="4A4511F1" w14:textId="77777777" w:rsidR="00CB7A99" w:rsidRPr="004161AC" w:rsidRDefault="00CB7A99" w:rsidP="00CB7A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Zapytanie ofertowe wraz z załącznikami opublikowano pod adresem: </w:t>
      </w:r>
      <w:hyperlink r:id="rId7" w:history="1">
        <w:r w:rsidRPr="004161AC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</w:p>
    <w:p w14:paraId="345FDBF5" w14:textId="0BA81C9B" w:rsidR="00F3790A" w:rsidRDefault="00CB7A99" w:rsidP="00F3790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Informacja o wyniku postępowania umieszczona zostanie pod adresem </w:t>
      </w:r>
      <w:hyperlink r:id="rId8" w:history="1">
        <w:r w:rsidRPr="004161AC">
          <w:rPr>
            <w:rStyle w:val="Hipercze"/>
            <w:rFonts w:cstheme="minorHAnsi"/>
            <w:sz w:val="24"/>
            <w:szCs w:val="24"/>
            <w:lang w:eastAsia="pl-PL"/>
          </w:rPr>
          <w:t>www.bazakonkurencyjnosci.funduszeeuropejskie.gov.pl</w:t>
        </w:r>
      </w:hyperlink>
      <w:r w:rsidRPr="004161AC">
        <w:rPr>
          <w:rFonts w:cstheme="minorHAnsi"/>
          <w:color w:val="000000"/>
          <w:sz w:val="24"/>
          <w:szCs w:val="24"/>
          <w:lang w:eastAsia="pl-PL"/>
        </w:rPr>
        <w:t xml:space="preserve"> (niezwłocznie po rozstrzygnięciu postępowania ofertowego). Na pisemny wniosek podmiotu, który złożył ofertę, istnieje możliwość wglądu do protokołu wyboru oferty.</w:t>
      </w:r>
    </w:p>
    <w:p w14:paraId="76042F30" w14:textId="77777777" w:rsidR="00F3790A" w:rsidRPr="00F3790A" w:rsidRDefault="00F3790A" w:rsidP="00F3790A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pl-PL"/>
        </w:rPr>
      </w:pPr>
    </w:p>
    <w:p w14:paraId="4F137C89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Miejsce oraz termin składania ofert:</w:t>
      </w:r>
    </w:p>
    <w:p w14:paraId="399D72B4" w14:textId="4F3FD9C7" w:rsidR="00F3790A" w:rsidRPr="004161AC" w:rsidRDefault="00F3790A" w:rsidP="00F3790A">
      <w:pPr>
        <w:pStyle w:val="akapitzlistcxsppierwsze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>Termin składania ofert upływa w dniu</w:t>
      </w:r>
      <w:r w:rsidR="00D049C5">
        <w:rPr>
          <w:rFonts w:asciiTheme="minorHAnsi" w:hAnsiTheme="minorHAnsi" w:cstheme="minorHAnsi"/>
          <w:b/>
        </w:rPr>
        <w:t xml:space="preserve"> 02</w:t>
      </w:r>
      <w:r w:rsidR="00B01F14">
        <w:rPr>
          <w:rFonts w:asciiTheme="minorHAnsi" w:hAnsiTheme="minorHAnsi" w:cstheme="minorHAnsi"/>
          <w:b/>
        </w:rPr>
        <w:t>.0</w:t>
      </w:r>
      <w:r w:rsidR="00D049C5">
        <w:rPr>
          <w:rFonts w:asciiTheme="minorHAnsi" w:hAnsiTheme="minorHAnsi" w:cstheme="minorHAnsi"/>
          <w:b/>
        </w:rPr>
        <w:t>5</w:t>
      </w:r>
      <w:r w:rsidRPr="004161AC">
        <w:rPr>
          <w:rFonts w:asciiTheme="minorHAnsi" w:hAnsiTheme="minorHAnsi" w:cstheme="minorHAnsi"/>
          <w:b/>
        </w:rPr>
        <w:t>.2025 r.</w:t>
      </w:r>
    </w:p>
    <w:p w14:paraId="6846428C" w14:textId="77777777" w:rsidR="00F3790A" w:rsidRPr="007431B6" w:rsidRDefault="00F3790A" w:rsidP="00F3790A">
      <w:pPr>
        <w:pStyle w:val="akapitzlistcxsppierwsze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iCs/>
        </w:rPr>
      </w:pPr>
      <w:r w:rsidRPr="004161AC">
        <w:rPr>
          <w:rFonts w:asciiTheme="minorHAnsi" w:hAnsiTheme="minorHAnsi" w:cstheme="minorHAnsi"/>
        </w:rPr>
        <w:t xml:space="preserve">Ofertę należy złożyć za pośrednictwem systemu Baza Konkurencyjności: </w:t>
      </w:r>
      <w:hyperlink r:id="rId9" w:history="1">
        <w:r w:rsidRPr="004161AC">
          <w:rPr>
            <w:rStyle w:val="Hipercze"/>
            <w:rFonts w:asciiTheme="minorHAnsi" w:eastAsiaTheme="majorEastAsia" w:hAnsiTheme="minorHAnsi" w:cstheme="minorHAnsi"/>
          </w:rPr>
          <w:t>www.bazakonkurencyjnosci.funduszeeuropejskie.gov.pl</w:t>
        </w:r>
      </w:hyperlink>
    </w:p>
    <w:p w14:paraId="76CD05BB" w14:textId="1333FCB9" w:rsidR="007431B6" w:rsidRPr="00B01F14" w:rsidRDefault="007431B6" w:rsidP="007431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315E">
        <w:rPr>
          <w:rFonts w:cstheme="minorHAnsi"/>
          <w:sz w:val="24"/>
          <w:szCs w:val="24"/>
        </w:rPr>
        <w:t xml:space="preserve">Zamawiający dopuszcza możliwość zadawania pytań dotyczących treści postępowania nie później </w:t>
      </w:r>
      <w:r w:rsidRPr="00CC315E">
        <w:rPr>
          <w:rFonts w:cstheme="minorHAnsi"/>
          <w:b/>
          <w:bCs/>
          <w:sz w:val="24"/>
          <w:szCs w:val="24"/>
        </w:rPr>
        <w:t>niż na 3 dni</w:t>
      </w:r>
      <w:r w:rsidRPr="00CC315E">
        <w:rPr>
          <w:rFonts w:cstheme="minorHAnsi"/>
          <w:sz w:val="24"/>
          <w:szCs w:val="24"/>
        </w:rPr>
        <w:t xml:space="preserve"> przed terminem składania ofert. Pytania złożone po tym terminie mogą pozostać bez odpowiedzi.</w:t>
      </w:r>
    </w:p>
    <w:p w14:paraId="6A73E8EC" w14:textId="5F927E35" w:rsidR="00F3790A" w:rsidRPr="004161AC" w:rsidRDefault="00F3790A" w:rsidP="00F3790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Rozstrzygnięcie postępowania ofertowego nastąpi w dniu </w:t>
      </w:r>
      <w:r w:rsidR="00B01F14">
        <w:rPr>
          <w:rFonts w:cstheme="minorHAnsi"/>
          <w:b/>
          <w:sz w:val="24"/>
          <w:szCs w:val="24"/>
        </w:rPr>
        <w:t>0</w:t>
      </w:r>
      <w:r w:rsidR="00D049C5">
        <w:rPr>
          <w:rFonts w:cstheme="minorHAnsi"/>
          <w:b/>
          <w:sz w:val="24"/>
          <w:szCs w:val="24"/>
        </w:rPr>
        <w:t>2</w:t>
      </w:r>
      <w:r w:rsidR="00B01F14">
        <w:rPr>
          <w:rFonts w:cstheme="minorHAnsi"/>
          <w:b/>
          <w:sz w:val="24"/>
          <w:szCs w:val="24"/>
        </w:rPr>
        <w:t>.0</w:t>
      </w:r>
      <w:r w:rsidR="00D049C5">
        <w:rPr>
          <w:rFonts w:cstheme="minorHAnsi"/>
          <w:b/>
          <w:sz w:val="24"/>
          <w:szCs w:val="24"/>
        </w:rPr>
        <w:t>5</w:t>
      </w:r>
      <w:r w:rsidRPr="004161AC">
        <w:rPr>
          <w:rFonts w:cstheme="minorHAnsi"/>
          <w:b/>
          <w:sz w:val="24"/>
          <w:szCs w:val="24"/>
        </w:rPr>
        <w:t xml:space="preserve">.2025 r. </w:t>
      </w:r>
      <w:r w:rsidRPr="004161AC">
        <w:rPr>
          <w:rFonts w:cstheme="minorHAnsi"/>
          <w:sz w:val="24"/>
          <w:szCs w:val="24"/>
        </w:rPr>
        <w:t xml:space="preserve">w siedzibie Zamawiającego. </w:t>
      </w:r>
    </w:p>
    <w:p w14:paraId="7BBB8D6F" w14:textId="77777777" w:rsidR="00F3790A" w:rsidRDefault="00F3790A" w:rsidP="00F3790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Przed upływem terminu składania ofert, Wykonawca może wprowadzić zmiany do złożonej oferty</w:t>
      </w:r>
      <w:r w:rsidRPr="004161AC">
        <w:rPr>
          <w:rFonts w:eastAsia="Arial Unicode MS" w:cstheme="minorHAnsi"/>
          <w:sz w:val="24"/>
          <w:szCs w:val="24"/>
        </w:rPr>
        <w:t xml:space="preserve"> lub ją wycofać bez podania przyczyny</w:t>
      </w:r>
      <w:r w:rsidRPr="004161AC">
        <w:rPr>
          <w:rFonts w:cstheme="minorHAnsi"/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14:paraId="745499CC" w14:textId="77777777" w:rsidR="00F3790A" w:rsidRP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EF692E" w14:textId="77777777" w:rsidR="00F3790A" w:rsidRPr="004161AC" w:rsidRDefault="00F3790A" w:rsidP="00F3790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4161AC">
        <w:rPr>
          <w:rFonts w:asciiTheme="minorHAnsi" w:hAnsiTheme="minorHAnsi" w:cstheme="minorHAnsi"/>
          <w:b/>
          <w:color w:val="0070C0"/>
        </w:rPr>
        <w:t>Termin wykonania zamówienia</w:t>
      </w:r>
      <w:r w:rsidRPr="004161AC">
        <w:rPr>
          <w:rFonts w:asciiTheme="minorHAnsi" w:hAnsiTheme="minorHAnsi" w:cstheme="minorHAnsi"/>
          <w:b/>
        </w:rPr>
        <w:t xml:space="preserve">: </w:t>
      </w:r>
    </w:p>
    <w:p w14:paraId="00A2F5D6" w14:textId="12B0D1BA" w:rsidR="00F3790A" w:rsidRPr="004161AC" w:rsidRDefault="00F3790A" w:rsidP="00F3790A">
      <w:pPr>
        <w:pStyle w:val="Default"/>
        <w:numPr>
          <w:ilvl w:val="2"/>
          <w:numId w:val="10"/>
        </w:numPr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Maksymalny termin wykonania </w:t>
      </w:r>
      <w:r>
        <w:rPr>
          <w:rFonts w:asciiTheme="minorHAnsi" w:hAnsiTheme="minorHAnsi" w:cstheme="minorHAnsi"/>
        </w:rPr>
        <w:t>zamówienia</w:t>
      </w:r>
      <w:r w:rsidRPr="004161AC">
        <w:rPr>
          <w:rFonts w:asciiTheme="minorHAnsi" w:hAnsiTheme="minorHAnsi" w:cstheme="minorHAnsi"/>
        </w:rPr>
        <w:t xml:space="preserve">/realizacji umowy to: </w:t>
      </w:r>
      <w:r>
        <w:rPr>
          <w:rFonts w:asciiTheme="minorHAnsi" w:hAnsiTheme="minorHAnsi" w:cstheme="minorHAnsi"/>
          <w:b/>
        </w:rPr>
        <w:t>31.12.2025</w:t>
      </w:r>
      <w:r w:rsidRPr="004161AC">
        <w:rPr>
          <w:rFonts w:asciiTheme="minorHAnsi" w:hAnsiTheme="minorHAnsi" w:cstheme="minorHAnsi"/>
          <w:b/>
        </w:rPr>
        <w:t xml:space="preserve"> r.</w:t>
      </w:r>
    </w:p>
    <w:p w14:paraId="06BDCA58" w14:textId="2D27EDD4" w:rsidR="00F3790A" w:rsidRDefault="00F3790A" w:rsidP="00F3790A">
      <w:pPr>
        <w:pStyle w:val="Default"/>
        <w:numPr>
          <w:ilvl w:val="2"/>
          <w:numId w:val="10"/>
        </w:numPr>
        <w:jc w:val="both"/>
        <w:rPr>
          <w:rFonts w:asciiTheme="minorHAnsi" w:hAnsiTheme="minorHAnsi" w:cstheme="minorHAnsi"/>
        </w:rPr>
      </w:pPr>
      <w:r w:rsidRPr="004161AC">
        <w:rPr>
          <w:rFonts w:asciiTheme="minorHAnsi" w:hAnsiTheme="minorHAnsi" w:cstheme="minorHAnsi"/>
        </w:rPr>
        <w:t xml:space="preserve">Za datę wykonania przedmiotu umowy uważa się dzień, w którym nastąpi podpisanie przez obie Strony protokołu odbioru </w:t>
      </w:r>
      <w:r>
        <w:rPr>
          <w:rFonts w:asciiTheme="minorHAnsi" w:hAnsiTheme="minorHAnsi" w:cstheme="minorHAnsi"/>
        </w:rPr>
        <w:t>zdawczo-odbiorczego</w:t>
      </w:r>
      <w:r w:rsidRPr="004161AC">
        <w:rPr>
          <w:rFonts w:asciiTheme="minorHAnsi" w:hAnsiTheme="minorHAnsi" w:cstheme="minorHAnsi"/>
        </w:rPr>
        <w:t>.</w:t>
      </w:r>
    </w:p>
    <w:p w14:paraId="6FDBB78D" w14:textId="373ADF13" w:rsidR="00B61FAE" w:rsidRDefault="005F58DC" w:rsidP="00F3790A">
      <w:pPr>
        <w:pStyle w:val="Default"/>
        <w:numPr>
          <w:ilvl w:val="2"/>
          <w:numId w:val="10"/>
        </w:numPr>
        <w:jc w:val="both"/>
        <w:rPr>
          <w:rFonts w:asciiTheme="minorHAnsi" w:hAnsiTheme="minorHAnsi" w:cstheme="minorHAnsi"/>
        </w:rPr>
      </w:pPr>
      <w:r w:rsidRPr="005F58DC">
        <w:rPr>
          <w:rFonts w:asciiTheme="minorHAnsi" w:hAnsiTheme="minorHAnsi" w:cstheme="minorHAnsi"/>
        </w:rPr>
        <w:t xml:space="preserve">Dopuszcza się możliwość wydłużenia terminu wykonania </w:t>
      </w:r>
      <w:r>
        <w:rPr>
          <w:rFonts w:asciiTheme="minorHAnsi" w:hAnsiTheme="minorHAnsi" w:cstheme="minorHAnsi"/>
        </w:rPr>
        <w:t>zamówienia w wyjątkowych przypadkach</w:t>
      </w:r>
      <w:r w:rsidRPr="005F58DC">
        <w:rPr>
          <w:rFonts w:asciiTheme="minorHAnsi" w:hAnsiTheme="minorHAnsi" w:cstheme="minorHAnsi"/>
        </w:rPr>
        <w:t xml:space="preserve"> maksymalnie do </w:t>
      </w:r>
      <w:r w:rsidRPr="005F58DC">
        <w:rPr>
          <w:rFonts w:asciiTheme="minorHAnsi" w:hAnsiTheme="minorHAnsi" w:cstheme="minorHAnsi"/>
          <w:b/>
          <w:bCs/>
        </w:rPr>
        <w:t>27.03.2026 r.</w:t>
      </w:r>
      <w:r>
        <w:rPr>
          <w:rFonts w:asciiTheme="minorHAnsi" w:hAnsiTheme="minorHAnsi" w:cstheme="minorHAnsi"/>
        </w:rPr>
        <w:t xml:space="preserve"> Możliwość ta będzie uzależniona i dopuszczona tylko w przypadku zgody Jednostki wspierającej plan rozwojowy (PARP) oraz po ewentualnym zawarciu aneksu do umowy o dofinansowanie.</w:t>
      </w:r>
    </w:p>
    <w:p w14:paraId="15BFCC63" w14:textId="77777777" w:rsidR="00F3790A" w:rsidRP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951446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Informacje na temat zakresu wykluczenia:</w:t>
      </w:r>
    </w:p>
    <w:p w14:paraId="4B3795E0" w14:textId="77777777" w:rsidR="00F3790A" w:rsidRPr="004161AC" w:rsidRDefault="00F3790A" w:rsidP="00F3790A">
      <w:pPr>
        <w:pStyle w:val="Listapunktowana2"/>
        <w:numPr>
          <w:ilvl w:val="3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Wykluczeniu z postępowania podlegają Oferenci powiązani osobowo lub kapitałowo z Zamawiającym. Przez powiązania kapitałowe lub osobowe rozumie się wzajemne powiązania między beneficjentem (Zamawiającym) lub osobami upoważnionymi do zaciągania zobowiązań w imieniu beneficjanta lub osobami wykonującymi w imieniu beneficjenta czynności związane z przygotowaniem i przeprowadzeniem procedury wyboru wykonawcy a wykonawcą (Oferentem), polegające w szczególności na:</w:t>
      </w:r>
    </w:p>
    <w:p w14:paraId="2E7D810D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Uczestniczeniu w spółce jako wspólnik spółki cywilnej lub spółki osobowej,</w:t>
      </w:r>
    </w:p>
    <w:p w14:paraId="1FCC9EED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Posiadaniu co najmniej 10 % udziałów lub akcji,</w:t>
      </w:r>
    </w:p>
    <w:p w14:paraId="07F99D5A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lastRenderedPageBreak/>
        <w:t>Pełnieniu funkcji członka organu nadzorczego lub zarządzającego, prokurenta, pełnomocnika,</w:t>
      </w:r>
    </w:p>
    <w:p w14:paraId="0E164277" w14:textId="77777777" w:rsidR="00F3790A" w:rsidRPr="004161AC" w:rsidRDefault="00F3790A" w:rsidP="00F3790A">
      <w:pPr>
        <w:pStyle w:val="Listapunktowana2"/>
        <w:numPr>
          <w:ilvl w:val="4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 lub pozostawanie w innym związku niż wskazane w pkt a-d jeżeli naruszają zasady konkurencyjności.</w:t>
      </w:r>
    </w:p>
    <w:p w14:paraId="07008EA0" w14:textId="77777777" w:rsidR="00F3790A" w:rsidRPr="004161AC" w:rsidRDefault="00F3790A" w:rsidP="00F3790A">
      <w:pPr>
        <w:pStyle w:val="Listapunktowana2"/>
        <w:numPr>
          <w:ilvl w:val="3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>Warunek braku powiązań kapitałowych i osobowych zostanie spełniony jeśli oferent przedstawi oświadczenie. Ocena zostanie dokonana poprzez analizę oświadczenia (podpis pod oświadczeniem oznacza spełnienie warunku).</w:t>
      </w:r>
    </w:p>
    <w:p w14:paraId="3B6C36DD" w14:textId="77777777" w:rsidR="00F3790A" w:rsidRPr="004161AC" w:rsidRDefault="00F3790A" w:rsidP="00F3790A">
      <w:pPr>
        <w:pStyle w:val="Listapunktowana2"/>
        <w:numPr>
          <w:ilvl w:val="0"/>
          <w:numId w:val="0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4181929A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Określenie warunków istotnych zmian umowy zawartej w wyniku przeprowadzonego postępowania o udzielenie zamówienia:</w:t>
      </w:r>
    </w:p>
    <w:p w14:paraId="22E20161" w14:textId="77777777" w:rsidR="00F3790A" w:rsidRDefault="00F3790A" w:rsidP="00F3790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Zamawiający przewiduje możliwość wprowadzenia istotnych zmian postanowień zawartej umowy z wybranym Wykonawcą w stosunku do treści oferty, na podstawie której dokonano wyboru Wykonawcy.</w:t>
      </w:r>
    </w:p>
    <w:p w14:paraId="535B9B23" w14:textId="77777777" w:rsidR="00F3790A" w:rsidRPr="00B81D77" w:rsidRDefault="00F3790A" w:rsidP="00F3790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Dopuszczalne będą zmiany, w szczególności:</w:t>
      </w:r>
    </w:p>
    <w:p w14:paraId="7C5B70B1" w14:textId="77777777" w:rsidR="00F3790A" w:rsidRPr="00512F88" w:rsidRDefault="00F3790A" w:rsidP="00F3790A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>wynikające ze zmiany przepisów prawa mających wpływ na realizację umowy;</w:t>
      </w:r>
    </w:p>
    <w:p w14:paraId="5AFF347B" w14:textId="77777777" w:rsidR="00F3790A" w:rsidRPr="00512F88" w:rsidRDefault="00F3790A" w:rsidP="00F3790A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 xml:space="preserve">zmiany terminu realizacji </w:t>
      </w:r>
      <w:r>
        <w:rPr>
          <w:sz w:val="24"/>
          <w:szCs w:val="24"/>
        </w:rPr>
        <w:t>umowy</w:t>
      </w:r>
      <w:r w:rsidRPr="00512F88">
        <w:rPr>
          <w:sz w:val="24"/>
          <w:szCs w:val="24"/>
        </w:rPr>
        <w:t xml:space="preserve"> z uzasadnionych przyczyn niezależnych od Wykonawcy;</w:t>
      </w:r>
    </w:p>
    <w:p w14:paraId="0B8D2808" w14:textId="77777777" w:rsidR="00F3790A" w:rsidRPr="00512F88" w:rsidRDefault="00F3790A" w:rsidP="00F3790A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512F88">
        <w:rPr>
          <w:sz w:val="24"/>
          <w:szCs w:val="24"/>
        </w:rPr>
        <w:t>zmiany wysokości wynagrodzenia w przypadku zmiany urzędowej stawki podatku VAT;</w:t>
      </w:r>
    </w:p>
    <w:p w14:paraId="41456A1C" w14:textId="77777777" w:rsidR="00F3790A" w:rsidRPr="00324E8B" w:rsidRDefault="00F3790A" w:rsidP="00F3790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B81D77">
        <w:rPr>
          <w:sz w:val="24"/>
          <w:szCs w:val="24"/>
        </w:rPr>
        <w:t>Wszelkie zmiany i uzupełnienia do umowy zawartej z wybranym Wykonawcą muszą być</w:t>
      </w:r>
      <w:r w:rsidRPr="00324E8B">
        <w:rPr>
          <w:sz w:val="24"/>
          <w:szCs w:val="24"/>
        </w:rPr>
        <w:t xml:space="preserve"> dokonywane w formie pisemnych aneksów do umowy podpisanych przez obie strony, pod rygorem nieważności.</w:t>
      </w:r>
    </w:p>
    <w:p w14:paraId="1F049EA6" w14:textId="77777777" w:rsidR="00F3790A" w:rsidRPr="004161AC" w:rsidRDefault="00F3790A" w:rsidP="00F3790A">
      <w:pPr>
        <w:pStyle w:val="Akapitzlist"/>
        <w:spacing w:after="0" w:line="240" w:lineRule="auto"/>
        <w:ind w:left="785"/>
        <w:jc w:val="both"/>
        <w:rPr>
          <w:rFonts w:cstheme="minorHAnsi"/>
          <w:sz w:val="24"/>
          <w:szCs w:val="24"/>
        </w:rPr>
      </w:pPr>
    </w:p>
    <w:p w14:paraId="0F46FE0E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Informacje o możliwości składania ofert częściowych:</w:t>
      </w:r>
    </w:p>
    <w:p w14:paraId="318D17F5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Nie jest dopuszczalne składanie ofert częściowych</w:t>
      </w:r>
    </w:p>
    <w:p w14:paraId="0CDCE6AD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8A3811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Wykaz dokumentów oraz oświadczeń niezbędnych do złożenia wraz z ofertą:</w:t>
      </w:r>
    </w:p>
    <w:p w14:paraId="7E95A702" w14:textId="77777777" w:rsidR="00F3790A" w:rsidRPr="00A32336" w:rsidRDefault="00F3790A" w:rsidP="00F3790A">
      <w:pPr>
        <w:pStyle w:val="msonormalcxspdrugie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Ofertę należy sporządzić pisemnie w języku polskim</w:t>
      </w:r>
      <w:r>
        <w:rPr>
          <w:rFonts w:asciiTheme="minorHAnsi" w:hAnsiTheme="minorHAnsi"/>
        </w:rPr>
        <w:t xml:space="preserve"> na formularzu oferty wg wzoru stanowiącego załącznik nr 1 do zapytania ofertowego.</w:t>
      </w:r>
    </w:p>
    <w:p w14:paraId="4E34F8D4" w14:textId="77777777" w:rsidR="00F3790A" w:rsidRPr="00A32336" w:rsidRDefault="00F3790A" w:rsidP="00F3790A">
      <w:pPr>
        <w:pStyle w:val="akapitzlistcxspnazwisko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Treść oferty musi odpowiadać treści zapytania ofertowego.</w:t>
      </w:r>
    </w:p>
    <w:p w14:paraId="613AB5A7" w14:textId="77777777" w:rsidR="00F3790A" w:rsidRPr="00575EAB" w:rsidRDefault="00F3790A" w:rsidP="00F3790A">
      <w:pPr>
        <w:pStyle w:val="ust"/>
        <w:numPr>
          <w:ilvl w:val="0"/>
          <w:numId w:val="16"/>
        </w:numPr>
        <w:spacing w:before="0" w:after="0"/>
        <w:ind w:left="357" w:hanging="357"/>
        <w:rPr>
          <w:rFonts w:asciiTheme="minorHAnsi" w:hAnsiTheme="minorHAnsi"/>
          <w:szCs w:val="24"/>
        </w:rPr>
      </w:pPr>
      <w:r w:rsidRPr="00A32336">
        <w:rPr>
          <w:rFonts w:asciiTheme="minorHAnsi" w:hAnsiTheme="minorHAnsi"/>
          <w:szCs w:val="24"/>
        </w:rPr>
        <w:t>Oferta musi być podpisana przez osoby upoważnione</w:t>
      </w:r>
      <w:r>
        <w:rPr>
          <w:rFonts w:asciiTheme="minorHAnsi" w:hAnsiTheme="minorHAnsi"/>
          <w:szCs w:val="24"/>
        </w:rPr>
        <w:t xml:space="preserve"> </w:t>
      </w:r>
      <w:r w:rsidRPr="00575EAB">
        <w:rPr>
          <w:rFonts w:asciiTheme="minorHAnsi" w:hAnsiTheme="minorHAnsi"/>
          <w:szCs w:val="24"/>
        </w:rPr>
        <w:t>do reprezentowania Wykonawcy zgodnie z reprezentacją wynikającą z właściwego rejestru lub na podstawie udzielonego pełnomocnictwa.</w:t>
      </w:r>
    </w:p>
    <w:p w14:paraId="2457C34D" w14:textId="77777777" w:rsidR="00F3790A" w:rsidRDefault="00F3790A" w:rsidP="00F3790A">
      <w:pPr>
        <w:pStyle w:val="Tekstpodstawowy"/>
        <w:numPr>
          <w:ilvl w:val="0"/>
          <w:numId w:val="16"/>
        </w:numPr>
        <w:spacing w:after="0"/>
        <w:ind w:left="357" w:hanging="357"/>
        <w:jc w:val="both"/>
        <w:rPr>
          <w:rFonts w:asciiTheme="minorHAnsi" w:hAnsiTheme="minorHAnsi"/>
        </w:rPr>
      </w:pPr>
      <w:r w:rsidRPr="00A32336">
        <w:rPr>
          <w:rFonts w:asciiTheme="minorHAnsi" w:hAnsiTheme="minorHAnsi"/>
        </w:rPr>
        <w:t>Dokumenty sporządzone w języku obcym należy składać wraz</w:t>
      </w:r>
      <w:r>
        <w:rPr>
          <w:rFonts w:asciiTheme="minorHAnsi" w:hAnsiTheme="minorHAnsi"/>
        </w:rPr>
        <w:t xml:space="preserve"> z tłumaczeniem na język polski.</w:t>
      </w:r>
    </w:p>
    <w:p w14:paraId="55EC2F92" w14:textId="77777777" w:rsidR="00F3790A" w:rsidRPr="00190F35" w:rsidRDefault="00F3790A" w:rsidP="00F3790A">
      <w:pPr>
        <w:pStyle w:val="Akapitzlist"/>
        <w:numPr>
          <w:ilvl w:val="0"/>
          <w:numId w:val="16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190F35">
        <w:rPr>
          <w:sz w:val="24"/>
          <w:szCs w:val="24"/>
        </w:rPr>
        <w:t>Wszelkie zmiany treści zapytania ofertowego oraz wyjaśnienia udzielone na zapytania Wykonawców stają się integralną częścią zapytania ofertowego i są wiążące dla Wykonawców.</w:t>
      </w:r>
    </w:p>
    <w:p w14:paraId="60E9E2A2" w14:textId="77777777" w:rsidR="00F3790A" w:rsidRPr="00C26621" w:rsidRDefault="00F3790A" w:rsidP="00F3790A">
      <w:pPr>
        <w:pStyle w:val="msonormalcxspdrugie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t>Proponowaną cenę należy przedstawić w Formularzu Ofertowym (</w:t>
      </w:r>
      <w:r w:rsidRPr="00C904F5">
        <w:rPr>
          <w:rFonts w:asciiTheme="minorHAnsi" w:hAnsiTheme="minorHAnsi"/>
          <w:b/>
        </w:rPr>
        <w:t>załącznik nr 1</w:t>
      </w:r>
      <w:r w:rsidRPr="00C26621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– w wartościach netto i brutto.</w:t>
      </w:r>
    </w:p>
    <w:p w14:paraId="07A83E97" w14:textId="77777777" w:rsidR="00F3790A" w:rsidRPr="00C26621" w:rsidRDefault="00F3790A" w:rsidP="00F3790A">
      <w:pPr>
        <w:pStyle w:val="msonormalcxspdrugie"/>
        <w:numPr>
          <w:ilvl w:val="0"/>
          <w:numId w:val="16"/>
        </w:numPr>
        <w:spacing w:before="0" w:beforeAutospacing="0" w:after="0" w:afterAutospacing="0"/>
        <w:ind w:left="357" w:hanging="357"/>
        <w:contextualSpacing/>
        <w:jc w:val="both"/>
        <w:rPr>
          <w:rFonts w:asciiTheme="minorHAnsi" w:hAnsiTheme="minorHAnsi"/>
        </w:rPr>
      </w:pPr>
      <w:r w:rsidRPr="00C26621">
        <w:rPr>
          <w:rFonts w:asciiTheme="minorHAnsi" w:hAnsiTheme="minorHAnsi"/>
        </w:rPr>
        <w:t>Koszty związane z przygotowaniem Oferty ponosi Wykonawcy składający ofertę.</w:t>
      </w:r>
    </w:p>
    <w:p w14:paraId="5C75E33F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9BD12A" w14:textId="77777777" w:rsidR="00F3790A" w:rsidRPr="00A062FF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A062FF">
        <w:rPr>
          <w:rFonts w:cstheme="minorHAnsi"/>
          <w:b/>
          <w:color w:val="0070C0"/>
          <w:sz w:val="24"/>
          <w:szCs w:val="24"/>
        </w:rPr>
        <w:t>Informacje o planowanych zamówieniach uzupełniających:</w:t>
      </w:r>
    </w:p>
    <w:p w14:paraId="41B3F39A" w14:textId="77777777" w:rsidR="00F3790A" w:rsidRPr="004161AC" w:rsidRDefault="00F3790A" w:rsidP="00F3790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przewiduje możliwość udzielenia wykonawcy wyłonionemu w postępowaniu zamówień uzupełniających, w wysokości nieprzekraczającej 50% wartości zamówienia określonej w umowie zawartej z wykonawcą, o ile te zamówienia są zgodne z przedmiotem zamówienia podstawowego. W takim przypadku Zamawiający będzie realizował zamówienia uzupełniające na podstawie odrębnego zlecenia oraz podpisze w tym zakresie stosowny aneks do umowy, natomiast Wykonawca zobowiązany będzie do wyceny uzupełniającego zamówienia.</w:t>
      </w:r>
    </w:p>
    <w:p w14:paraId="2F952F64" w14:textId="77777777" w:rsidR="00F3790A" w:rsidRPr="004161AC" w:rsidRDefault="00F3790A" w:rsidP="00F3790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lastRenderedPageBreak/>
        <w:t>Zamawiający przewiduje możliwość udzielenia dotychczasowemu wykonawcy zamówień dodatkowych, nieobjętych zamówieniem podstawowym i nieprzekraczających 50% wartości realizowanego zamówienia , niezbędnych do jego prawidłowego wykonania, których wykonanie stało się konieczne na skutek sytuacji niemożliwej wcześniej do przewidzenia, jeżeli:</w:t>
      </w:r>
    </w:p>
    <w:p w14:paraId="0947DE02" w14:textId="77777777" w:rsidR="00F3790A" w:rsidRPr="004161AC" w:rsidRDefault="00F3790A" w:rsidP="00F3790A">
      <w:pPr>
        <w:pStyle w:val="Akapitzlist"/>
        <w:numPr>
          <w:ilvl w:val="1"/>
          <w:numId w:val="4"/>
        </w:numPr>
        <w:spacing w:after="0" w:line="240" w:lineRule="auto"/>
        <w:ind w:left="861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z przyczyn technicznych lub gospodarczych oddzielenie zamówienia dodatkowego od zamówienia podstawowego wymagałoby poniesienia niewspółmiernie wysokich kosztów, </w:t>
      </w:r>
    </w:p>
    <w:p w14:paraId="251C9B91" w14:textId="77777777" w:rsidR="00F3790A" w:rsidRPr="004161AC" w:rsidRDefault="00F3790A" w:rsidP="00F3790A">
      <w:pPr>
        <w:pStyle w:val="Akapitzlist"/>
        <w:numPr>
          <w:ilvl w:val="1"/>
          <w:numId w:val="4"/>
        </w:numPr>
        <w:spacing w:after="0" w:line="240" w:lineRule="auto"/>
        <w:ind w:left="861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wykonanie zamówienia podstawowego jest uzależnione od wykonania zamówienia dodatkowego.</w:t>
      </w:r>
    </w:p>
    <w:p w14:paraId="5588BCED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C4B339" w14:textId="77777777" w:rsidR="00F3790A" w:rsidRPr="004161AC" w:rsidRDefault="00F3790A" w:rsidP="00F379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4161AC">
        <w:rPr>
          <w:rFonts w:cstheme="minorHAnsi"/>
          <w:b/>
          <w:color w:val="0070C0"/>
          <w:sz w:val="24"/>
          <w:szCs w:val="24"/>
        </w:rPr>
        <w:t>Pozostałe informacje:</w:t>
      </w:r>
    </w:p>
    <w:p w14:paraId="0A1C9DD4" w14:textId="77777777" w:rsidR="00F3790A" w:rsidRPr="004161AC" w:rsidRDefault="00F3790A" w:rsidP="00F379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Wszelkie spory między stronami wynikające z niniejszej umowy rozstrzygane będą na zasadzie wzajemnego porozumienia.</w:t>
      </w:r>
    </w:p>
    <w:p w14:paraId="06DF74E8" w14:textId="77777777" w:rsidR="00F3790A" w:rsidRPr="004161AC" w:rsidRDefault="00F3790A" w:rsidP="00F379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Jeżeli strony nie osiągną kompromisu wówczas sprawy sporne, kierowane będą do sądu powszechnego właściwego dla siedziby Zamawiającego.</w:t>
      </w:r>
    </w:p>
    <w:p w14:paraId="4594A62C" w14:textId="77777777" w:rsidR="00F3790A" w:rsidRPr="004161AC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color w:val="000000"/>
          <w:spacing w:val="1"/>
          <w:sz w:val="24"/>
          <w:szCs w:val="24"/>
        </w:rPr>
        <w:t>W sprawach nieuregulowanych w niniejszej umowie stosuje się przepisy Kodeksu cywilnego.</w:t>
      </w:r>
    </w:p>
    <w:p w14:paraId="72B7C12B" w14:textId="77777777" w:rsidR="00F3790A" w:rsidRPr="004161AC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Zapytanie ofertowe może zostać zmienione przed upływem terminu składania ofert przewidzianym w zapytaniu ofertowym. W opublikowanym zapytaniu ofertowym uwzględniona zostanie informacja o zmianie. Informacja ta będzie zawierać co najmniej: datę upublicznienia zmienianego zapytania ofertowego, a także opis dokonanych zmian. Zamawiający przedłuży termin składania ofert o czas niezbędny do wprowadzenia zmian w ofertach, jeżeli jest to konieczne z uwagi na zakres wprowadzonych zmian.</w:t>
      </w:r>
    </w:p>
    <w:p w14:paraId="0E7A9100" w14:textId="77777777" w:rsidR="00F3790A" w:rsidRPr="004161AC" w:rsidRDefault="00F3790A" w:rsidP="00F379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zastrzega sobie prawo do unieważnienia lub zamknięcia postępowania na każdym jego etapie bez podania przyczyny oraz pozostawienia postepowania bez wyboru oferty.</w:t>
      </w:r>
    </w:p>
    <w:p w14:paraId="0F196294" w14:textId="77777777" w:rsidR="00F3790A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Zamawiający zastrzega sobie prawo do weryfikacji złożonych ofert pod kątem rażąco niskiej ceny, zgodnie z procedurą opisaną w art. 90 ustawy z dnia 29 stycznia 2004 r. - Prawo Zamówień Publicznych.</w:t>
      </w:r>
    </w:p>
    <w:p w14:paraId="0DF233AA" w14:textId="5C5B069E" w:rsidR="00F3790A" w:rsidRPr="002D39DA" w:rsidRDefault="00F3790A" w:rsidP="00F3790A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C0E5A">
        <w:rPr>
          <w:rFonts w:cstheme="minorHAnsi"/>
          <w:sz w:val="24"/>
          <w:szCs w:val="24"/>
        </w:rPr>
        <w:t xml:space="preserve">Jeżeli Oferent, którego oferta została wybrana, będzie uchylał się od zawarcia umowy o </w:t>
      </w:r>
      <w:r>
        <w:rPr>
          <w:rFonts w:cstheme="minorHAnsi"/>
          <w:sz w:val="24"/>
          <w:szCs w:val="24"/>
        </w:rPr>
        <w:t>realizację zamówienia,</w:t>
      </w:r>
      <w:r w:rsidRPr="00FC0E5A">
        <w:rPr>
          <w:rFonts w:cstheme="minorHAnsi"/>
          <w:sz w:val="24"/>
          <w:szCs w:val="24"/>
        </w:rPr>
        <w:t xml:space="preserve"> Zamawiający może wybrać ofertę najkorzystniejszą spośród pozostałych ofert i</w:t>
      </w:r>
      <w:r>
        <w:rPr>
          <w:rFonts w:cstheme="minorHAnsi"/>
          <w:sz w:val="24"/>
          <w:szCs w:val="24"/>
        </w:rPr>
        <w:t xml:space="preserve"> </w:t>
      </w:r>
      <w:r w:rsidRPr="00FC0E5A">
        <w:rPr>
          <w:rFonts w:cstheme="minorHAnsi"/>
          <w:sz w:val="24"/>
          <w:szCs w:val="24"/>
        </w:rPr>
        <w:t xml:space="preserve">zwrócić się o zawarcie umowy </w:t>
      </w:r>
      <w:r>
        <w:rPr>
          <w:rFonts w:cstheme="minorHAnsi"/>
          <w:sz w:val="24"/>
          <w:szCs w:val="24"/>
        </w:rPr>
        <w:t xml:space="preserve">na realizację zamówienia </w:t>
      </w:r>
      <w:r w:rsidRPr="00FC0E5A">
        <w:rPr>
          <w:rFonts w:cstheme="minorHAnsi"/>
          <w:sz w:val="24"/>
          <w:szCs w:val="24"/>
        </w:rPr>
        <w:t>z kolejnym podmiotem na liście</w:t>
      </w:r>
      <w:r>
        <w:rPr>
          <w:rFonts w:cstheme="minorHAnsi"/>
          <w:sz w:val="24"/>
          <w:szCs w:val="24"/>
        </w:rPr>
        <w:t xml:space="preserve"> </w:t>
      </w:r>
      <w:r w:rsidRPr="00FC0E5A">
        <w:rPr>
          <w:rFonts w:cstheme="minorHAnsi"/>
          <w:sz w:val="24"/>
          <w:szCs w:val="24"/>
        </w:rPr>
        <w:t>uszeregowanej według najwyższej liczby uzyskanych punktów.</w:t>
      </w:r>
    </w:p>
    <w:p w14:paraId="31931E13" w14:textId="77777777" w:rsidR="005F58DC" w:rsidRDefault="005F58DC" w:rsidP="00F3790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1FB4B6A2" w14:textId="31555463" w:rsidR="00F3790A" w:rsidRPr="004161AC" w:rsidRDefault="00F3790A" w:rsidP="00F3790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b/>
          <w:i/>
          <w:sz w:val="24"/>
          <w:szCs w:val="24"/>
        </w:rPr>
        <w:t>Zawiera:</w:t>
      </w:r>
    </w:p>
    <w:p w14:paraId="6F471C04" w14:textId="77777777" w:rsidR="005F58DC" w:rsidRDefault="00F3790A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  <w:bookmarkStart w:id="0" w:name="_Hlk195000332"/>
      <w:r w:rsidRPr="004161AC">
        <w:rPr>
          <w:rFonts w:cstheme="minorHAnsi"/>
          <w:b/>
          <w:i/>
          <w:sz w:val="24"/>
          <w:szCs w:val="24"/>
        </w:rPr>
        <w:t xml:space="preserve">Załącznik nr 1 - Formularz </w:t>
      </w:r>
      <w:r w:rsidR="00703827">
        <w:rPr>
          <w:rFonts w:cstheme="minorHAnsi"/>
          <w:b/>
          <w:i/>
          <w:sz w:val="24"/>
          <w:szCs w:val="24"/>
        </w:rPr>
        <w:t>ofertowy</w:t>
      </w:r>
      <w:bookmarkEnd w:id="0"/>
    </w:p>
    <w:p w14:paraId="34312818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7A81DBA6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0A34067F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1362FECD" w14:textId="77777777" w:rsidR="005F58DC" w:rsidRDefault="005F58DC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</w:p>
    <w:p w14:paraId="3DE75421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22A6FDFE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4B5D1AC7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1D09D42A" w14:textId="77777777" w:rsidR="005F58DC" w:rsidRDefault="005F58DC" w:rsidP="005F58DC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7D47A959" w14:textId="77777777" w:rsidR="00DF4029" w:rsidRDefault="00DF4029">
      <w:pPr>
        <w:spacing w:line="278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779D126E" w14:textId="1BB15647" w:rsidR="005F58DC" w:rsidRDefault="005F58DC" w:rsidP="005F58DC">
      <w:pPr>
        <w:spacing w:after="0" w:line="240" w:lineRule="auto"/>
        <w:rPr>
          <w:rFonts w:cstheme="minorHAnsi"/>
          <w:sz w:val="24"/>
          <w:szCs w:val="24"/>
        </w:rPr>
      </w:pPr>
      <w:r w:rsidRPr="005F58DC">
        <w:rPr>
          <w:rFonts w:cstheme="minorHAnsi"/>
          <w:b/>
          <w:i/>
          <w:sz w:val="24"/>
          <w:szCs w:val="24"/>
        </w:rPr>
        <w:lastRenderedPageBreak/>
        <w:t>Załącznik nr 1 - Formularz ofertowy</w:t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</w:r>
      <w:r w:rsidR="00F3790A" w:rsidRPr="004161AC">
        <w:rPr>
          <w:rFonts w:cstheme="minorHAnsi"/>
          <w:sz w:val="24"/>
          <w:szCs w:val="24"/>
        </w:rPr>
        <w:tab/>
        <w:t xml:space="preserve">  </w:t>
      </w:r>
      <w:r w:rsidR="00F3790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2CE68CEF" w14:textId="59218FF8" w:rsidR="00F3790A" w:rsidRPr="005F58DC" w:rsidRDefault="00F3790A" w:rsidP="005F58DC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…………………………..</w:t>
      </w:r>
    </w:p>
    <w:p w14:paraId="23B98564" w14:textId="31354D8D" w:rsidR="00F3790A" w:rsidRPr="004161AC" w:rsidRDefault="00F3790A" w:rsidP="002A74A6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 w:rsidRPr="004161A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4161AC">
        <w:rPr>
          <w:rFonts w:cstheme="minorHAnsi"/>
          <w:i/>
          <w:sz w:val="24"/>
          <w:szCs w:val="24"/>
        </w:rPr>
        <w:t>(miejscowość, data)</w:t>
      </w:r>
    </w:p>
    <w:p w14:paraId="1F3F1BA1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5313C235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380E5979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……………………………………..</w:t>
      </w:r>
    </w:p>
    <w:p w14:paraId="198B5837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 xml:space="preserve"> </w:t>
      </w:r>
      <w:r w:rsidRPr="004161AC">
        <w:rPr>
          <w:rFonts w:cstheme="minorHAnsi"/>
          <w:i/>
          <w:sz w:val="24"/>
          <w:szCs w:val="24"/>
        </w:rPr>
        <w:t>(nazwa, adres, NIP)</w:t>
      </w:r>
    </w:p>
    <w:p w14:paraId="6195B478" w14:textId="77777777" w:rsidR="002A74A6" w:rsidRPr="002A74A6" w:rsidRDefault="00F3790A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Pr="004161AC">
        <w:rPr>
          <w:rFonts w:cstheme="minorHAnsi"/>
          <w:b/>
          <w:sz w:val="24"/>
          <w:szCs w:val="24"/>
        </w:rPr>
        <w:tab/>
      </w:r>
      <w:r w:rsidR="002A74A6" w:rsidRPr="002A74A6">
        <w:rPr>
          <w:rFonts w:cstheme="minorHAnsi"/>
          <w:b/>
          <w:sz w:val="24"/>
          <w:szCs w:val="24"/>
        </w:rPr>
        <w:t>TS PACK Białogard sp. z o.o. sp. k.</w:t>
      </w:r>
    </w:p>
    <w:p w14:paraId="473958C1" w14:textId="77777777" w:rsidR="002A74A6" w:rsidRPr="002A74A6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2A74A6">
        <w:rPr>
          <w:rFonts w:cstheme="minorHAnsi"/>
          <w:b/>
          <w:sz w:val="24"/>
          <w:szCs w:val="24"/>
        </w:rPr>
        <w:t>ul. Gdyńska 15</w:t>
      </w:r>
    </w:p>
    <w:p w14:paraId="7E0EB2EF" w14:textId="77777777" w:rsidR="002A74A6" w:rsidRPr="002A74A6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2A74A6">
        <w:rPr>
          <w:rFonts w:cstheme="minorHAnsi"/>
          <w:b/>
          <w:sz w:val="24"/>
          <w:szCs w:val="24"/>
        </w:rPr>
        <w:t>75-800 Białogard</w:t>
      </w:r>
    </w:p>
    <w:p w14:paraId="08DF719B" w14:textId="14F37E54" w:rsidR="00F3790A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2A74A6">
        <w:rPr>
          <w:rFonts w:cstheme="minorHAnsi"/>
          <w:b/>
          <w:sz w:val="24"/>
          <w:szCs w:val="24"/>
        </w:rPr>
        <w:t>NIP: 6721515298</w:t>
      </w:r>
    </w:p>
    <w:p w14:paraId="6C2A636D" w14:textId="77777777" w:rsidR="002A74A6" w:rsidRPr="004161AC" w:rsidRDefault="002A74A6" w:rsidP="002A74A6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7F15FB75" w14:textId="77777777" w:rsidR="00F3790A" w:rsidRPr="004161AC" w:rsidRDefault="00F3790A" w:rsidP="00F379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161AC">
        <w:rPr>
          <w:rFonts w:cstheme="minorHAnsi"/>
          <w:b/>
          <w:sz w:val="24"/>
          <w:szCs w:val="24"/>
        </w:rPr>
        <w:t>OFERTA</w:t>
      </w:r>
    </w:p>
    <w:p w14:paraId="095CA188" w14:textId="77777777" w:rsidR="00F3790A" w:rsidRPr="004161AC" w:rsidRDefault="00F3790A" w:rsidP="00F379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8BAE801" w14:textId="0997BD98" w:rsidR="00F3790A" w:rsidRPr="002A74A6" w:rsidRDefault="00F3790A" w:rsidP="00F3790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161AC">
        <w:rPr>
          <w:rFonts w:cstheme="minorHAnsi"/>
          <w:sz w:val="24"/>
          <w:szCs w:val="24"/>
        </w:rPr>
        <w:t>W odpowiedzi na</w:t>
      </w:r>
      <w:r w:rsidRPr="004161AC">
        <w:rPr>
          <w:rFonts w:cstheme="minorHAnsi"/>
          <w:b/>
          <w:sz w:val="24"/>
          <w:szCs w:val="24"/>
        </w:rPr>
        <w:t xml:space="preserve"> ZAPYTANIE OFERTOWE NR </w:t>
      </w:r>
      <w:r w:rsidR="00B719F7">
        <w:rPr>
          <w:rFonts w:cstheme="minorHAnsi"/>
          <w:b/>
          <w:sz w:val="24"/>
          <w:szCs w:val="24"/>
        </w:rPr>
        <w:t>4</w:t>
      </w:r>
      <w:r w:rsidRPr="004161AC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GOZ</w:t>
      </w:r>
      <w:r w:rsidRPr="004161AC">
        <w:rPr>
          <w:rFonts w:cstheme="minorHAnsi"/>
          <w:b/>
          <w:sz w:val="24"/>
          <w:szCs w:val="24"/>
        </w:rPr>
        <w:t xml:space="preserve"> </w:t>
      </w:r>
      <w:bookmarkStart w:id="1" w:name="_Hlk191895207"/>
      <w:r w:rsidRPr="004161AC">
        <w:rPr>
          <w:rFonts w:cstheme="minorHAnsi"/>
          <w:sz w:val="24"/>
          <w:szCs w:val="24"/>
        </w:rPr>
        <w:t xml:space="preserve">opublikowane pod adresem: </w:t>
      </w:r>
      <w:hyperlink r:id="rId10" w:history="1">
        <w:r w:rsidRPr="004161AC">
          <w:rPr>
            <w:rStyle w:val="Hipercze"/>
            <w:rFonts w:cstheme="minorHAnsi"/>
            <w:sz w:val="24"/>
            <w:szCs w:val="24"/>
          </w:rPr>
          <w:t>www.bazakonkurencyjnosci.funduszeeuropejskie.gov.pl</w:t>
        </w:r>
      </w:hyperlink>
      <w:r w:rsidRPr="004161AC">
        <w:rPr>
          <w:rFonts w:cstheme="minorHAnsi"/>
          <w:sz w:val="24"/>
          <w:szCs w:val="24"/>
        </w:rPr>
        <w:t>, dotyczące</w:t>
      </w:r>
      <w:r w:rsidRPr="004161AC">
        <w:rPr>
          <w:rFonts w:cstheme="minorHAnsi"/>
          <w:b/>
          <w:sz w:val="24"/>
          <w:szCs w:val="24"/>
        </w:rPr>
        <w:t xml:space="preserve"> </w:t>
      </w:r>
      <w:r w:rsidRPr="004161AC">
        <w:rPr>
          <w:rFonts w:cstheme="minorHAnsi"/>
          <w:sz w:val="24"/>
          <w:szCs w:val="24"/>
        </w:rPr>
        <w:t>projektu</w:t>
      </w:r>
      <w:r w:rsidRPr="004161AC">
        <w:rPr>
          <w:rFonts w:cstheme="minorHAnsi"/>
          <w:b/>
          <w:bCs/>
          <w:sz w:val="24"/>
          <w:szCs w:val="24"/>
        </w:rPr>
        <w:t>: „</w:t>
      </w:r>
      <w:r w:rsidR="002A74A6" w:rsidRPr="002A74A6">
        <w:rPr>
          <w:rFonts w:cstheme="minorHAnsi"/>
          <w:b/>
          <w:i/>
          <w:sz w:val="24"/>
          <w:szCs w:val="24"/>
        </w:rPr>
        <w:t>Implementacja technologii środowiskowych w firmie TS PACK - Droga do Gospodarki o Obiegu Zamkniętym</w:t>
      </w:r>
      <w:r w:rsidRPr="004161AC">
        <w:rPr>
          <w:rFonts w:cstheme="minorHAnsi"/>
          <w:b/>
          <w:sz w:val="24"/>
          <w:szCs w:val="24"/>
        </w:rPr>
        <w:t>”</w:t>
      </w:r>
      <w:r>
        <w:rPr>
          <w:rFonts w:cstheme="minorHAnsi"/>
          <w:b/>
          <w:sz w:val="24"/>
          <w:szCs w:val="24"/>
        </w:rPr>
        <w:t>,</w:t>
      </w:r>
      <w:bookmarkEnd w:id="1"/>
      <w:r w:rsidR="002A74A6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</w:t>
      </w:r>
      <w:r w:rsidRPr="004161AC">
        <w:rPr>
          <w:rFonts w:cstheme="minorHAnsi"/>
          <w:bCs/>
          <w:sz w:val="24"/>
          <w:szCs w:val="24"/>
        </w:rPr>
        <w:t>rzedstawiam ofertę na wykonanie przedmiotu zamówienia</w:t>
      </w:r>
      <w:r w:rsidRPr="004161AC">
        <w:rPr>
          <w:rFonts w:cstheme="minorHAnsi"/>
          <w:sz w:val="24"/>
          <w:szCs w:val="24"/>
        </w:rPr>
        <w:t>:</w:t>
      </w:r>
    </w:p>
    <w:p w14:paraId="41846EA2" w14:textId="6CC3C694" w:rsidR="00F3790A" w:rsidRPr="002A74A6" w:rsidRDefault="00F3790A" w:rsidP="002A74A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3543"/>
        <w:gridCol w:w="5954"/>
      </w:tblGrid>
      <w:tr w:rsidR="00F3790A" w:rsidRPr="004161AC" w14:paraId="43B0E92B" w14:textId="77777777" w:rsidTr="002A74A6">
        <w:trPr>
          <w:trHeight w:val="230"/>
        </w:trPr>
        <w:tc>
          <w:tcPr>
            <w:tcW w:w="9923" w:type="dxa"/>
            <w:gridSpan w:val="3"/>
            <w:shd w:val="clear" w:color="auto" w:fill="0070C0"/>
          </w:tcPr>
          <w:p w14:paraId="10951E1D" w14:textId="77777777" w:rsidR="00F3790A" w:rsidRPr="004161AC" w:rsidRDefault="00F3790A" w:rsidP="00F452E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790A" w:rsidRPr="004161AC" w14:paraId="252EFCF9" w14:textId="77777777" w:rsidTr="005F58DC">
        <w:trPr>
          <w:trHeight w:val="548"/>
        </w:trPr>
        <w:tc>
          <w:tcPr>
            <w:tcW w:w="426" w:type="dxa"/>
            <w:vAlign w:val="center"/>
          </w:tcPr>
          <w:p w14:paraId="7D0055CE" w14:textId="77777777" w:rsidR="00F3790A" w:rsidRPr="004161AC" w:rsidRDefault="00F3790A" w:rsidP="00F452E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161A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740D9841" w14:textId="7E323142" w:rsidR="00F3790A" w:rsidRPr="004161AC" w:rsidRDefault="00AD481B" w:rsidP="002A74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481B">
              <w:rPr>
                <w:rFonts w:cstheme="minorHAnsi"/>
                <w:b/>
                <w:sz w:val="24"/>
                <w:szCs w:val="24"/>
              </w:rPr>
              <w:t xml:space="preserve">Linia do </w:t>
            </w:r>
            <w:proofErr w:type="spellStart"/>
            <w:r w:rsidR="003961C2">
              <w:rPr>
                <w:rFonts w:cstheme="minorHAnsi"/>
                <w:b/>
                <w:sz w:val="24"/>
                <w:szCs w:val="24"/>
              </w:rPr>
              <w:t>regranulacji</w:t>
            </w:r>
            <w:proofErr w:type="spellEnd"/>
          </w:p>
        </w:tc>
        <w:tc>
          <w:tcPr>
            <w:tcW w:w="5954" w:type="dxa"/>
            <w:vAlign w:val="center"/>
          </w:tcPr>
          <w:p w14:paraId="238E7755" w14:textId="77777777" w:rsidR="002A74A6" w:rsidRDefault="002A74A6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96EAE0" w14:textId="48C2ACE5" w:rsidR="00F3790A" w:rsidRDefault="00F3790A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 w:rsidRPr="004161AC">
              <w:rPr>
                <w:rFonts w:cstheme="minorHAnsi"/>
                <w:sz w:val="24"/>
                <w:szCs w:val="24"/>
              </w:rPr>
              <w:t xml:space="preserve">CENA NETTO: </w:t>
            </w:r>
          </w:p>
          <w:p w14:paraId="6F6FA54E" w14:textId="77777777" w:rsidR="005F58DC" w:rsidRDefault="005F58DC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5119AA3" w14:textId="4F03F2B0" w:rsidR="005F58DC" w:rsidRPr="004161AC" w:rsidRDefault="005F58DC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………………………………………………………………………………..</w:t>
            </w:r>
          </w:p>
          <w:p w14:paraId="754479B2" w14:textId="77777777" w:rsidR="00F3790A" w:rsidRDefault="00F3790A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47F8A64" w14:textId="2925928E" w:rsidR="002A74A6" w:rsidRDefault="002A74A6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 BRUTTO:</w:t>
            </w:r>
          </w:p>
          <w:p w14:paraId="217416BF" w14:textId="7D9969F6" w:rsidR="005F58DC" w:rsidRDefault="005F58DC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182F4A3" w14:textId="6BD4A85B" w:rsidR="005F58DC" w:rsidRDefault="005F58DC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……………………………………………………………………………….</w:t>
            </w:r>
          </w:p>
          <w:p w14:paraId="582B12A5" w14:textId="77777777" w:rsidR="002A74A6" w:rsidRDefault="002A74A6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090FB7A" w14:textId="0F5E1FB5" w:rsidR="002A74A6" w:rsidRDefault="002A74A6" w:rsidP="00F452E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Waluta:</w:t>
            </w:r>
            <w:r w:rsidR="005F58DC">
              <w:rPr>
                <w:rFonts w:cstheme="minorHAnsi"/>
                <w:sz w:val="24"/>
                <w:szCs w:val="24"/>
              </w:rPr>
              <w:t>…………………………………………………………………..</w:t>
            </w:r>
          </w:p>
          <w:p w14:paraId="5FA056CE" w14:textId="08C696C4" w:rsidR="002A74A6" w:rsidRPr="004161AC" w:rsidRDefault="002A74A6" w:rsidP="00F452E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A74A6" w14:paraId="4AB4463F" w14:textId="77777777" w:rsidTr="005F58DC">
        <w:tc>
          <w:tcPr>
            <w:tcW w:w="426" w:type="dxa"/>
            <w:vAlign w:val="center"/>
          </w:tcPr>
          <w:p w14:paraId="77AB85FD" w14:textId="3B3B65C4" w:rsidR="002A74A6" w:rsidRPr="002A74A6" w:rsidRDefault="00B01F14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0A4044B5" w14:textId="77777777" w:rsidR="002A74A6" w:rsidRPr="002A74A6" w:rsidRDefault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E9888BA" w14:textId="7E8F4E32" w:rsidR="002A74A6" w:rsidRPr="002A74A6" w:rsidRDefault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Gwarancja (</w:t>
            </w:r>
            <w:r w:rsidRPr="005F58D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w miesiącach</w:t>
            </w:r>
            <w:r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1CC23185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0F28F02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4653BCF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A74A6" w14:paraId="7325A531" w14:textId="77777777" w:rsidTr="005F58DC">
        <w:tc>
          <w:tcPr>
            <w:tcW w:w="426" w:type="dxa"/>
            <w:vAlign w:val="center"/>
          </w:tcPr>
          <w:p w14:paraId="39DE3019" w14:textId="74451735" w:rsidR="002A74A6" w:rsidRPr="002A74A6" w:rsidRDefault="00B01F14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2DD697F4" w14:textId="701CF145" w:rsidR="002A74A6" w:rsidRPr="002A74A6" w:rsidRDefault="002A74A6" w:rsidP="002A74A6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A74A6">
              <w:rPr>
                <w:rFonts w:cs="Times New Roman"/>
                <w:b/>
                <w:bCs/>
                <w:sz w:val="24"/>
                <w:szCs w:val="24"/>
              </w:rPr>
              <w:t>Czas reakcji serwisowej i usunięcie awarii (</w:t>
            </w:r>
            <w:r w:rsidRPr="005F58D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w godzinach</w:t>
            </w:r>
            <w:r w:rsidRPr="002A74A6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1C902A35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1B0006E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380D593F" w14:textId="77777777" w:rsidR="002A74A6" w:rsidRDefault="002A74A6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19449E2" w14:textId="77777777" w:rsidR="00F3790A" w:rsidRPr="00A062FF" w:rsidRDefault="00F3790A" w:rsidP="00F3790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0E31A07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Termin ważności oferty: 30 dni kalendarzowych od ustalonej końcowej daty składania ofert.</w:t>
      </w:r>
    </w:p>
    <w:p w14:paraId="236A377E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DF920D" w14:textId="1A42F980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Oświadczam, iż:</w:t>
      </w:r>
    </w:p>
    <w:p w14:paraId="67F2C151" w14:textId="77777777" w:rsidR="00F3790A" w:rsidRPr="004161AC" w:rsidRDefault="00F3790A" w:rsidP="00F3790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Oferowany przedmiot dostawy spełnia wymagania określone przedmiotem zapytania ofertowego.</w:t>
      </w:r>
    </w:p>
    <w:p w14:paraId="66EF389C" w14:textId="77777777" w:rsidR="00F3790A" w:rsidRPr="004161AC" w:rsidRDefault="00F3790A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25BA001" w14:textId="77777777" w:rsidR="00F3790A" w:rsidRPr="004161AC" w:rsidRDefault="00F3790A" w:rsidP="00F3790A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lastRenderedPageBreak/>
        <w:t>Oferent nie jest powiązany osobowo lub kapitałowo z Zamawiającym. Przez powiązania kapitałowe lub osobowe rozumie się wzajemne powiązania między beneficjentem (Zamawiającym) lub osobami upoważnionymi do zaciągania zobowiązań w imieniu beneficjenta lub osobami wykonującymi w imieniu beneficjenta czynności związane z przygotowaniem i przeprowadzeniem procedury wyboru wykonawcy, a wykonawcą (Oferentem), polegające w szczególności na:</w:t>
      </w:r>
    </w:p>
    <w:p w14:paraId="1015E5FC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Uczestniczeniu w spółce jako wspólnik spółki cywilnej lub spółki osobowej,</w:t>
      </w:r>
    </w:p>
    <w:p w14:paraId="3324C10D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Posiadaniu co najmniej 10 % udziałów lub akcji,</w:t>
      </w:r>
    </w:p>
    <w:p w14:paraId="240EEBA9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Pełnieniu funkcji członka organu nadzorczego lub zarządzającego, prokurenta, pełnomocnika,</w:t>
      </w:r>
    </w:p>
    <w:p w14:paraId="6B73875C" w14:textId="77777777" w:rsidR="00F3790A" w:rsidRPr="004161AC" w:rsidRDefault="00F3790A" w:rsidP="00F3790A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 lub pozostawanie w innym związku niż wskazane w pkt a-d jeżeli naruszają zasady konkurencyjności.</w:t>
      </w:r>
    </w:p>
    <w:p w14:paraId="4A1CD3E0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F9112A" w14:textId="77777777" w:rsidR="00F3790A" w:rsidRPr="004161AC" w:rsidRDefault="00F3790A" w:rsidP="00F3790A">
      <w:pPr>
        <w:pStyle w:val="Listapunktowana2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4161AC">
        <w:rPr>
          <w:rFonts w:cstheme="minorHAnsi"/>
          <w:sz w:val="24"/>
          <w:szCs w:val="24"/>
          <w:lang w:eastAsia="pl-PL"/>
        </w:rPr>
        <w:t xml:space="preserve">Oferent posiada niezbędne uprawnienia i zasoby niezbędne do niezakłóconej realizacji przedmiotu zamówienia, w szczególności niezbędne środki techniczno-organizacyjne, niezbędne doświadczenie, kwalifikacje oraz potencjał osobowy i finansowy. </w:t>
      </w:r>
    </w:p>
    <w:p w14:paraId="44145B77" w14:textId="77777777" w:rsidR="00F3790A" w:rsidRPr="004161AC" w:rsidRDefault="00F3790A" w:rsidP="00F3790A">
      <w:pPr>
        <w:pStyle w:val="Listapunktowana2"/>
        <w:numPr>
          <w:ilvl w:val="0"/>
          <w:numId w:val="0"/>
        </w:numPr>
        <w:spacing w:after="0" w:line="240" w:lineRule="auto"/>
        <w:ind w:left="720" w:hanging="360"/>
        <w:jc w:val="both"/>
        <w:rPr>
          <w:rFonts w:cstheme="minorHAnsi"/>
          <w:sz w:val="24"/>
          <w:szCs w:val="24"/>
          <w:lang w:eastAsia="pl-PL"/>
        </w:rPr>
      </w:pPr>
    </w:p>
    <w:p w14:paraId="5C05AA96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Oferent zapoznał się z warunkami przystąpienia do zamówienia określonymi w zapytaniu ofertowym oraz uzyskał niezbędne informacje do przygotowania oferty.</w:t>
      </w:r>
    </w:p>
    <w:p w14:paraId="606E2BD5" w14:textId="77777777" w:rsidR="00F3790A" w:rsidRPr="004161AC" w:rsidRDefault="00F3790A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D94876E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uwzględnił w cenie oferty wszystkie koszty wykonania zamówienia i realizacji przyszłego świadczenia umownego.</w:t>
      </w:r>
    </w:p>
    <w:p w14:paraId="461C8D3B" w14:textId="77777777" w:rsidR="00F3790A" w:rsidRPr="004161AC" w:rsidRDefault="00F3790A" w:rsidP="00F379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62FD74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akceptuje termin realizacji zamówienia.</w:t>
      </w:r>
    </w:p>
    <w:p w14:paraId="00A23000" w14:textId="77777777" w:rsidR="00F3790A" w:rsidRPr="004161AC" w:rsidRDefault="00F3790A" w:rsidP="00F379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180FD8" w14:textId="77777777" w:rsidR="00F3790A" w:rsidRPr="004161AC" w:rsidRDefault="00F3790A" w:rsidP="00F37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161AC">
        <w:rPr>
          <w:rFonts w:eastAsia="Times New Roman" w:cstheme="minorHAnsi"/>
          <w:sz w:val="24"/>
          <w:szCs w:val="24"/>
          <w:lang w:eastAsia="pl-PL"/>
        </w:rPr>
        <w:t>Oferent zapoznał się z opisem technicznym i nie wnosi w stosunku do niego żadnych uwag.</w:t>
      </w:r>
    </w:p>
    <w:p w14:paraId="5B24B2E0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EF25C6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88F412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0839E4" w14:textId="77777777" w:rsidR="00F3790A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A1DA7C" w14:textId="77777777" w:rsidR="00F3790A" w:rsidRPr="004161AC" w:rsidRDefault="00F3790A" w:rsidP="00F379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47AE26" w14:textId="77777777" w:rsidR="00F3790A" w:rsidRPr="004161AC" w:rsidRDefault="00F3790A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……………………………………….</w:t>
      </w:r>
    </w:p>
    <w:p w14:paraId="485B8FEE" w14:textId="06C1BB25" w:rsidR="008F34F7" w:rsidRDefault="00F3790A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161AC">
        <w:rPr>
          <w:rFonts w:cstheme="minorHAnsi"/>
          <w:sz w:val="24"/>
          <w:szCs w:val="24"/>
        </w:rPr>
        <w:t>(CZYTELNY podpis, pieczątka firmowa)</w:t>
      </w:r>
    </w:p>
    <w:p w14:paraId="32B03F24" w14:textId="77777777" w:rsidR="002A74A6" w:rsidRDefault="002A74A6" w:rsidP="00F3790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A3D223C" w14:textId="289A0D39" w:rsidR="002A74A6" w:rsidRDefault="002A74A6" w:rsidP="00004C92">
      <w:pPr>
        <w:spacing w:line="278" w:lineRule="auto"/>
        <w:rPr>
          <w:rFonts w:cstheme="minorHAnsi"/>
          <w:sz w:val="24"/>
          <w:szCs w:val="24"/>
        </w:rPr>
      </w:pPr>
    </w:p>
    <w:p w14:paraId="6962F148" w14:textId="77777777" w:rsidR="005F58DC" w:rsidRDefault="005F58DC" w:rsidP="008E13A5">
      <w:pPr>
        <w:spacing w:line="278" w:lineRule="auto"/>
        <w:rPr>
          <w:rFonts w:cstheme="minorHAnsi"/>
          <w:b/>
          <w:i/>
          <w:sz w:val="24"/>
          <w:szCs w:val="24"/>
        </w:rPr>
      </w:pPr>
    </w:p>
    <w:p w14:paraId="134BE220" w14:textId="77777777" w:rsidR="005F58DC" w:rsidRDefault="005F58DC" w:rsidP="008E13A5">
      <w:pPr>
        <w:spacing w:line="278" w:lineRule="auto"/>
        <w:rPr>
          <w:rFonts w:cstheme="minorHAnsi"/>
          <w:b/>
          <w:i/>
          <w:sz w:val="24"/>
          <w:szCs w:val="24"/>
        </w:rPr>
      </w:pPr>
    </w:p>
    <w:p w14:paraId="1B0F3B22" w14:textId="77777777" w:rsidR="005F58DC" w:rsidRDefault="005F58DC" w:rsidP="008E13A5">
      <w:pPr>
        <w:spacing w:line="278" w:lineRule="auto"/>
        <w:rPr>
          <w:rFonts w:cstheme="minorHAnsi"/>
          <w:b/>
          <w:i/>
          <w:sz w:val="24"/>
          <w:szCs w:val="24"/>
        </w:rPr>
      </w:pPr>
    </w:p>
    <w:p w14:paraId="026F399E" w14:textId="77777777" w:rsidR="00B01F14" w:rsidRDefault="00B01F14" w:rsidP="008E13A5">
      <w:pPr>
        <w:spacing w:line="278" w:lineRule="auto"/>
        <w:rPr>
          <w:rFonts w:cstheme="minorHAnsi"/>
          <w:b/>
          <w:i/>
          <w:sz w:val="24"/>
          <w:szCs w:val="24"/>
        </w:rPr>
      </w:pPr>
    </w:p>
    <w:p w14:paraId="6AD76681" w14:textId="77777777" w:rsidR="00B01F14" w:rsidRDefault="00B01F14" w:rsidP="008E13A5">
      <w:pPr>
        <w:spacing w:line="278" w:lineRule="auto"/>
        <w:rPr>
          <w:rFonts w:cstheme="minorHAnsi"/>
          <w:b/>
          <w:i/>
          <w:sz w:val="24"/>
          <w:szCs w:val="24"/>
        </w:rPr>
      </w:pPr>
    </w:p>
    <w:p w14:paraId="305D5AF2" w14:textId="00021474" w:rsidR="008E13A5" w:rsidRPr="008E13A5" w:rsidRDefault="008E13A5" w:rsidP="008E13A5">
      <w:pPr>
        <w:spacing w:line="278" w:lineRule="auto"/>
        <w:rPr>
          <w:rFonts w:cstheme="minorHAnsi"/>
          <w:b/>
          <w:i/>
          <w:sz w:val="24"/>
          <w:szCs w:val="24"/>
        </w:rPr>
      </w:pPr>
      <w:r w:rsidRPr="008E13A5">
        <w:rPr>
          <w:rFonts w:cstheme="minorHAnsi"/>
          <w:b/>
          <w:i/>
          <w:sz w:val="24"/>
          <w:szCs w:val="24"/>
        </w:rPr>
        <w:lastRenderedPageBreak/>
        <w:t>Wykaz zrealizowanych inwestycji</w:t>
      </w:r>
    </w:p>
    <w:p w14:paraId="4D49FC1C" w14:textId="77777777" w:rsidR="008E13A5" w:rsidRPr="008E13A5" w:rsidRDefault="008E13A5" w:rsidP="008E13A5">
      <w:pPr>
        <w:spacing w:line="278" w:lineRule="auto"/>
        <w:rPr>
          <w:rFonts w:cstheme="minorHAnsi"/>
          <w:b/>
          <w:sz w:val="24"/>
          <w:szCs w:val="24"/>
        </w:rPr>
      </w:pPr>
    </w:p>
    <w:p w14:paraId="2A59970A" w14:textId="77777777" w:rsidR="008E13A5" w:rsidRPr="008E13A5" w:rsidRDefault="008E13A5" w:rsidP="008E13A5">
      <w:pPr>
        <w:spacing w:line="278" w:lineRule="auto"/>
        <w:rPr>
          <w:rFonts w:cstheme="minorHAnsi"/>
          <w:b/>
          <w:i/>
          <w:sz w:val="24"/>
          <w:szCs w:val="24"/>
        </w:rPr>
      </w:pPr>
      <w:r w:rsidRPr="008E13A5">
        <w:rPr>
          <w:rFonts w:cstheme="minorHAnsi"/>
          <w:b/>
          <w:sz w:val="24"/>
          <w:szCs w:val="24"/>
        </w:rPr>
        <w:t xml:space="preserve">Wykaz klientów referencyjnych </w:t>
      </w:r>
    </w:p>
    <w:p w14:paraId="4A041E71" w14:textId="77777777" w:rsidR="008E13A5" w:rsidRPr="008E13A5" w:rsidRDefault="008E13A5" w:rsidP="008E13A5">
      <w:pPr>
        <w:spacing w:line="278" w:lineRule="auto"/>
        <w:rPr>
          <w:rFonts w:cstheme="minorHAnsi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"/>
        <w:gridCol w:w="4024"/>
        <w:gridCol w:w="5169"/>
      </w:tblGrid>
      <w:tr w:rsidR="008E13A5" w:rsidRPr="008E13A5" w14:paraId="45C87E26" w14:textId="77777777" w:rsidTr="0033462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10BDA7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487905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Nazwa i adres klienta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7AE5A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Zrealizowana inwestycja</w:t>
            </w:r>
          </w:p>
        </w:tc>
      </w:tr>
      <w:tr w:rsidR="008E13A5" w:rsidRPr="008E13A5" w14:paraId="1EF426B7" w14:textId="77777777" w:rsidTr="0033462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4E46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E70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2891DB59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40A694CE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C57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E13A5" w:rsidRPr="008E13A5" w14:paraId="259E552C" w14:textId="77777777" w:rsidTr="0033462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FD8B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6C6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2C634C7F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0CB02379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96F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E13A5" w:rsidRPr="008E13A5" w14:paraId="5E60D651" w14:textId="77777777" w:rsidTr="0033462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3766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9A9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5362F78F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5FECE8E8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E97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E13A5" w:rsidRPr="008E13A5" w14:paraId="279D1514" w14:textId="77777777" w:rsidTr="0033462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BDC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91E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1BE4B7B5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2C3D82BA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F342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E13A5" w:rsidRPr="008E13A5" w14:paraId="4E88A24C" w14:textId="77777777" w:rsidTr="0033462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5B89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8E13A5">
              <w:rPr>
                <w:rFonts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440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57F497AE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  <w:p w14:paraId="0EFFB432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A79" w14:textId="77777777" w:rsidR="008E13A5" w:rsidRPr="008E13A5" w:rsidRDefault="008E13A5" w:rsidP="008E13A5">
            <w:pPr>
              <w:spacing w:line="278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3FB37234" w14:textId="77777777" w:rsidR="008E13A5" w:rsidRPr="008E13A5" w:rsidRDefault="008E13A5" w:rsidP="008E13A5">
      <w:pPr>
        <w:spacing w:line="278" w:lineRule="auto"/>
        <w:rPr>
          <w:rFonts w:cstheme="minorHAnsi"/>
          <w:i/>
          <w:sz w:val="24"/>
          <w:szCs w:val="24"/>
        </w:rPr>
      </w:pPr>
    </w:p>
    <w:p w14:paraId="62310849" w14:textId="612E9846" w:rsidR="008E13A5" w:rsidRDefault="008E13A5" w:rsidP="008E13A5">
      <w:pPr>
        <w:spacing w:line="278" w:lineRule="auto"/>
        <w:rPr>
          <w:rFonts w:cstheme="minorHAnsi"/>
          <w:i/>
          <w:sz w:val="24"/>
          <w:szCs w:val="24"/>
        </w:rPr>
      </w:pPr>
    </w:p>
    <w:p w14:paraId="5394AD8A" w14:textId="77777777" w:rsidR="005F58DC" w:rsidRPr="008E13A5" w:rsidRDefault="005F58DC" w:rsidP="008E13A5">
      <w:pPr>
        <w:spacing w:line="278" w:lineRule="auto"/>
        <w:rPr>
          <w:rFonts w:cstheme="minorHAnsi"/>
          <w:i/>
          <w:sz w:val="24"/>
          <w:szCs w:val="24"/>
        </w:rPr>
      </w:pPr>
    </w:p>
    <w:p w14:paraId="0E17B8BB" w14:textId="77777777" w:rsidR="008E13A5" w:rsidRPr="008E13A5" w:rsidRDefault="008E13A5" w:rsidP="005F58DC">
      <w:pPr>
        <w:spacing w:line="278" w:lineRule="auto"/>
        <w:jc w:val="right"/>
        <w:rPr>
          <w:rFonts w:cstheme="minorHAnsi"/>
          <w:sz w:val="24"/>
          <w:szCs w:val="24"/>
        </w:rPr>
      </w:pPr>
      <w:r w:rsidRPr="008E13A5">
        <w:rPr>
          <w:rFonts w:cstheme="minorHAnsi"/>
          <w:sz w:val="24"/>
          <w:szCs w:val="24"/>
        </w:rPr>
        <w:t>……………………..…………………………………….</w:t>
      </w:r>
    </w:p>
    <w:p w14:paraId="3F169A1A" w14:textId="77777777" w:rsidR="008E13A5" w:rsidRPr="008E13A5" w:rsidRDefault="008E13A5" w:rsidP="005F58DC">
      <w:pPr>
        <w:spacing w:line="278" w:lineRule="auto"/>
        <w:jc w:val="right"/>
        <w:rPr>
          <w:rFonts w:cstheme="minorHAnsi"/>
          <w:sz w:val="24"/>
          <w:szCs w:val="24"/>
        </w:rPr>
      </w:pPr>
      <w:r w:rsidRPr="008E13A5">
        <w:rPr>
          <w:rFonts w:cstheme="minorHAnsi"/>
          <w:sz w:val="24"/>
          <w:szCs w:val="24"/>
        </w:rPr>
        <w:t>(CZYTELNY podpis, pieczątka firmowa)</w:t>
      </w:r>
    </w:p>
    <w:p w14:paraId="38FA06EB" w14:textId="67D916E0" w:rsidR="008E13A5" w:rsidRPr="00004C92" w:rsidRDefault="008E13A5" w:rsidP="00004C92">
      <w:pPr>
        <w:spacing w:line="278" w:lineRule="auto"/>
        <w:rPr>
          <w:rFonts w:cstheme="minorHAnsi"/>
          <w:sz w:val="24"/>
          <w:szCs w:val="24"/>
        </w:rPr>
      </w:pPr>
    </w:p>
    <w:sectPr w:rsidR="008E13A5" w:rsidRPr="00004C92" w:rsidSect="005F58DC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0847" w14:textId="77777777" w:rsidR="001D3939" w:rsidRDefault="001D3939" w:rsidP="008F34F7">
      <w:pPr>
        <w:spacing w:after="0" w:line="240" w:lineRule="auto"/>
      </w:pPr>
      <w:r>
        <w:separator/>
      </w:r>
    </w:p>
  </w:endnote>
  <w:endnote w:type="continuationSeparator" w:id="0">
    <w:p w14:paraId="5CC68002" w14:textId="77777777" w:rsidR="001D3939" w:rsidRDefault="001D3939" w:rsidP="008F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219048"/>
      <w:docPartObj>
        <w:docPartGallery w:val="Page Numbers (Bottom of Page)"/>
        <w:docPartUnique/>
      </w:docPartObj>
    </w:sdtPr>
    <w:sdtContent>
      <w:p w14:paraId="5BF7EADB" w14:textId="17863C52" w:rsidR="005F58DC" w:rsidRDefault="005F58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7A233" w14:textId="77777777" w:rsidR="005F58DC" w:rsidRDefault="005F5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BEB2" w14:textId="77777777" w:rsidR="001D3939" w:rsidRDefault="001D3939" w:rsidP="008F34F7">
      <w:pPr>
        <w:spacing w:after="0" w:line="240" w:lineRule="auto"/>
      </w:pPr>
      <w:r>
        <w:separator/>
      </w:r>
    </w:p>
  </w:footnote>
  <w:footnote w:type="continuationSeparator" w:id="0">
    <w:p w14:paraId="45434F87" w14:textId="77777777" w:rsidR="001D3939" w:rsidRDefault="001D3939" w:rsidP="008F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4652" w14:textId="3FB61E73" w:rsidR="008F34F7" w:rsidRDefault="008F34F7" w:rsidP="00DC3656">
    <w:pPr>
      <w:pStyle w:val="Nagwek"/>
      <w:jc w:val="center"/>
    </w:pPr>
    <w:r w:rsidRPr="003F2632">
      <w:rPr>
        <w:noProof/>
      </w:rPr>
      <w:drawing>
        <wp:inline distT="0" distB="0" distL="0" distR="0" wp14:anchorId="48BAEB82" wp14:editId="15D95456">
          <wp:extent cx="5760720" cy="457500"/>
          <wp:effectExtent l="0" t="0" r="0" b="0"/>
          <wp:docPr id="1138719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22237" w14:textId="77777777" w:rsidR="008F34F7" w:rsidRDefault="008F3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6A2"/>
    <w:multiLevelType w:val="hybridMultilevel"/>
    <w:tmpl w:val="BE429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6E0ABB"/>
    <w:multiLevelType w:val="hybridMultilevel"/>
    <w:tmpl w:val="DFC8900E"/>
    <w:lvl w:ilvl="0" w:tplc="4E26939A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70C0"/>
      </w:rPr>
    </w:lvl>
    <w:lvl w:ilvl="1" w:tplc="EBE0AC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8417A"/>
    <w:multiLevelType w:val="hybridMultilevel"/>
    <w:tmpl w:val="5DF03D34"/>
    <w:lvl w:ilvl="0" w:tplc="04150017">
      <w:start w:val="1"/>
      <w:numFmt w:val="lowerLetter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0187C"/>
    <w:multiLevelType w:val="hybridMultilevel"/>
    <w:tmpl w:val="ECB0C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6B89"/>
    <w:multiLevelType w:val="hybridMultilevel"/>
    <w:tmpl w:val="AD460A8E"/>
    <w:lvl w:ilvl="0" w:tplc="683A0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B5C27"/>
    <w:multiLevelType w:val="hybridMultilevel"/>
    <w:tmpl w:val="18862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39C5"/>
    <w:multiLevelType w:val="hybridMultilevel"/>
    <w:tmpl w:val="BE429D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E96169"/>
    <w:multiLevelType w:val="hybridMultilevel"/>
    <w:tmpl w:val="9036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46B9"/>
    <w:multiLevelType w:val="multilevel"/>
    <w:tmpl w:val="A79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E0398"/>
    <w:multiLevelType w:val="hybridMultilevel"/>
    <w:tmpl w:val="FAB0D200"/>
    <w:lvl w:ilvl="0" w:tplc="FA484A4E">
      <w:start w:val="1"/>
      <w:numFmt w:val="decimal"/>
      <w:pStyle w:val="Listapunktowana2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1059D"/>
    <w:multiLevelType w:val="hybridMultilevel"/>
    <w:tmpl w:val="00AE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1DD3"/>
    <w:multiLevelType w:val="hybridMultilevel"/>
    <w:tmpl w:val="C02A7D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742E2"/>
    <w:multiLevelType w:val="hybridMultilevel"/>
    <w:tmpl w:val="30AC8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31294"/>
    <w:multiLevelType w:val="hybridMultilevel"/>
    <w:tmpl w:val="B5285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973310B"/>
    <w:multiLevelType w:val="hybridMultilevel"/>
    <w:tmpl w:val="3050CB6C"/>
    <w:lvl w:ilvl="0" w:tplc="39FA9B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457D3"/>
    <w:multiLevelType w:val="hybridMultilevel"/>
    <w:tmpl w:val="25E07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265"/>
    <w:multiLevelType w:val="hybridMultilevel"/>
    <w:tmpl w:val="E880F5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A20E3AC">
      <w:start w:val="1"/>
      <w:numFmt w:val="lowerLetter"/>
      <w:lvlText w:val="%2."/>
      <w:lvlJc w:val="left"/>
      <w:pPr>
        <w:ind w:left="785" w:hanging="360"/>
      </w:pPr>
      <w:rPr>
        <w:rFonts w:asciiTheme="minorHAnsi" w:hAnsi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67B4"/>
    <w:multiLevelType w:val="hybridMultilevel"/>
    <w:tmpl w:val="64A44004"/>
    <w:lvl w:ilvl="0" w:tplc="27507C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  <w:b w:val="0"/>
      </w:rPr>
    </w:lvl>
    <w:lvl w:ilvl="1" w:tplc="02EA0F9C">
      <w:start w:val="1"/>
      <w:numFmt w:val="lowerLetter"/>
      <w:lvlText w:val="%2."/>
      <w:lvlJc w:val="left"/>
      <w:pPr>
        <w:ind w:left="71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E2433E"/>
    <w:multiLevelType w:val="hybridMultilevel"/>
    <w:tmpl w:val="D5C80E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CB7F7A"/>
    <w:multiLevelType w:val="hybridMultilevel"/>
    <w:tmpl w:val="8160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11B64"/>
    <w:multiLevelType w:val="hybridMultilevel"/>
    <w:tmpl w:val="0A78D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ED6148"/>
    <w:multiLevelType w:val="hybridMultilevel"/>
    <w:tmpl w:val="9DF64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991448"/>
    <w:multiLevelType w:val="hybridMultilevel"/>
    <w:tmpl w:val="5F245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7F92"/>
    <w:multiLevelType w:val="hybridMultilevel"/>
    <w:tmpl w:val="F0C8B79E"/>
    <w:lvl w:ilvl="0" w:tplc="B59CA8E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4" w:tplc="EAAC4A4A">
      <w:start w:val="1"/>
      <w:numFmt w:val="lowerLetter"/>
      <w:lvlText w:val="%5)"/>
      <w:lvlJc w:val="left"/>
      <w:pPr>
        <w:ind w:left="64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54D21"/>
    <w:multiLevelType w:val="multilevel"/>
    <w:tmpl w:val="40F2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17698"/>
    <w:multiLevelType w:val="hybridMultilevel"/>
    <w:tmpl w:val="FB8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5324">
    <w:abstractNumId w:val="1"/>
  </w:num>
  <w:num w:numId="2" w16cid:durableId="307639147">
    <w:abstractNumId w:val="22"/>
  </w:num>
  <w:num w:numId="3" w16cid:durableId="975571359">
    <w:abstractNumId w:val="9"/>
  </w:num>
  <w:num w:numId="4" w16cid:durableId="949817095">
    <w:abstractNumId w:val="17"/>
  </w:num>
  <w:num w:numId="5" w16cid:durableId="806977189">
    <w:abstractNumId w:val="16"/>
  </w:num>
  <w:num w:numId="6" w16cid:durableId="926424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945028">
    <w:abstractNumId w:val="14"/>
  </w:num>
  <w:num w:numId="8" w16cid:durableId="1856533155">
    <w:abstractNumId w:val="11"/>
  </w:num>
  <w:num w:numId="9" w16cid:durableId="1084495095">
    <w:abstractNumId w:val="13"/>
  </w:num>
  <w:num w:numId="10" w16cid:durableId="197012996">
    <w:abstractNumId w:val="0"/>
  </w:num>
  <w:num w:numId="11" w16cid:durableId="205143456">
    <w:abstractNumId w:val="23"/>
  </w:num>
  <w:num w:numId="12" w16cid:durableId="1972201690">
    <w:abstractNumId w:val="25"/>
  </w:num>
  <w:num w:numId="13" w16cid:durableId="1160846210">
    <w:abstractNumId w:val="21"/>
  </w:num>
  <w:num w:numId="14" w16cid:durableId="1172180190">
    <w:abstractNumId w:val="20"/>
  </w:num>
  <w:num w:numId="15" w16cid:durableId="890002566">
    <w:abstractNumId w:val="12"/>
  </w:num>
  <w:num w:numId="16" w16cid:durableId="1839416506">
    <w:abstractNumId w:val="6"/>
  </w:num>
  <w:num w:numId="17" w16cid:durableId="1645232056">
    <w:abstractNumId w:val="7"/>
  </w:num>
  <w:num w:numId="18" w16cid:durableId="1503861065">
    <w:abstractNumId w:val="4"/>
  </w:num>
  <w:num w:numId="19" w16cid:durableId="345137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725786">
    <w:abstractNumId w:val="2"/>
  </w:num>
  <w:num w:numId="21" w16cid:durableId="1806388319">
    <w:abstractNumId w:val="10"/>
  </w:num>
  <w:num w:numId="22" w16cid:durableId="1249655088">
    <w:abstractNumId w:val="24"/>
  </w:num>
  <w:num w:numId="23" w16cid:durableId="88893130">
    <w:abstractNumId w:val="8"/>
  </w:num>
  <w:num w:numId="24" w16cid:durableId="1108083229">
    <w:abstractNumId w:val="15"/>
  </w:num>
  <w:num w:numId="25" w16cid:durableId="1019623129">
    <w:abstractNumId w:val="5"/>
  </w:num>
  <w:num w:numId="26" w16cid:durableId="1963491169">
    <w:abstractNumId w:val="18"/>
  </w:num>
  <w:num w:numId="27" w16cid:durableId="1503741129">
    <w:abstractNumId w:val="19"/>
  </w:num>
  <w:num w:numId="28" w16cid:durableId="252588082">
    <w:abstractNumId w:val="3"/>
  </w:num>
  <w:num w:numId="29" w16cid:durableId="1065643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7"/>
    <w:rsid w:val="00004C92"/>
    <w:rsid w:val="000F2C4A"/>
    <w:rsid w:val="001274B1"/>
    <w:rsid w:val="00142240"/>
    <w:rsid w:val="001D3939"/>
    <w:rsid w:val="002444F3"/>
    <w:rsid w:val="002662A4"/>
    <w:rsid w:val="002A74A6"/>
    <w:rsid w:val="002D39DA"/>
    <w:rsid w:val="002E7160"/>
    <w:rsid w:val="003961C2"/>
    <w:rsid w:val="003C3D20"/>
    <w:rsid w:val="004E2524"/>
    <w:rsid w:val="005F58DC"/>
    <w:rsid w:val="00605946"/>
    <w:rsid w:val="00673B9D"/>
    <w:rsid w:val="006849E2"/>
    <w:rsid w:val="006A078A"/>
    <w:rsid w:val="006B2F3F"/>
    <w:rsid w:val="006D48CC"/>
    <w:rsid w:val="00703827"/>
    <w:rsid w:val="007431B6"/>
    <w:rsid w:val="00750EFC"/>
    <w:rsid w:val="007544B7"/>
    <w:rsid w:val="007A4FA6"/>
    <w:rsid w:val="00804DC3"/>
    <w:rsid w:val="00832D40"/>
    <w:rsid w:val="008E13A5"/>
    <w:rsid w:val="008F34F7"/>
    <w:rsid w:val="00914D76"/>
    <w:rsid w:val="00937B7C"/>
    <w:rsid w:val="009D5B91"/>
    <w:rsid w:val="00A00A09"/>
    <w:rsid w:val="00A1238B"/>
    <w:rsid w:val="00AD481B"/>
    <w:rsid w:val="00AD5A15"/>
    <w:rsid w:val="00B01F14"/>
    <w:rsid w:val="00B61FAE"/>
    <w:rsid w:val="00B719F7"/>
    <w:rsid w:val="00BF5283"/>
    <w:rsid w:val="00C03A27"/>
    <w:rsid w:val="00CB7A99"/>
    <w:rsid w:val="00D049C5"/>
    <w:rsid w:val="00D76122"/>
    <w:rsid w:val="00DB0047"/>
    <w:rsid w:val="00DC3656"/>
    <w:rsid w:val="00DE6C7E"/>
    <w:rsid w:val="00DF4029"/>
    <w:rsid w:val="00EC392D"/>
    <w:rsid w:val="00F03411"/>
    <w:rsid w:val="00F3790A"/>
    <w:rsid w:val="00F414AE"/>
    <w:rsid w:val="00F4344F"/>
    <w:rsid w:val="00F64DBF"/>
    <w:rsid w:val="00F6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16EE"/>
  <w15:chartTrackingRefBased/>
  <w15:docId w15:val="{2EA1E351-59ED-416C-98C0-41C5F35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F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4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4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4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F3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4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4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4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4F7"/>
  </w:style>
  <w:style w:type="paragraph" w:styleId="Stopka">
    <w:name w:val="footer"/>
    <w:basedOn w:val="Normalny"/>
    <w:link w:val="StopkaZnak"/>
    <w:uiPriority w:val="99"/>
    <w:unhideWhenUsed/>
    <w:rsid w:val="008F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4F7"/>
  </w:style>
  <w:style w:type="character" w:customStyle="1" w:styleId="AkapitzlistZnak">
    <w:name w:val="Akapit z listą Znak"/>
    <w:link w:val="Akapitzlist"/>
    <w:uiPriority w:val="34"/>
    <w:locked/>
    <w:rsid w:val="008F34F7"/>
  </w:style>
  <w:style w:type="paragraph" w:customStyle="1" w:styleId="Default">
    <w:name w:val="Default"/>
    <w:rsid w:val="008F3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F4344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uiPriority w:val="99"/>
    <w:unhideWhenUsed/>
    <w:rsid w:val="006B2F3F"/>
    <w:pPr>
      <w:numPr>
        <w:numId w:val="3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CB7A99"/>
    <w:rPr>
      <w:color w:val="0563C1" w:themeColor="hyperlink"/>
      <w:u w:val="single"/>
    </w:rPr>
  </w:style>
  <w:style w:type="paragraph" w:customStyle="1" w:styleId="akapitzlistcxsppierwsze">
    <w:name w:val="akapitzlistcxsppierwsze"/>
    <w:basedOn w:val="Normalny"/>
    <w:rsid w:val="00F3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next w:val="Listapunktowana2"/>
    <w:autoRedefine/>
    <w:rsid w:val="00F3790A"/>
    <w:pPr>
      <w:numPr>
        <w:numId w:val="11"/>
      </w:numPr>
      <w:tabs>
        <w:tab w:val="clear" w:pos="720"/>
        <w:tab w:val="num" w:pos="993"/>
      </w:tabs>
      <w:spacing w:after="0" w:line="360" w:lineRule="auto"/>
      <w:ind w:hanging="2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F3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F379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F3790A"/>
    <w:rPr>
      <w:kern w:val="0"/>
      <w:sz w:val="22"/>
      <w:szCs w:val="22"/>
      <w14:ligatures w14:val="none"/>
    </w:rPr>
  </w:style>
  <w:style w:type="paragraph" w:customStyle="1" w:styleId="ust">
    <w:name w:val="ust"/>
    <w:rsid w:val="00F3790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1">
    <w:name w:val="Tekst podstawowy Znak1"/>
    <w:link w:val="Tekstpodstawowy"/>
    <w:locked/>
    <w:rsid w:val="00F3790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akapitzlistcxspnazwisko">
    <w:name w:val="akapitzlistcxspnazwisko"/>
    <w:basedOn w:val="Normalny"/>
    <w:rsid w:val="00F3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2838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Sobolewski</dc:creator>
  <cp:keywords/>
  <dc:description/>
  <cp:lastModifiedBy>Damian Sobolewski</cp:lastModifiedBy>
  <cp:revision>5</cp:revision>
  <dcterms:created xsi:type="dcterms:W3CDTF">2025-04-16T09:05:00Z</dcterms:created>
  <dcterms:modified xsi:type="dcterms:W3CDTF">2025-04-17T09:32:00Z</dcterms:modified>
</cp:coreProperties>
</file>