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Przedmiotu Zamówienia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Tytuł: „Zakup aplikacji DMS (Document Management Software)”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projektu: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"Wzrost konkurencyjności Kancelarii Prawnej poprzez cyfryzację procesów biznesowych"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Przedmiotem zamówienia jest stworzenie, dostarczenie oraz uruchomienie zaawansowanej aplikacji DMS (Document Management Software), która umożliwi optymalizację procesu świadczenia usług prawniczych. Oprogramowanie będzie służyło do zarządzania dokumentacją, mając za zadanie cyfryzację i usprawnienie procesów wewnętrznych zachodzących w Kancelarii Prawnej takich jak tworzenie, przechowywanie, przetwarzanie i archiwizowanie dokumentów, co pozwoli na szybki dostęp do potrzebnych informacji i usprawni przepływ pracy.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Dodatkową kwestią jest wprowadzenie chmury dla lepszej skalowalności i elastyczności, umożliwiającej efektywniejsze zarządzanie dużymi ilościami danych, integracja nowoczesnych narzędzi komunikacyjnych, w tym aplikacji mobilnych, które zapewnią lepszą dostępność usług Kancelarii Prawnej dla klientów, pracowników i współpracowników.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Wdrożenie oprogramowania będzie miało na celu poprawę efektywności i redukcję kosztów operacyjnych, ale również zwiększenie satysfakcji klientów przez oferowanie spersonalizowanych usług i produktów.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Istotnym założeniem jest aby moduł DMS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współpracował z platformą Microsoft 365 funkcjonującą już u Zamawiającego. Wymiana platformy jest możliwa pod warunkiem zapewnienia przez Wykonawcę rozwiązania równoważnego, spełniającego wymagania określone w załączniku A do niniejszego dokumentu.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DMS ma zostać zaprojektowany tak, aby umożliwić kontrolę procesu tworzenia, gromadzenia i przetwarzania dokumentów. Obejmie to również kontrolę obiegu dokumentów, ich udostępniania, współużytkowania i indeksowania dla łatwego wyszukiwania informacji. DMS musi mieć także funkcjonalność wersjonowania dokumentów oraz umożliwiać równoległą pracę nad dokumentami wielu użytkownikom z jednoczesnym zapewnieniem możliwości identyfikacji twórców poszczególnych wersji oraz zmian.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DMS ma zawierać dedykowane oprogramowanie wykonywania cyklicznych kopii zapasowych danych DMS w chmurze, które będą zapisywane na serwerze kopii zapasowych. Oprogramowanie zapewni cykliczne wykonywanie kopii offline danych DMS zgromadzonych na platformie odwzorowując strukturę danych (klient, sprawa, foldery, pliki) w chmurze.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DMS musi pozwalać na wsparcie zarówno standardowych obiegów dokumentów jak i obsługę nietypowych procesów biznesowych dzięki czemu możliwe będzie wykorzystanie jednego systemu do usprawnienia procesów w wielu obszarach pracy Kancelarii Prawnej.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Założenia funkcjonalne dla aplikacji: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będzie mógł uzyskać indywidualny dostęp do dokumentów VDR (Virtual Data Room);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oprogramowanie ma zapewnić wspólną pracę nad dokumentami (pracownicy, współpracownicy, klient);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oprogramowanie ma zapewnić automatyczne katalogowanie/kategoryzowanie danych i informacji (pliki, dokumenty, nazwy dokumentów, kontekst, itp.);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oprogramowanie ma zapewnić bezpieczny dostęp do dokumentów z urządzeń mobilnych (np. dostęp online do akt sprawy w trakcie trwającej rozprawy sądowej), jak również z poziomu przeglądarek www i aplikacji desktop;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oprogramowanie musi umożliwiać łatwiejszą współpracę z Kancelarią oraz śledzenie realizacji zleconych usług;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wszyscy pracownicy i współpracownicy w ramach swoich dostępów będą mieli na bieżąco dostęp do zleconych zadań i będą informowani o nich dzięki systemowi powiadomień mobilnych i mailowych;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ma zapewnić sprawniejszą realizację procesów poprzez definiowanie czasu na ich realizację, automatyczną eskalację i raportowanie informacji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musi zapewniać wyeliminowanie możliwości zagubienia dokumentów, rezygnując z analogowego/papierowego obiegu na rzecz elektronicznego archiwum z pełnym dostępem do skanów i załączników;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współpraca modułu/aplikacji DMS z aktualnym systemem Rejestracji Czasu Pracy (uruchomionego na Microsoft Power Platform) w skład którego wchodzą moduły: Rejestracja Czasu Pracy, Akceptacja Czasu Pracy, Zarządzanie Użytkownikami i ich uprawnieniami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-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musi wykonać wdrożenie modułu/aplikacji DMS z uwzględnieniem importu danych z obecnie użytkowanego systemu wersjonowania dokumentów Time Frame DMS (system działa w oparciu o bazę SQL, w której są przechowywane wszystkie właściwości plików, same pliki są zapisywane na dysku w formie plików, których nazwy to ID przechowywane w bazie SQL).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-2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w ramach umowy opracuje instrukcję użytkowania, przygotuje filmy szkoleniowe oraz zagwarantuje przeprowadzenie cyklu szkoleń pracowników i współpracowników kancelarii SPCG.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-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A - opis parametrów równoważności dla Platformy Microsoft 365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Platforma pracy biurowej w chmurze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umożliwiająca współpracę zespołową oraz zarządzanie danymi i dokumentami w środowisku chmurowym. Oferowane rozwiązanie równoważne powinno spełniać następujące wymagania funkcjonalne i techniczne: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e6ao4ugis2ed" w:id="0"/>
      <w:bookmarkEnd w:id="0"/>
      <w:r w:rsidDel="00000000" w:rsidR="00000000" w:rsidRPr="00000000">
        <w:rPr>
          <w:sz w:val="26"/>
          <w:szCs w:val="26"/>
          <w:rtl w:val="0"/>
        </w:rPr>
        <w:t xml:space="preserve">1. Dostęp do narzędzi biurowych online i offline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Oprogramowanie umożliwiające tworzenie, edycję i zarządzanie dokumentami tekstowymi, arkuszami kalkulacyjnymi, prezentacjami multimedialnymi oraz notatkami.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korzystania zarówno w wersji desktopowej, jak i w przeglądarce internetowej.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fx3txpv441i1" w:id="1"/>
      <w:bookmarkEnd w:id="1"/>
      <w:r w:rsidDel="00000000" w:rsidR="00000000" w:rsidRPr="00000000">
        <w:rPr>
          <w:sz w:val="26"/>
          <w:szCs w:val="26"/>
          <w:rtl w:val="0"/>
        </w:rPr>
        <w:t xml:space="preserve">2. Usługa przechowywania danych w chmurze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Dostępna przestrzeń chmurowa dla każdego użytkownika, nie mniejsza niż 1 TB.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Funkcja synchronizacji plików między urządzeniami oraz możliwość współdzielenia dokumentów.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h0xdl6yfw6mf" w:id="2"/>
      <w:bookmarkEnd w:id="2"/>
      <w:r w:rsidDel="00000000" w:rsidR="00000000" w:rsidRPr="00000000">
        <w:rPr>
          <w:sz w:val="26"/>
          <w:szCs w:val="26"/>
          <w:rtl w:val="0"/>
        </w:rPr>
        <w:t xml:space="preserve">3. Platforma do komunikacji zespołowej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Narzędzie do obsługi wideokonferencji, komunikacji tekstowej i głosowej oraz współdzielenia plików.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tworzenia zespołów roboczych i integracji z innymi aplikacjami biurowymi.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kpre8ieghu0y" w:id="3"/>
      <w:bookmarkEnd w:id="3"/>
      <w:r w:rsidDel="00000000" w:rsidR="00000000" w:rsidRPr="00000000">
        <w:rPr>
          <w:sz w:val="26"/>
          <w:szCs w:val="26"/>
          <w:rtl w:val="0"/>
        </w:rPr>
        <w:t xml:space="preserve">4. System poczty elektronicznej i zarządzania kalendarzami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poczty elektronicznej z przestrzenią nie mniejszą niż 50 GB na użytkownika.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Funkcjonalności obsługi kontaktów oraz integracji z kalendarzami.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1qd27pnw048" w:id="4"/>
      <w:bookmarkEnd w:id="4"/>
      <w:r w:rsidDel="00000000" w:rsidR="00000000" w:rsidRPr="00000000">
        <w:rPr>
          <w:sz w:val="26"/>
          <w:szCs w:val="26"/>
          <w:rtl w:val="0"/>
        </w:rPr>
        <w:t xml:space="preserve">5. System zarządzania dokumentami i witrynami firmowymi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Narzędzie umożliwiające tworzenie przestrzeni roboczych, zarządzanie zasobami i organizację dokumentów w strukturze hierarchicznej.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udostępniania zasobów wybranym grupom użytkowników.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xgpdt26ulg6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Funkcje bezpieczeństwa danych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Szyfrowanie przesyłanych i przechowywanych danych.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Ochrona przed zagrożeniami w sieci, w tym zaawansowane mechanizmy filtrowania wiadomości e-mail i plików.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Zarządzanie tożsamościami użytkowników, w tym wielopoziomowa autoryzacja dostępu.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tkas9bnt1eg0" w:id="6"/>
      <w:bookmarkEnd w:id="6"/>
      <w:r w:rsidDel="00000000" w:rsidR="00000000" w:rsidRPr="00000000">
        <w:rPr>
          <w:sz w:val="26"/>
          <w:szCs w:val="26"/>
          <w:rtl w:val="0"/>
        </w:rPr>
        <w:t xml:space="preserve">7. Mechanizmy zarządzania użytkownikami i dostępem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pozwalająca na centralne zarządzanie użytkownikami, ich urządzeniami oraz uprawnieniami.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Obsługa mechanizmu jednokrotnego logowania (SSO).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49dagfjm4ztd" w:id="7"/>
      <w:bookmarkEnd w:id="7"/>
      <w:r w:rsidDel="00000000" w:rsidR="00000000" w:rsidRPr="00000000">
        <w:rPr>
          <w:sz w:val="26"/>
          <w:szCs w:val="26"/>
          <w:rtl w:val="0"/>
        </w:rPr>
        <w:t xml:space="preserve">8. Panel administracyjny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Narzędzie umożliwiające zarządzanie użytkownikami, licencjami oraz monitoring funkcjonalności platformy.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Wbudowane raportowanie i analiza wykorzystania zasobów.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ay98k1taqc5" w:id="8"/>
      <w:bookmarkEnd w:id="8"/>
      <w:r w:rsidDel="00000000" w:rsidR="00000000" w:rsidRPr="00000000">
        <w:rPr>
          <w:sz w:val="26"/>
          <w:szCs w:val="26"/>
          <w:rtl w:val="0"/>
        </w:rPr>
        <w:t xml:space="preserve">9. Narzędzia do automatyzacji procesów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Funkcjonalność umożliwiająca tworzenie automatycznych przepływów pracy.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budowy dedykowanych aplikacji biznesowych wspierających procesy wewnętrzne.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tmp0wsujp68" w:id="9"/>
      <w:bookmarkEnd w:id="9"/>
      <w:r w:rsidDel="00000000" w:rsidR="00000000" w:rsidRPr="00000000">
        <w:rPr>
          <w:sz w:val="26"/>
          <w:szCs w:val="26"/>
          <w:rtl w:val="0"/>
        </w:rPr>
        <w:t xml:space="preserve">10. Dostępność na wielu urządzeniach i systemach operacyjnych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Obsługa systemów Windows, MacOS, iOS, Android oraz przeglądarek internetowych.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Synchronizacja dokumentów i danych w czasie rzeczywistym między różnymi urządzeniami.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Wymagania dodatkowe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Platforma powinna być dostępna w modelu subskrypcyjnym, umożliwiającym rozliczanie w cyklu miesięcznym lub rocznym.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oczekuje pełnego wsparcia w procesie wdrożenia, szkoleń dla użytkowników oraz świadczenia pomocy technicznej w okresie obowiązywania umowy.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Proponowane rozwiązanie musi być zgodne z obowiązującymi przepisami prawa dotyczącymi ochrony danych osobowych i cyberbezpieczeństwa.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7001"/>
        <w:tab w:val="right" w:leader="none" w:pos="1400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413385"/>
          <wp:effectExtent b="0" l="0" r="0" t="0"/>
          <wp:docPr descr="Zestawienie logotypów zawierające od lewej: znak Funduszy Europejskich z podpisem Fundusze Europejskie dla Małopolski, flaga Rzeczypospolitej Polskiej, flaga Unii Europejskiej z podpisem dofinansowane przez Unię Europejską oraz logotyp Województwa Małopolskiego." id="15" name="image1.jpg"/>
          <a:graphic>
            <a:graphicData uri="http://schemas.openxmlformats.org/drawingml/2006/picture">
              <pic:pic>
                <pic:nvPicPr>
                  <pic:cNvPr descr="Zestawienie logotypów zawierające od lewej: znak Funduszy Europejskich z podpisem Fundusze Europejskie dla Małopolski, flaga Rzeczypospolitej Polskiej, flaga Unii Europejskiej z podpisem dofinansowane przez Unię Europejską oraz logotyp Województwa Małopolskieg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413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0" w:before="240"/>
      <w:outlineLvl w:val="0"/>
    </w:pPr>
    <w:rPr>
      <w:color w:val="2e75b5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0"/>
    <w:qFormat w:val="1"/>
    <w:rsid w:val="00875574"/>
    <w:rPr>
      <w:rFonts w:cs="Times New Roman"/>
      <w:lang w:eastAsia="pl-PL"/>
    </w:rPr>
  </w:style>
  <w:style w:type="paragraph" w:styleId="heading10" w:customStyle="1">
    <w:name w:val="heading 10"/>
    <w:basedOn w:val="Normal0"/>
    <w:next w:val="Normal0"/>
    <w:link w:val="Nagwek1Znak"/>
    <w:uiPriority w:val="9"/>
    <w:qFormat w:val="1"/>
    <w:rsid w:val="0065781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agwek">
    <w:name w:val="header"/>
    <w:basedOn w:val="Normal0"/>
    <w:link w:val="NagwekZnak"/>
    <w:uiPriority w:val="99"/>
    <w:unhideWhenUsed w:val="1"/>
    <w:rsid w:val="0087557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75574"/>
  </w:style>
  <w:style w:type="paragraph" w:styleId="Stopka">
    <w:name w:val="footer"/>
    <w:basedOn w:val="Normal0"/>
    <w:link w:val="StopkaZnak"/>
    <w:uiPriority w:val="99"/>
    <w:unhideWhenUsed w:val="1"/>
    <w:rsid w:val="0087557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75574"/>
  </w:style>
  <w:style w:type="paragraph" w:styleId="Akapitzlist">
    <w:name w:val="List Paragraph"/>
    <w:aliases w:val="Numerowanie,List Paragraph"/>
    <w:basedOn w:val="Normal0"/>
    <w:link w:val="AkapitzlistZnak"/>
    <w:qFormat w:val="1"/>
    <w:rsid w:val="00875574"/>
    <w:pPr>
      <w:ind w:left="720"/>
      <w:contextualSpacing w:val="1"/>
    </w:pPr>
    <w:rPr>
      <w:rFonts w:eastAsia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0"/>
    <w:link w:val="TekstprzypisudolnegoZnak"/>
    <w:uiPriority w:val="99"/>
    <w:rsid w:val="00031E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x-none" w:val="x-none"/>
    </w:rPr>
  </w:style>
  <w:style w:type="character" w:styleId="TekstprzypisudolnegoZnak" w:customStyle="1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031EC3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type="character" w:styleId="Odwoanieprzypisudolnego">
    <w:name w:val="footnote reference"/>
    <w:uiPriority w:val="99"/>
    <w:rsid w:val="00031EC3"/>
    <w:rPr>
      <w:vertAlign w:val="superscript"/>
    </w:rPr>
  </w:style>
  <w:style w:type="paragraph" w:styleId="Tekstdymka">
    <w:name w:val="Balloon Text"/>
    <w:basedOn w:val="Normal0"/>
    <w:link w:val="TekstdymkaZnak"/>
    <w:uiPriority w:val="99"/>
    <w:semiHidden w:val="1"/>
    <w:unhideWhenUsed w:val="1"/>
    <w:rsid w:val="007A027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A0274"/>
    <w:rPr>
      <w:rFonts w:ascii="Segoe UI" w:cs="Segoe UI" w:eastAsia="Calibri" w:hAnsi="Segoe UI"/>
      <w:sz w:val="18"/>
      <w:szCs w:val="18"/>
      <w:lang w:eastAsia="pl-PL"/>
    </w:rPr>
  </w:style>
  <w:style w:type="paragraph" w:styleId="Default" w:customStyle="1">
    <w:name w:val="Default"/>
    <w:rsid w:val="00F3623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Nagwek1Znak" w:customStyle="1">
    <w:name w:val="Nagłówek 1 Znak"/>
    <w:basedOn w:val="Domylnaczcionkaakapitu"/>
    <w:link w:val="heading10"/>
    <w:uiPriority w:val="9"/>
    <w:rsid w:val="00657813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pl-PL"/>
    </w:rPr>
  </w:style>
  <w:style w:type="paragraph" w:styleId="Poprawka">
    <w:name w:val="Revision"/>
    <w:hidden w:val="1"/>
    <w:uiPriority w:val="99"/>
    <w:semiHidden w:val="1"/>
    <w:rsid w:val="00C84C94"/>
    <w:pPr>
      <w:spacing w:after="0" w:line="240" w:lineRule="auto"/>
    </w:pPr>
    <w:rPr>
      <w:rFonts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D2FC2"/>
    <w:rPr>
      <w:sz w:val="16"/>
      <w:szCs w:val="16"/>
    </w:rPr>
  </w:style>
  <w:style w:type="paragraph" w:styleId="Tekstkomentarza">
    <w:name w:val="annotation text"/>
    <w:basedOn w:val="Normal0"/>
    <w:link w:val="TekstkomentarzaZnak"/>
    <w:uiPriority w:val="99"/>
    <w:semiHidden w:val="1"/>
    <w:unhideWhenUsed w:val="1"/>
    <w:rsid w:val="003D2FC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D2FC2"/>
    <w:rPr>
      <w:rFonts w:ascii="Calibri" w:cs="Times New Roman" w:eastAsia="Calibri" w:hAnsi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D2FC2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D2FC2"/>
    <w:rPr>
      <w:rFonts w:ascii="Calibri" w:cs="Times New Roman" w:eastAsia="Calibri" w:hAnsi="Calibri"/>
      <w:b w:val="1"/>
      <w:bCs w:val="1"/>
      <w:sz w:val="20"/>
      <w:szCs w:val="20"/>
      <w:lang w:eastAsia="pl-PL"/>
    </w:rPr>
  </w:style>
  <w:style w:type="character" w:styleId="AkapitzlistZnak" w:customStyle="1">
    <w:name w:val="Akapit z listą Znak"/>
    <w:aliases w:val="Numerowanie Znak,List Paragraph Znak"/>
    <w:link w:val="Akapitzlist"/>
    <w:locked w:val="1"/>
    <w:rsid w:val="00CF6310"/>
    <w:rPr>
      <w:rFonts w:ascii="Calibri" w:cs="Times New Roman" w:eastAsia="Times New Roman" w:hAnsi="Calibri"/>
      <w:lang w:eastAsia="pl-PL"/>
    </w:rPr>
  </w:style>
  <w:style w:type="paragraph" w:styleId="Tekstprzypisukocowego">
    <w:name w:val="endnote text"/>
    <w:basedOn w:val="Normal0"/>
    <w:link w:val="TekstprzypisukocowegoZnak"/>
    <w:uiPriority w:val="99"/>
    <w:semiHidden w:val="1"/>
    <w:unhideWhenUsed w:val="1"/>
    <w:rsid w:val="0051191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11919"/>
    <w:rPr>
      <w:rFonts w:ascii="Calibri" w:cs="Times New Roman" w:eastAsia="Calibri" w:hAnsi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11919"/>
    <w:rPr>
      <w:vertAlign w:val="superscript"/>
    </w:rPr>
  </w:style>
  <w:style w:type="table" w:styleId="Tabela-Siatka">
    <w:name w:val="Table Grid"/>
    <w:basedOn w:val="NormalTable0"/>
    <w:uiPriority w:val="39"/>
    <w:rsid w:val="009046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zSsFMLMTtlHivn/cS2POEdmQ==">CgMxLjAyDmguZTZhbzR1Z2lzMmVkMg5oLmZ4M3R4cHY0NDFpMTIOaC5oMHhkbDZ5Znc2bWYyDmgua3ByZThpZWdodTB5Mg1oLjFxZDI3cG53MDQ4Mg5oLnhncGR0MjZ1bGc2MzIOaC50a2FzOWJudDFlZzAyDmguNDlkYWdmam00enRkMg1oLmF5OThrMXRhcWM1Mg1oLnRtcDB3c3VqcDY4OAByITE2UzI1S2k2UmFBbDNUNEtEY3BBaUhKMnZObWtMMkRqTw==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2025-01-13T09:11:00Z</dcterms:created>
  <dc:creator>Sikora, Ewa (UMWM)</dc:creator>
</cp:coreProperties>
</file>