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B1" w:rsidRDefault="005F0EDF" w:rsidP="008F20B1">
      <w:pPr>
        <w:spacing w:after="0" w:line="312" w:lineRule="auto"/>
        <w:ind w:left="4956"/>
        <w:jc w:val="right"/>
        <w:rPr>
          <w:rFonts w:eastAsia="Trebuchet MS" w:cstheme="minorHAnsi"/>
          <w:bCs/>
        </w:rPr>
      </w:pPr>
      <w:r w:rsidRPr="00267B29">
        <w:rPr>
          <w:rFonts w:eastAsia="Trebuchet MS" w:cstheme="minorHAnsi"/>
          <w:bCs/>
        </w:rPr>
        <w:t xml:space="preserve">Załącznik nr </w:t>
      </w:r>
      <w:r w:rsidR="004C75F5">
        <w:rPr>
          <w:rFonts w:eastAsia="Trebuchet MS" w:cstheme="minorHAnsi"/>
          <w:bCs/>
        </w:rPr>
        <w:t>3</w:t>
      </w:r>
      <w:r w:rsidRPr="00267B29">
        <w:rPr>
          <w:rFonts w:eastAsia="Trebuchet MS" w:cstheme="minorHAnsi"/>
          <w:bCs/>
        </w:rPr>
        <w:t xml:space="preserve"> </w:t>
      </w:r>
    </w:p>
    <w:p w:rsidR="005F0EDF" w:rsidRDefault="005F0EDF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  <w:r w:rsidRPr="00267B29">
        <w:rPr>
          <w:rFonts w:eastAsia="Trebuchet MS" w:cstheme="minorHAnsi"/>
          <w:bCs/>
        </w:rPr>
        <w:t xml:space="preserve">do zapytania ofertowego </w:t>
      </w:r>
      <w:r w:rsidRPr="00267B29">
        <w:rPr>
          <w:rFonts w:eastAsia="Lucida Sans Unicode" w:cstheme="minorHAnsi"/>
          <w:bCs/>
          <w:kern w:val="2"/>
          <w:lang w:eastAsia="ar-SA"/>
        </w:rPr>
        <w:t xml:space="preserve">nr </w:t>
      </w:r>
      <w:r w:rsidR="0050011A">
        <w:rPr>
          <w:rFonts w:eastAsia="Lucida Sans Unicode" w:cstheme="minorHAnsi"/>
          <w:bCs/>
          <w:kern w:val="2"/>
          <w:lang w:eastAsia="ar-SA"/>
        </w:rPr>
        <w:t>1</w:t>
      </w:r>
      <w:r w:rsidR="004845F3">
        <w:rPr>
          <w:rFonts w:eastAsia="Lucida Sans Unicode" w:cstheme="minorHAnsi"/>
          <w:bCs/>
          <w:kern w:val="2"/>
          <w:lang w:eastAsia="ar-SA"/>
        </w:rPr>
        <w:t>A</w:t>
      </w:r>
      <w:r w:rsidR="0050011A">
        <w:rPr>
          <w:rFonts w:eastAsia="Lucida Sans Unicode" w:cstheme="minorHAnsi"/>
          <w:bCs/>
          <w:kern w:val="2"/>
          <w:lang w:eastAsia="ar-SA"/>
        </w:rPr>
        <w:t>/2025</w:t>
      </w:r>
    </w:p>
    <w:p w:rsidR="004376FB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p w:rsidR="004376FB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p w:rsidR="004376FB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p w:rsidR="004376FB" w:rsidRPr="00267B29" w:rsidRDefault="004376FB" w:rsidP="008F20B1">
      <w:pPr>
        <w:spacing w:after="0" w:line="312" w:lineRule="auto"/>
        <w:ind w:left="4956"/>
        <w:jc w:val="right"/>
        <w:rPr>
          <w:rFonts w:eastAsia="Lucida Sans Unicode" w:cstheme="minorHAnsi"/>
          <w:bCs/>
          <w:kern w:val="2"/>
          <w:lang w:eastAsia="ar-SA"/>
        </w:rPr>
      </w:pPr>
    </w:p>
    <w:tbl>
      <w:tblPr>
        <w:tblStyle w:val="Tabela-Siatka"/>
        <w:tblW w:w="9067" w:type="dxa"/>
        <w:tblLook w:val="04A0"/>
      </w:tblPr>
      <w:tblGrid>
        <w:gridCol w:w="704"/>
        <w:gridCol w:w="4933"/>
        <w:gridCol w:w="1701"/>
        <w:gridCol w:w="1729"/>
      </w:tblGrid>
      <w:tr w:rsidR="004376FB" w:rsidTr="004376FB">
        <w:tc>
          <w:tcPr>
            <w:tcW w:w="704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Lp.</w:t>
            </w:r>
          </w:p>
        </w:tc>
        <w:tc>
          <w:tcPr>
            <w:tcW w:w="4933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usługa</w:t>
            </w:r>
          </w:p>
        </w:tc>
        <w:tc>
          <w:tcPr>
            <w:tcW w:w="1701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Cena netto</w:t>
            </w:r>
          </w:p>
        </w:tc>
        <w:tc>
          <w:tcPr>
            <w:tcW w:w="1729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Cena brutto</w:t>
            </w:r>
          </w:p>
        </w:tc>
      </w:tr>
      <w:tr w:rsidR="004376FB" w:rsidTr="004376FB">
        <w:tc>
          <w:tcPr>
            <w:tcW w:w="704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1.</w:t>
            </w:r>
          </w:p>
        </w:tc>
        <w:tc>
          <w:tcPr>
            <w:tcW w:w="4933" w:type="dxa"/>
          </w:tcPr>
          <w:p w:rsidR="004376FB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Prace zewnętrzne</w:t>
            </w:r>
          </w:p>
        </w:tc>
        <w:tc>
          <w:tcPr>
            <w:tcW w:w="1701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4376FB" w:rsidTr="004376FB">
        <w:tc>
          <w:tcPr>
            <w:tcW w:w="704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2.</w:t>
            </w:r>
          </w:p>
        </w:tc>
        <w:tc>
          <w:tcPr>
            <w:tcW w:w="4933" w:type="dxa"/>
          </w:tcPr>
          <w:p w:rsidR="004376FB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t>Roboty wykończeniowe wewnętrzne</w:t>
            </w:r>
          </w:p>
        </w:tc>
        <w:tc>
          <w:tcPr>
            <w:tcW w:w="1701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4376FB" w:rsidTr="004376FB">
        <w:tc>
          <w:tcPr>
            <w:tcW w:w="704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3.</w:t>
            </w:r>
          </w:p>
        </w:tc>
        <w:tc>
          <w:tcPr>
            <w:tcW w:w="4933" w:type="dxa"/>
          </w:tcPr>
          <w:p w:rsidR="004376FB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t>Sauny</w:t>
            </w:r>
          </w:p>
        </w:tc>
        <w:tc>
          <w:tcPr>
            <w:tcW w:w="1701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4376FB" w:rsidTr="004376FB">
        <w:tc>
          <w:tcPr>
            <w:tcW w:w="704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4.</w:t>
            </w:r>
          </w:p>
        </w:tc>
        <w:tc>
          <w:tcPr>
            <w:tcW w:w="4933" w:type="dxa"/>
          </w:tcPr>
          <w:p w:rsidR="004376FB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t>Pomieszczenie jacuzzi</w:t>
            </w:r>
          </w:p>
        </w:tc>
        <w:tc>
          <w:tcPr>
            <w:tcW w:w="1701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79686D" w:rsidTr="004376FB">
        <w:tc>
          <w:tcPr>
            <w:tcW w:w="704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5.</w:t>
            </w:r>
          </w:p>
        </w:tc>
        <w:tc>
          <w:tcPr>
            <w:tcW w:w="4933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</w:pPr>
            <w:r>
              <w:t>Remont byłego pomieszczenia opału – Remont byłego pomieszczenia opału – dostosowanie na potrzeby przebieralni</w:t>
            </w:r>
          </w:p>
        </w:tc>
        <w:tc>
          <w:tcPr>
            <w:tcW w:w="1701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79686D" w:rsidTr="004376FB">
        <w:tc>
          <w:tcPr>
            <w:tcW w:w="704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6.</w:t>
            </w:r>
          </w:p>
        </w:tc>
        <w:tc>
          <w:tcPr>
            <w:tcW w:w="4933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</w:pPr>
            <w:r>
              <w:t xml:space="preserve">Remont pralni wraz z zapleczem socjalnym – remont zaplecza technicznego sauny i jacuzzi (przebieralnia wraz z pralnią dedykowaną dla strefy </w:t>
            </w:r>
            <w:proofErr w:type="spellStart"/>
            <w:r>
              <w:t>spa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79686D" w:rsidTr="004376FB">
        <w:tc>
          <w:tcPr>
            <w:tcW w:w="704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7.</w:t>
            </w:r>
          </w:p>
        </w:tc>
        <w:tc>
          <w:tcPr>
            <w:tcW w:w="4933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</w:pPr>
            <w:r>
              <w:t>Remont korytarza i klatki schodowej</w:t>
            </w:r>
          </w:p>
        </w:tc>
        <w:tc>
          <w:tcPr>
            <w:tcW w:w="1701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79686D" w:rsidTr="004376FB">
        <w:tc>
          <w:tcPr>
            <w:tcW w:w="704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8.</w:t>
            </w:r>
          </w:p>
        </w:tc>
        <w:tc>
          <w:tcPr>
            <w:tcW w:w="4933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</w:pPr>
            <w:r>
              <w:t xml:space="preserve">Pomieszczenie pod klatką schodową - magazyn artykułów dedykowanych dla strefy </w:t>
            </w:r>
            <w:proofErr w:type="spellStart"/>
            <w:r>
              <w:t>spa</w:t>
            </w:r>
            <w:proofErr w:type="spellEnd"/>
            <w:r>
              <w:t xml:space="preserve"> (ręczników, szlafroków, jednorazowego obuwia i kosmetyków)</w:t>
            </w:r>
          </w:p>
        </w:tc>
        <w:tc>
          <w:tcPr>
            <w:tcW w:w="1701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79686D" w:rsidTr="004376FB">
        <w:tc>
          <w:tcPr>
            <w:tcW w:w="704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9.</w:t>
            </w:r>
          </w:p>
        </w:tc>
        <w:tc>
          <w:tcPr>
            <w:tcW w:w="4933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</w:pPr>
            <w:r>
              <w:t>Stolarka drzwiowa</w:t>
            </w:r>
          </w:p>
        </w:tc>
        <w:tc>
          <w:tcPr>
            <w:tcW w:w="1701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79686D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  <w:tr w:rsidR="004376FB" w:rsidTr="004376FB">
        <w:tc>
          <w:tcPr>
            <w:tcW w:w="704" w:type="dxa"/>
          </w:tcPr>
          <w:p w:rsidR="004376FB" w:rsidRDefault="0079686D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10.</w:t>
            </w:r>
          </w:p>
        </w:tc>
        <w:tc>
          <w:tcPr>
            <w:tcW w:w="4933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Suma</w:t>
            </w:r>
          </w:p>
        </w:tc>
        <w:tc>
          <w:tcPr>
            <w:tcW w:w="1701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  <w:tc>
          <w:tcPr>
            <w:tcW w:w="1729" w:type="dxa"/>
          </w:tcPr>
          <w:p w:rsidR="004376FB" w:rsidRDefault="004376FB" w:rsidP="00B81CAE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</w:tc>
      </w:tr>
    </w:tbl>
    <w:p w:rsidR="005F0EDF" w:rsidRPr="00267B29" w:rsidRDefault="005F0EDF" w:rsidP="005F0EDF">
      <w:pPr>
        <w:spacing w:after="0" w:line="312" w:lineRule="auto"/>
        <w:ind w:left="-426" w:firstLine="708"/>
        <w:jc w:val="right"/>
        <w:rPr>
          <w:rFonts w:eastAsia="Trebuchet MS" w:cstheme="minorHAnsi"/>
          <w:bCs/>
          <w:lang w:eastAsia="pl-PL"/>
        </w:rPr>
      </w:pPr>
      <w:r w:rsidRPr="00267B29">
        <w:rPr>
          <w:rFonts w:eastAsia="Trebuchet MS" w:cstheme="minorHAnsi"/>
          <w:bCs/>
          <w:lang w:eastAsia="pl-PL"/>
        </w:rPr>
        <w:t xml:space="preserve"> </w:t>
      </w:r>
    </w:p>
    <w:tbl>
      <w:tblPr>
        <w:tblStyle w:val="Tabela-Siatka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A77775" w:rsidTr="004376FB">
        <w:trPr>
          <w:trHeight w:val="1739"/>
        </w:trPr>
        <w:tc>
          <w:tcPr>
            <w:tcW w:w="4643" w:type="dxa"/>
          </w:tcPr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 w:rsidRPr="00A7445D">
              <w:rPr>
                <w:rFonts w:eastAsia="Trebuchet MS" w:cstheme="minorHAnsi"/>
                <w:lang w:eastAsia="pl-PL"/>
              </w:rPr>
              <w:t>…………………………………….</w:t>
            </w: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rPr>
                <w:rFonts w:eastAsia="Trebuchet MS" w:cstheme="minorHAnsi"/>
                <w:lang w:eastAsia="pl-PL"/>
              </w:rPr>
            </w:pPr>
            <w:r w:rsidRPr="00A7445D">
              <w:rPr>
                <w:rFonts w:eastAsia="Trebuchet MS" w:cstheme="minorHAnsi"/>
                <w:i/>
                <w:lang w:eastAsia="pl-PL"/>
              </w:rPr>
              <w:t>(miejscowość, data)</w:t>
            </w:r>
          </w:p>
        </w:tc>
        <w:tc>
          <w:tcPr>
            <w:tcW w:w="4643" w:type="dxa"/>
          </w:tcPr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Default="00A77775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………………………………………………..</w:t>
            </w: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  <w:r>
              <w:rPr>
                <w:rFonts w:eastAsia="Trebuchet MS" w:cstheme="minorHAnsi"/>
                <w:lang w:eastAsia="pl-PL"/>
              </w:rPr>
              <w:t>(podpis wykonawcy)</w:t>
            </w: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4376FB" w:rsidRDefault="004376FB" w:rsidP="0086704F">
            <w:pPr>
              <w:tabs>
                <w:tab w:val="left" w:pos="0"/>
              </w:tabs>
              <w:spacing w:line="312" w:lineRule="auto"/>
              <w:ind w:left="708" w:hanging="708"/>
              <w:jc w:val="right"/>
              <w:rPr>
                <w:rFonts w:eastAsia="Trebuchet MS" w:cstheme="minorHAnsi"/>
                <w:lang w:eastAsia="pl-PL"/>
              </w:rPr>
            </w:pPr>
          </w:p>
          <w:p w:rsidR="00A77775" w:rsidRPr="00A77775" w:rsidRDefault="00A77775" w:rsidP="00A77775">
            <w:pPr>
              <w:tabs>
                <w:tab w:val="left" w:pos="0"/>
              </w:tabs>
              <w:spacing w:line="312" w:lineRule="auto"/>
              <w:jc w:val="right"/>
              <w:rPr>
                <w:rFonts w:eastAsia="Trebuchet MS" w:cstheme="minorHAnsi"/>
                <w:i/>
                <w:iCs/>
                <w:lang w:eastAsia="pl-PL"/>
              </w:rPr>
            </w:pPr>
          </w:p>
        </w:tc>
      </w:tr>
    </w:tbl>
    <w:p w:rsidR="005F0EDF" w:rsidRPr="00267B29" w:rsidRDefault="005F0EDF" w:rsidP="00A77775">
      <w:pPr>
        <w:spacing w:after="0" w:line="312" w:lineRule="auto"/>
        <w:jc w:val="both"/>
        <w:rPr>
          <w:rFonts w:eastAsia="Trebuchet MS" w:cstheme="minorHAnsi"/>
          <w:lang w:eastAsia="pl-PL"/>
        </w:rPr>
      </w:pPr>
    </w:p>
    <w:sectPr w:rsidR="005F0EDF" w:rsidRPr="00267B29" w:rsidSect="00551A5C">
      <w:headerReference w:type="default" r:id="rId6"/>
      <w:footerReference w:type="default" r:id="rId7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DB" w:rsidRDefault="00C34DDB" w:rsidP="000A7387">
      <w:pPr>
        <w:spacing w:after="0" w:line="240" w:lineRule="auto"/>
      </w:pPr>
      <w:r>
        <w:separator/>
      </w:r>
    </w:p>
  </w:endnote>
  <w:endnote w:type="continuationSeparator" w:id="0">
    <w:p w:rsidR="00C34DDB" w:rsidRDefault="00C34DDB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4A" w:rsidRDefault="00303B67" w:rsidP="00303B67">
    <w:pPr>
      <w:pStyle w:val="Stopka"/>
      <w:jc w:val="center"/>
    </w:pPr>
    <w:r w:rsidRPr="00C86E59">
      <w:rPr>
        <w:sz w:val="20"/>
        <w:szCs w:val="20"/>
      </w:rPr>
      <w:t xml:space="preserve">Dotyczy projektu nr KPOD.01.03-IW.01-7233/24, pt. </w:t>
    </w:r>
    <w:r w:rsidRPr="00C86E59">
      <w:rPr>
        <w:rFonts w:eastAsia="Lucida Sans Unicode" w:cstheme="minorHAnsi"/>
        <w:kern w:val="2"/>
        <w:sz w:val="20"/>
        <w:szCs w:val="20"/>
        <w:lang w:eastAsia="ar-SA"/>
      </w:rPr>
      <w:t>„</w:t>
    </w:r>
    <w:r w:rsidRPr="00C86E59">
      <w:rPr>
        <w:sz w:val="20"/>
        <w:szCs w:val="20"/>
      </w:rPr>
      <w:t xml:space="preserve">Rozbudowa działalności Ośrodka </w:t>
    </w:r>
    <w:proofErr w:type="spellStart"/>
    <w:r w:rsidRPr="00C86E59">
      <w:rPr>
        <w:sz w:val="20"/>
        <w:szCs w:val="20"/>
      </w:rPr>
      <w:t>Krechowiak</w:t>
    </w:r>
    <w:proofErr w:type="spellEnd"/>
    <w:r w:rsidRPr="00C86E59">
      <w:rPr>
        <w:sz w:val="20"/>
        <w:szCs w:val="20"/>
      </w:rPr>
      <w:t xml:space="preserve"> poprzez stworzenie strefy relaksu - SPA w regionie 2, w województwie podlaskim”.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DB" w:rsidRDefault="00C34DDB" w:rsidP="000A7387">
      <w:pPr>
        <w:spacing w:after="0" w:line="240" w:lineRule="auto"/>
      </w:pPr>
      <w:r>
        <w:separator/>
      </w:r>
    </w:p>
  </w:footnote>
  <w:footnote w:type="continuationSeparator" w:id="0">
    <w:p w:rsidR="00C34DDB" w:rsidRDefault="00C34DDB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59" w:rsidRDefault="00AE2259" w:rsidP="00AE2259">
    <w:pPr>
      <w:spacing w:after="120" w:line="276" w:lineRule="auto"/>
      <w:rPr>
        <w:rFonts w:ascii="Calibri" w:eastAsia="Times New Roman" w:hAnsi="Calibri" w:cs="Calibri"/>
        <w:b/>
        <w:bCs/>
        <w:sz w:val="20"/>
        <w:szCs w:val="24"/>
        <w:lang w:eastAsia="pl-PL"/>
      </w:rPr>
    </w:pPr>
    <w:r w:rsidRPr="00F42555">
      <w:rPr>
        <w:noProof/>
        <w:lang w:eastAsia="pl-PL"/>
      </w:rPr>
      <w:drawing>
        <wp:inline distT="0" distB="0" distL="0" distR="0">
          <wp:extent cx="5760085" cy="361275"/>
          <wp:effectExtent l="19050" t="0" r="0" b="0"/>
          <wp:docPr id="4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w16="http://schemas.microsoft.com/office/word/2018/wordml" xmlns:w16sdtdh="http://schemas.microsoft.com/office/word/2020/wordml/sdtdatahash" xmlns:w16cex="http://schemas.microsoft.com/office/word/2018/wordml/cex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g="http://schemas.microsoft.com/office/word/2010/wordprocessingGroup" xmlns:wpc="http://schemas.microsoft.com/office/word/2010/wordprocessingCanvas" xmlns:wps="http://schemas.microsoft.com/office/word/2010/wordprocessingShape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cx="http://schemas.microsoft.com/office/drawing/2014/chartex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259" w:rsidRPr="00F42555" w:rsidRDefault="00AE2259" w:rsidP="00AE2259">
    <w:pPr>
      <w:spacing w:after="120" w:line="276" w:lineRule="auto"/>
      <w:rPr>
        <w:rFonts w:ascii="Calibri" w:eastAsia="Times New Roman" w:hAnsi="Calibri" w:cs="Calibri"/>
        <w:b/>
        <w:bCs/>
        <w:sz w:val="20"/>
        <w:szCs w:val="24"/>
        <w:lang w:eastAsia="pl-PL"/>
      </w:rPr>
    </w:pPr>
    <w:r w:rsidRPr="00F42555">
      <w:rPr>
        <w:rFonts w:ascii="Calibri" w:eastAsia="Times New Roman" w:hAnsi="Calibri" w:cs="Calibri"/>
        <w:b/>
        <w:bCs/>
        <w:sz w:val="20"/>
        <w:szCs w:val="24"/>
        <w:lang w:eastAsia="pl-PL"/>
      </w:rPr>
      <w:t>Krajowy Plan Odbudowy i Zwiększania Odporności</w:t>
    </w:r>
  </w:p>
  <w:p w:rsidR="00AE2259" w:rsidRPr="00F42555" w:rsidRDefault="00AE2259" w:rsidP="00AE2259">
    <w:pPr>
      <w:spacing w:before="120" w:after="240" w:line="276" w:lineRule="auto"/>
      <w:rPr>
        <w:rFonts w:ascii="Calibri" w:eastAsia="Times New Roman" w:hAnsi="Calibri" w:cs="Calibri"/>
        <w:b/>
        <w:bCs/>
        <w:sz w:val="20"/>
        <w:szCs w:val="24"/>
        <w:lang w:eastAsia="pl-PL"/>
      </w:rPr>
    </w:pPr>
    <w:r w:rsidRPr="00F42555">
      <w:rPr>
        <w:rFonts w:ascii="Calibri" w:eastAsia="Times New Roman" w:hAnsi="Calibri" w:cs="Calibri"/>
        <w:b/>
        <w:bCs/>
        <w:sz w:val="20"/>
        <w:szCs w:val="24"/>
        <w:lang w:eastAsia="pl-PL"/>
      </w:rPr>
      <w:t>A1.2.1 Inwestycje dla przedsiębiorstw w produkty, usługi i kompetencje pracowników oraz kadry związane z dywersyfikacją działalności.</w:t>
    </w:r>
  </w:p>
  <w:p w:rsidR="00D5197A" w:rsidRPr="00AE2259" w:rsidRDefault="00D5197A" w:rsidP="00AE22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C4FE6"/>
    <w:rsid w:val="0009654A"/>
    <w:rsid w:val="000A7387"/>
    <w:rsid w:val="000B1013"/>
    <w:rsid w:val="00132958"/>
    <w:rsid w:val="001A491F"/>
    <w:rsid w:val="001C7CA0"/>
    <w:rsid w:val="00267B29"/>
    <w:rsid w:val="00303B67"/>
    <w:rsid w:val="004376FB"/>
    <w:rsid w:val="004845F3"/>
    <w:rsid w:val="004C2159"/>
    <w:rsid w:val="004C75F5"/>
    <w:rsid w:val="004E150B"/>
    <w:rsid w:val="0050011A"/>
    <w:rsid w:val="00551A5C"/>
    <w:rsid w:val="005F0EDF"/>
    <w:rsid w:val="006C4FE6"/>
    <w:rsid w:val="006E050A"/>
    <w:rsid w:val="00793D20"/>
    <w:rsid w:val="0079686D"/>
    <w:rsid w:val="00896F95"/>
    <w:rsid w:val="008F20B1"/>
    <w:rsid w:val="00982317"/>
    <w:rsid w:val="009F7914"/>
    <w:rsid w:val="00A77775"/>
    <w:rsid w:val="00AE2259"/>
    <w:rsid w:val="00AE66E3"/>
    <w:rsid w:val="00B06A1D"/>
    <w:rsid w:val="00BF7B0C"/>
    <w:rsid w:val="00C34DDB"/>
    <w:rsid w:val="00C65700"/>
    <w:rsid w:val="00CA6256"/>
    <w:rsid w:val="00CE27B6"/>
    <w:rsid w:val="00D5197A"/>
    <w:rsid w:val="00D80D75"/>
    <w:rsid w:val="00DA1541"/>
    <w:rsid w:val="00E2114A"/>
    <w:rsid w:val="00E241D8"/>
    <w:rsid w:val="00E32827"/>
    <w:rsid w:val="00E6466D"/>
    <w:rsid w:val="00F60DF3"/>
    <w:rsid w:val="00F74EFD"/>
    <w:rsid w:val="00F827E3"/>
    <w:rsid w:val="00FC00B4"/>
    <w:rsid w:val="00FF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7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Lenovo</cp:lastModifiedBy>
  <cp:revision>2</cp:revision>
  <cp:lastPrinted>2020-03-12T10:42:00Z</cp:lastPrinted>
  <dcterms:created xsi:type="dcterms:W3CDTF">2025-04-03T14:41:00Z</dcterms:created>
  <dcterms:modified xsi:type="dcterms:W3CDTF">2025-04-03T14:41:00Z</dcterms:modified>
</cp:coreProperties>
</file>