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29D8" w14:textId="77777777" w:rsidR="009B594B" w:rsidRPr="009B594B" w:rsidRDefault="009B594B" w:rsidP="009B594B">
      <w:pPr>
        <w:spacing w:line="259" w:lineRule="auto"/>
        <w:rPr>
          <w:rFonts w:cstheme="minorHAnsi"/>
          <w:color w:val="000000" w:themeColor="text1"/>
          <w:kern w:val="0"/>
          <w:sz w:val="20"/>
          <w:szCs w:val="20"/>
          <w14:ligatures w14:val="none"/>
        </w:rPr>
      </w:pPr>
    </w:p>
    <w:p w14:paraId="0CFC13F2" w14:textId="77777777" w:rsidR="009B594B" w:rsidRPr="009B594B" w:rsidRDefault="009B594B" w:rsidP="009B594B">
      <w:pPr>
        <w:spacing w:line="259" w:lineRule="auto"/>
        <w:jc w:val="right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bookmarkStart w:id="0" w:name="_Hlk194560605"/>
    </w:p>
    <w:p w14:paraId="3D95E18A" w14:textId="77777777" w:rsidR="009B594B" w:rsidRPr="009B594B" w:rsidRDefault="009B594B" w:rsidP="009B594B">
      <w:pPr>
        <w:spacing w:line="259" w:lineRule="auto"/>
        <w:jc w:val="right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r w:rsidRPr="009B594B">
        <w:rPr>
          <w:rFonts w:eastAsia="Times New Roman" w:cstheme="minorHAnsi"/>
          <w:b/>
          <w:kern w:val="0"/>
          <w:sz w:val="20"/>
          <w:szCs w:val="20"/>
          <w14:ligatures w14:val="none"/>
        </w:rPr>
        <w:t>Załącznik nr 5 do Zapytania ofertowego</w:t>
      </w:r>
    </w:p>
    <w:p w14:paraId="39FA2E92" w14:textId="77777777" w:rsidR="009B594B" w:rsidRPr="009B594B" w:rsidRDefault="009B594B" w:rsidP="009B594B">
      <w:pPr>
        <w:spacing w:after="0" w:line="259" w:lineRule="auto"/>
        <w:jc w:val="center"/>
        <w:rPr>
          <w:rFonts w:cstheme="minorHAnsi"/>
          <w:b/>
          <w:kern w:val="0"/>
          <w:sz w:val="20"/>
          <w:szCs w:val="20"/>
          <w14:ligatures w14:val="none"/>
        </w:rPr>
      </w:pPr>
      <w:r w:rsidRPr="009B594B">
        <w:rPr>
          <w:rFonts w:cstheme="minorHAnsi"/>
          <w:b/>
          <w:kern w:val="0"/>
          <w:sz w:val="20"/>
          <w:szCs w:val="20"/>
          <w14:ligatures w14:val="none"/>
        </w:rPr>
        <w:t>PARAMETRY TECHNICZNO-UŻYTKOWE PRZEDMIOTU ZAMÓWIENIA</w:t>
      </w:r>
      <w:bookmarkEnd w:id="0"/>
    </w:p>
    <w:p w14:paraId="4DD95CCC" w14:textId="77777777" w:rsidR="009B594B" w:rsidRPr="009B594B" w:rsidRDefault="009B594B" w:rsidP="009B594B">
      <w:pPr>
        <w:spacing w:line="259" w:lineRule="auto"/>
        <w:jc w:val="center"/>
        <w:rPr>
          <w:rFonts w:cstheme="minorHAnsi"/>
          <w:kern w:val="0"/>
          <w:sz w:val="20"/>
          <w:szCs w:val="20"/>
          <w14:ligatures w14:val="none"/>
        </w:rPr>
      </w:pPr>
      <w:bookmarkStart w:id="1" w:name="_Hlk75784082"/>
      <w:r w:rsidRPr="009B594B">
        <w:rPr>
          <w:rFonts w:cstheme="minorHAnsi"/>
          <w:kern w:val="0"/>
          <w:sz w:val="20"/>
          <w:szCs w:val="20"/>
          <w14:ligatures w14:val="none"/>
        </w:rPr>
        <w:t>(należy potwierdzić spełnienie parametrów technicznych)</w:t>
      </w:r>
    </w:p>
    <w:p w14:paraId="26C9DC12" w14:textId="77777777" w:rsidR="009B594B" w:rsidRPr="009B594B" w:rsidRDefault="009B594B" w:rsidP="009B594B">
      <w:pPr>
        <w:spacing w:line="259" w:lineRule="auto"/>
        <w:jc w:val="center"/>
        <w:rPr>
          <w:rFonts w:cstheme="minorHAnsi"/>
          <w:kern w:val="0"/>
          <w:sz w:val="20"/>
          <w:szCs w:val="20"/>
          <w14:ligatures w14:val="none"/>
        </w:rPr>
      </w:pPr>
    </w:p>
    <w:tbl>
      <w:tblPr>
        <w:tblW w:w="1010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504"/>
        <w:gridCol w:w="4176"/>
        <w:gridCol w:w="1418"/>
        <w:gridCol w:w="1220"/>
      </w:tblGrid>
      <w:tr w:rsidR="009B594B" w:rsidRPr="009B594B" w14:paraId="2D6EA661" w14:textId="77777777" w:rsidTr="00F60146">
        <w:trPr>
          <w:trHeight w:val="1092"/>
        </w:trPr>
        <w:tc>
          <w:tcPr>
            <w:tcW w:w="7462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90C6FD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Wymagane parametry przez Zamawiającego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2B41A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Potwierdzenie zaoferowania parametrów przez Wykonawcę poprzez wpisanie odpowiednio TAK/NIE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F82867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Uwagi </w:t>
            </w:r>
          </w:p>
        </w:tc>
      </w:tr>
      <w:tr w:rsidR="009B594B" w:rsidRPr="009B594B" w14:paraId="5DA0FB21" w14:textId="77777777" w:rsidTr="00F60146">
        <w:trPr>
          <w:trHeight w:val="1560"/>
        </w:trPr>
        <w:tc>
          <w:tcPr>
            <w:tcW w:w="7462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F1B4D4" w14:textId="77777777" w:rsidR="009B594B" w:rsidRPr="009B594B" w:rsidRDefault="009B594B" w:rsidP="009B5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2D779" w14:textId="77777777" w:rsidR="009B594B" w:rsidRPr="009B594B" w:rsidRDefault="009B594B" w:rsidP="009B5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701081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(numer strony i punktu w dodatkowej specyfikacji technicznej)</w:t>
            </w:r>
          </w:p>
        </w:tc>
      </w:tr>
      <w:tr w:rsidR="009B594B" w:rsidRPr="009B594B" w14:paraId="6D0F9B36" w14:textId="77777777" w:rsidTr="00F60146">
        <w:trPr>
          <w:trHeight w:val="57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3CEFC7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CZĘŚĆ 1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6B8A5D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1AE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A634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E3E5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5A6BC436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4A5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92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DMEM z podwyższoną ilością glukozy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32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Pożywka hodowlana DMEM ze stabilną postacią glutaminy, wodorowęglanem sodu, ze stężeniem glukozy 4,5 g/l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pirogronianem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sodu, płynny; czystość: sterylny, filtrowany; z barwnikiem czerwień fenolowa, bez HEPES, dedykowany do hodowli komórkowych;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AA8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5E3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EC4177A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4D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CC3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DMEM F12 ze stabilną postacią glutaminy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7C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Pożywka DMEM z mieszaniną soli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Ham's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F12 w stosunku 1:1 ze stabilną postacią glutaminy, wodorowęglanem sodu,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pirogronianem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sodu, płynny; czystość: sterylny, filtrowany; z barwnikiem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phenol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Red, bez HEPES, dedykowany do hodowli komórkowych; w oryginalnym opakowaniu producenta z oryginalnym zabezpieczeniem i oryginalną etykietą, z datą ważności min pół roku od daty zamówienia. Wielkość opakowania 10x500 ml.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D0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0F0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E14B62D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6E2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796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DMEM z niską zawartością glukozy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CF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Pożywka hodowlana DMEM ze stabilną postacią glutaminy, wodorowęglanem sodu, ze stężeniem glukozy 1 g/l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pirogronianem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sodu, płynny; czystość: sterylny, filtrowany; z barwnikiem czerwień fenolowa, bez HEPES, dedykowany do hodowli komórkowych;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0CD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A5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C0A36FB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E8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EE4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Dulbecco’s Phosphate Buffered Saline 10X bez Ca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Mg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D7B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Sól fizjologiczna buforowana fosforanami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Dulbecco's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(DPBS) bez jonów wapnia, bez jonów magnezu, postać płynna 10x stężona czystość: sterylny, filtrowany, dedykowany do hodowli komórkowych;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5D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C4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A21A94C" w14:textId="77777777" w:rsidTr="00F60146">
        <w:trPr>
          <w:trHeight w:val="374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432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94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Płodowa Surowica bydlęca, pochodząca z Ameryki Południowej, Inaktywowana Termicznie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291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Płodowa surowica bydlęca, pochodząca z Ameryki Południowej, inaktywowana termicznie, postać płynna, czystość: sterylny, sterylizowane poprzez trzykrotne przepuszczenie przez filtr o porach wynoszących 0,1 µm , przetestowana na obecność endotoksyn,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mykoplazm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wirusów BVD, hemoglobiny oraz całkowitej zawartości białek, dedykowany do hodowli komórkowych;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BB8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6E1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A5DF3AA" w14:textId="77777777" w:rsidTr="00F60146">
        <w:trPr>
          <w:trHeight w:val="403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7E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9B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Rekombinowany enzym, wolny od czynników odzwierzęcych 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AD9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Enzym rekombinowany do zastosowań w hodowli komórkowej, przeznaczony do bezpiecznego odłączania komórek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adherentnych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od podłoża. Postać płynna, gotowa do użycia (1X), pozbawiona czerwieni fenolowej. Produkt bez składników pochodzenia zwierzęcego, odpowiedni do badań in vitro. Substytut trypsyny, minimalizujący ryzyko denaturacji białek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powierzchniowych.W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134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948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8D4E025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7FC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F8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Medium wolne od surowicy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F2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Gotowe do użycia, wolne od surowicy podłoże hodowlane klasy badawczej, przeznaczone do wspierania hodowli komórkowych. Wzbogacone suplementem, zastępującym albuminę pochodzenia zwierzęcego. Produkt zawierający czerwień fenolową.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A00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68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4C6BEE3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B9E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407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Albumina bydlęca bogata w lipidy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B0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Albumina bydlęca bogata w lipidy nadająca się do hodowli komórek zwierzęcych, pochodzenie Nowa Zelandia. Oczyszczana chromatograficznie o zawartości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IgE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poniżej 1%. Bogate w lipidy; kwas alfa-linolenowy, kwas linolowy, kwas oleinowy, kwas stearynowy, kwas palmitynowy. W oryginalnym opakowaniu producenta z oryginalnym zabezpieczeniem i oryginalną etykietą, z datą ważności min pół roku od daty zamówienia. Opakowanie zawiera 100g.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73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66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48BE688" w14:textId="77777777" w:rsidTr="00F60146">
        <w:trPr>
          <w:trHeight w:val="345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4C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E80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alanylo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-L-glutamina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257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Stabilny zamiennik dla L-glutaminy. Rozpuszczalny w roztworach, stosowany jako bezpośredni zamiennik dla L-glutaminy, w tych samych, dotychczas stosowanych stężeniach. Eliminuje problemy związane ze spontanicznym obniżaniem się aktywności tradycyjnej L-glutaminy w pożywce. Postać płynna o stężeniu 200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W oryginalnym opakowaniu producenta z oryginalnym zabezpieczeniem i oryginalną etykietą, z datą ważności min pół roku od daty zamówienia. Opakowanie zawiera 100 ml roztworu.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009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47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5F2399F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1E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B88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Chemicznie zdefiniowany koncentrat lipidowy.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0DC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Skoncentrowana emulsja lipidowa przeznaczona do redukcji lub zastąpienia surowicy płodowej bydlęcej w podłożach do hodowli komórkowej w szerokim zakresie zastosowań. W postaci płynnej , 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4-6. W oryginalnym opakowaniu producenta z oryginalnym zabezpieczeniem i oryginalną etykietą, z datą ważności min pół roku od daty zamówienia. Opakowanie zawiera 100 ml.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91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ED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2517221" w14:textId="77777777" w:rsidTr="00F60146">
        <w:trPr>
          <w:trHeight w:val="460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73D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50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A1E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bez składników pochodzenia zwierzęcego umożliwiająca skalowanie procesu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CA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Formuła medium wolna od składników pochodzenia zwierzęcego, surowicy,  białka, zdefiniowana chemicznie (nie zawierające  białek, hydrolizatów ani składników o nieznanym składzie).  Medium kompletne i gotowe do użycia, bez konieczności suplementacji. Kompletny i gotowy do użycia format zawierający suplement alternatywny dla L-glutaminy, charakteryzujący się zwiększoną stabilnością Skalowalność w kolbach typu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spinner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flask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bioreaktorach. Opakowanie o objętości nie mniejszej niż 1000 ml.  W oryginalnym opakowaniu producenta z oryginalnym zabezpieczeniem i oryginalną etykietą, z datą ważności min pół roku od daty zamówienia.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873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34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F0730BD" w14:textId="77777777" w:rsidTr="00F60146">
        <w:trPr>
          <w:trHeight w:val="576"/>
        </w:trPr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944CA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4E903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7CF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7695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2453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77ED18A0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790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095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Medium do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krioprezerwacji</w:t>
            </w:r>
            <w:proofErr w:type="spellEnd"/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471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Roztwór do mrożenia komórek z 10% DMSO, bez surowicy, antybiotyków, zdefiniowane chemicznie, bez czerwieni fenolowej Wyprodukowane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zatwierdzony przez FDA. Postać płynna, sterylna, w oryginalnym opakowaniu producenta z oryginalnym zabezpieczeniem i oryginalną etykietą, z datą ważności min pół roku od daty zamówienia. Wielkość opakowania 100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A3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5B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3CEF714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19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38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Roztwór wodorowęglanu sodu do hodowli komórkowych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51C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Roztwór 7,5% wodorowęglanu sodu do hodowli komórkowych, sterylny. Produkt z przeznaczeniem do badań naukowych oraz do wykorzystania przemysłowego. Nr CAS 144-55-8.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Jakośż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MQ 400. W oryginalnym opakowaniu producenta z oryginalnym zabezpieczeniem i oryginalną etykietą, z datą ważności min pół roku od daty zamówienia. Opakowanie zawiera 100 ml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F1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7C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D1A151B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3C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66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B93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Sterylna woda do hodowli komórkowych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7E3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Wysokiej jakości woda przeznaczona do hodowli komórkowych.  Produkowana w procesach: destylacji, odwróconej osmozy, dejonizacji oraz dezynfekcji UV. W oryginalnym opakowaniu producenta z oryginalnym zabezpieczeniem i oryginalną etykietą, z datą ważności min pół roku od daty zamówienia. Opakowanie zawiera 1000 ml roztworu. Produkt identyczny bądź równoważny z produktem o nr. kat.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Capricorn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Genos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WAT-1000ML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0E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D7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B71B01B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8CB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58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Roztwór aminokwasów endogennych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545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Roztwór aminokwasów endogennych z zastosowaniem w hodowli komórkowej. Wyprodukowane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zgodności z ISO 13485. Postać płynna, sterylna, w oryginalnym opakowaniu producenta z oryginalnym zabezpieczeniem i oryginalną etykietą, z datą ważności min pół roku od daty zamówienia. Wielkość opakowania 100 ml. 100x stężony.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D4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B1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2F1360B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AF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29C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Roztwór aminokwasów egzogennych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87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Roztwór aminokwasów egzogennych z zastosowaniem w hodowli komórkowej. Wyprodukowane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zgodności z ISO 13485. Postać płynna, sterylna, w oryginalnym opakowaniu producenta z oryginalnym zabezpieczeniem i oryginalną etykietą, z datą ważności min pół roku od daty zamówienia. Wielkość opakowania 100 ml. 50x stężony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563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406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07D6C2B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106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39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Roztwór witamin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ED7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Roztwór witamin z zastosowaniem w hodowli komórkowej. Wyprodukowane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zgodności z ISO 13485. 100x stężony. Postać płynna, sterylna, w oryginalnym opakowaniu producenta z oryginalnym zabezpieczeniem i oryginalną etykietą, z datą ważności min pół roku od daty zamówienia. Wielkość opakowania 100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C7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445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C6368E2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72E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EF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Trypsyna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B07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Roztwór trypsyny 0,05% z EDTA bez jonów wapnia i magnezu, z barwnikiem czerwień fenolowa, postać płynna, 1x stężony, gotowy do użytku, sterylny, odpowiedni do hodowli komórkowych.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95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CE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E5AE0E0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B787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89F2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12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6EC6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C56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3C71D0C7" w14:textId="77777777" w:rsidTr="00F60146">
        <w:trPr>
          <w:trHeight w:val="432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61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4C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Żelatyna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F6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Żelatyna ze świńskiej skóry, odczynnik w postaci proszku, wysokiej czystości, przeznaczony do zastosowań laboratoryjnych i biotechnologicznych. Produkt jest zgodny z wymaganiami jakościowymi MQ200. Stanowi uniwersalny materiał do przygotowywania żeli, powłok ochronnych i matryc dla różnorodnych zastosowań w laboratoriach badawczych. Może służyć do powlekania naczyń przeznaczonych do hodowli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adherentnych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komórek. W oryginalnym opakowaniu producenta z oryginalnym zabezpieczeniem i oryginalną etykietą, z datą ważności min pół roku od daty zamówienia. Wielkość opakowania 100g.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98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DED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E639BE0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BD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F21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Albumina bydlęca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1B5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Albumina bydlęca, BSA o czystości &gt;= 98%, w formie proszku, pochodzenie USA, odpowiednia jako białkowy komponent do wzbogacania standardowego medium hodowlanego do komórek eukariotycznych. Frakcja V, nr CAS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9048-46-8.  W oryginalnym opakowaniu producenta z oryginalnym zabezpieczeniem i oryginalną etykietą, z datą ważności min pół roku od daty zamówienia. Opakowanie zawiera 100g.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DC3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F2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F9A88F7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CDB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01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alfa-D-glukoza,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88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Bezwodny odczynnik chemiczny, o czystości min 96%, nie przeznaczony do przemysłu. Glukoza w postaci proszku lub drobnych kryształów. Nr CAS 492-62-6. W oryginalnym opakowaniu producenta z oryginalnym zabezpieczeniem i oryginalną etykietą, z datą ważności min pół roku od daty zamówienia. Opakowanie zawiera 1 kg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54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82B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08DEBC3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2A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D1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Kwas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trójchlorooctowy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597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Kwas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Trójchlorooctowy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nr CAS 76-03-9, masa molowa 163,39 g/mol. Zawartość kwasu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trójchlorooctowego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min 98%. W oryginalnym opakowaniu producenta z oryginalnym zabezpieczeniem i oryginalną etykietą, z datą ważności min pół roku od daty zamówienia. Opakowanie zawiera produkt w postaci proszku o masie 100g.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5AE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C4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0F9346A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600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06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Selenian sodu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64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Selenian sodu jako źródło selenu w badaniach biologicznych Proszek o rozpuszczalności w wodzie nie mniejsza niż: 50 mg/ml, odpowiedni do hodowli komórkowych, czystość nie mniejsza niż 98%.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Wopakowaniu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nie mniej niż 100g.  W oryginalnym opakowaniu producenta z oryginalnym zabezpieczeniem i oryginalną etykietą, z datą ważności min pół roku od daty zamówienia.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42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30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9B2C629" w14:textId="77777777" w:rsidTr="00F60146">
        <w:trPr>
          <w:trHeight w:val="115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8A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59A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ALBUMINA Z JAJ, (PROSZEK) - czysty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119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ALBUMINA Z JAJ, (PROSZEK) - czysty, albumina w proszku, nr CAS 9006-59-1 z zastosowaniem do celów laboratoryjnych i analitycznych, czystość min 62%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BD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685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FDF6D9D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11D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9F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Tiamina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F85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Chlorowodorek tiaminy (witaminy B1) odpowiedni do kultur komórkowych, proszek, o czystości ≥99.0% (HPLC), rozpuszczalny w H2O ( 50 mg/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). Nr CAS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67-03-8.  W oryginalnym opakowaniu producenta z oryginalnym zabezpieczeniem i oryginalną etykietą, z datą ważności min pół roku od daty zamówienia. Opakowanie zawiera 25 g proszku.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CFA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7E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99EE77F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CF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68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49F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PRONAZA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3F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Enzym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pronaza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postać liofilizowana, pochodzenia bakteryjnego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Streptomyces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griseus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rozpuszczalny w wodzie, o aktywności właściwej ≥45,000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proteolytic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units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/g, odpowiedni do hodowli komórkowych. Jakość równoważna MQ100.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EB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B22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0394929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38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107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Hydrolizowane białko sojowe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C5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Proszek, zdatny do spożycia, bez komponentów odzwierzęcych. Zawartość azotu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aminokw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nie mniej niż 9%, azotu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całk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nie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m,niej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niż 12%. Rozpuszczalny w wodzie. Kod UNSPSC: 41106212.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160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FA6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1BBE9DE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F4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91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D84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Kwas askorbinowy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B5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Stabilizowana forma kwasu askorbinowego w postaci ang. "2-Phospho-L-ascorbic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acid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trisodium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salt" pochodzenia syntetycznego, w postaci proszku, odpowiednia do hodowli komórkowych. Jakość równoważna MQ200. W oryginalnym opakowaniu producenta z oryginalnym zabezpieczeniem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26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9FA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02D7F19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AA7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F4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GW9662 (2-chloro-5-nitro-N-fenylobenzamid)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428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GW9662 zwany jako 2-Chloro-5-nitro-N-phenylbenzamide to odczynnik rozpuszczalny w DMSO i nierozpuszczalny w wodzie, w postaci proszku, odpowiedni do hodowli komórkowych.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99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320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A60D653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C0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94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B9D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Kwas oleinowy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45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Kwas oleinowy o klasie czystości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Halal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Fragrance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grade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Kosher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natural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postaci płynnej 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gęśtości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0.89 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25oC. Zgodny z regulacjami EU1223/2009, FCC, FDA, odpowiedni do hodowli komórkowych. Jakość równoważna MQ400. W oryginalnym opakowaniu producenta z oryginalnym zabezpieczeniem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C3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542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BBA6934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18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95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381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Inhibitor trypsyny z soi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C6B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trypsyny pochodzenia roślinnego -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Glycine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max (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soybean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), postać liofilizowana, masa cząsteczkowa 20.1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rozpuszczalny w wodzie w stężeniu &gt;10 mg/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odpowiedni do hodowli komórkowych,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21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D5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25823C7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A2C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96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FD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Siarczan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dodecylu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 (SDS)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E88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SDS (siarczan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dodecylu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sodu) detergent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stsowany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laboratoriach biologicznych i biochemicznych, wiąże się z białkami nadając im ujemny ładunek i umożliwiając ich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rodział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według masy cząsteczkowej. Postać proszku o gęstości 1.1g/cm3 w 20oC. Wielkość opakowania 100 g. Jakość równoważna MQ100.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5AD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57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55F492A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B3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97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EB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Dimetylosulfotlenek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(DMSO)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A42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DMSO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Dimethyl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sulfoxide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polarny rozpuszczalnik organiczny w postaci płynnej 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gęstosci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1.10g/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wykorzystywany w branży spożywczej. Jakość równoważna MQ100. Wielkość opakowania 100 ml.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85D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9E4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D09F45B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804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5AE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Metanol (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MeOH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C08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Metanol - rozpuszczalnik organiczny, w postaci płynnej o gęstości 0,791g/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25oC. Jakość równoważna z MQ 100/200.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4F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CC3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CF79555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1E7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D5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sól fizjologiczna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F31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Sól fizjologiczna o klasie czystości przeznaczonej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biologi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molekularnej. Sterylizowane poprzez przepuszczenie przez filtr o porach wynoszących 0,2 µm, postać płynna, stężenie chlorku sodu 5M w H2O. o gęstości 1.190 g/cm3. Jakość równoważna MQ200.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495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9C7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170DCF8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88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29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Chitozan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2BC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Chitozan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- biopolimer w postaci proszku o masie cząsteczkowej 50,000-190,000 Da, lepkości 20-300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1 wt. % w 1% kwasie octowym. Jakość równoważna MQ100.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96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0A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48B984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B61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595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Mikroceluloza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1A6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Celuloza w postaci mikrokrystalicznego proszku o wielkości cząstek 51um oraz gęstości nasypowej 0.6g/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(25oC). Jakość równoważna z MQ100. W oryginalnym opakowaniu producenta z oryginalnym zabezpieczeniem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931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E9F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B4B5834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874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AFA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Alginian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1D2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Alginian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 pochodzenia roślinnego z alg morskich w postaci proszku o lepkości 15-25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1 % w H2O. Jakość równoważna MQ200.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F1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06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C753F7B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3953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1108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4DA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0EFA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5F77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56CFE7A6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371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316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Fibronektyna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5A4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Ludzkie białko fibronektyna o masie cząsteczkowej 440kDa, liofilizowane, odpowiednie do hodowli komórkowych. W oryginalnym opakowaniu producenta z oryginalnym zabezpieczeniem i oryginalną etykietą, z datą ważności min pół roku od daty zamówienia. Opakowanie zawiera 1 mg.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047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4FE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62698CB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C01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F8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Kwas linolenowy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709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Kwas linolenowy o czystości nie niższej niż 99%, nienasycony kwas tłuszczowy, nr CAS 463-40-1. W oryginalnym opakowaniu producenta z oryginalnym zabezpieczeniem i oryginalną etykietą, z datą ważności min pół roku od daty zamówienia. Opakowanie zawiera 5 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31D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DE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60387EF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79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740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LIF (Leukemia Inhibitory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Factor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6DD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Rekombinowany mysi czynnik wzrostu LIF (czynnik hamujący białaczkę), produkowany w E. coli o czystości nie niższej niż 95%, zawieszony w zbuforowanym roztworze wodnym zawierającym 0,02%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Tween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20, odpowiedni do hodowli komórkowych. W oryginalnym opakowaniu producenta z oryginalnym zabezpieczeniem i oryginalną etykietą, z datą ważności min pół roku od daty zamówienia. Opakowanie zawiera 10 mikrogramów.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17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83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06A0965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4D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22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Transformujący czynnik wzrostu beta (TGF-beta)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A92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TGF beta białko, czynnik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wzostu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sekwencja zgodna z ludzkim, rekombinowany produkowany w E. coli, w postaci liofilizowanej, o masie cząsteczkowej 25.0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oraz aktywności nie większej niż 0,05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ED50 odpowiedni do hodowli komórkowych.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11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CC6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A692E33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453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A9B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Rozyglitazon</w:t>
            </w:r>
            <w:proofErr w:type="spellEnd"/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D4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Rozyglitazon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zwiększa odpowiedź komórek docelowych na insulinę, wykorzystywany do różnicowania komórek w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adipocyty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Nr CAS 122320-73-4, agonista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PPARγ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, czystość &gt;98% (HPLC). Wzór sumaryczny C18H19N3O3S. Jakość równoważna MQ100.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zamówienia.  Opakowanie zawiera 50 mg proszku.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D3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FE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104617A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1FF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EEF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(2-Hydroksypropylo)-β-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cyklodekstryna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E6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Beta-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cyklodekstryna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stosowana jako środek kompleksujący. Szacunkowa masa molowa ~1396 Da . W postaci proszku, o  czystości nie mniejszej niż 98%, rozpuszczalna w H2O. Nr CAS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128446-35-5. W opakowaniu nie mniej niż 5 g.  W oryginalnym opakowaniu producenta z oryginalnym zabezpieczeniem i oryginalną etykietą, z datą ważności min pół roku od daty zamówienia.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A4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D1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1339E74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B9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7FC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-β-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cyklodekstryna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AE5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Związek makrocykliczny,  usuwający cholesterol, stosowany głównie do rozbijania tratw lipidowych. Nr CAS: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128446-36-6. W postaci proszku. W opakowaniu minimalnie 5 g. W oryginalnym opakowaniu producenta z oryginalnym zabezpieczeniem i oryginalną etykietą, z datą ważności min pół roku od daty zamówienia.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15A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1C7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FA8D00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BD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67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SB 203580 inhibitor p38  MAPK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1EE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 MAPKAP kinazy 2 i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fosforylacjif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heat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shock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protein (HSP) 27,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prerat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postaci stałej o czystości nie niższej niż 98% (HPLC) i rozpuszczalności w DMSO nie mniejszej niż 20 mg/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W oryginalnym opakowaniu producenta z oryginalnym zabezpieczeniem i oryginalną etykietą, z datą ważności min pół roku od daty zamówienia. Opakowanie zawiera nie mniej niż  1mg.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CE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8D5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ADFA19D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3D1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84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sól sodowa 3,3′,5-trijodo-L-tyroniny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FD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Syntetyczny hormon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endokrynny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 postaci proszku, o czystości ≥95%, o sile działania 0.02-50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(lit.) odpowiedni do kultur komórkowych, rozpuszczalny w etanolu/1 M HCl (4:1): 10 mg/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Nr CAS 55-06-1. Jakość MQ 200. W oryginalnym opakowaniu producenta z oryginalnym zabezpieczeniem i oryginalną etykietą, z datą ważności min pół roku od daty zamówienia. Opakowanie zawiera 100 mg.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F54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794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2C57AEA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D16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18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sól sodowa kwasu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oleilo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-L-α-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lizofosfatydowego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77E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Bioaktywny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fosfolipid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jest aktywatorem receptora LPA. POSTAĆ STAŁA, PROSZEK O CZYSTOŚCI ≥98%, rozpuszczalny w H2O. Nr CAS 22556-62-3.  W oryginalnym opakowaniu producenta z oryginalnym zabezpieczeniem i oryginalną etykietą, z datą ważności min pół roku od daty zamówienia. Opakowanie zawiera 5 mg.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8F5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B5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75BC897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197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5F8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kwas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retinowy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62F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Modulator wzrostu 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różnicowaniakomórek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Postać stała, o czystości ≥95%, Rozpuszczalny w DMSO: 25 mg/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Nr CAS 302-79-4. W oryginalnym opakowaniu producenta z oryginalnym zabezpieczeniem i oryginalną etykietą, z datą ważności min pół roku od daty zamówienia. Opakowanie zawiera 500 mg.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6C4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B0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96BFE8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FE0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379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PD 0325901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F01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ścieżki MEK/ERK  w postaci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rozwtoru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o czystości ≥ 95% (HPLC), rozpuszczony w DMSO w stężeniu 50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Nr CAS 391210-10-9. W oryginalnym opakowaniu producenta z oryginalnym zabezpieczeniem i oryginalną etykietą, z datą ważności min pół roku od daty zamówienia. Opakowanie zawiera 5 mg produktu rozpuszczonego w 207 µl DMSO 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C5E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C9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B0E9BD7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002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69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847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Czynnik wzrostu insuliny (IGF-1)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D1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Rekombinowany analog czynniku wzrostu insuliny produkowany w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E.coli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postać liofilizowana, masa cząsteczkowa 7,676 Da, odpowiedni do hodowli komórkowych. W oryginalnym opakowaniu producenta z oryginalnym zabezpieczeniem i oryginalną etykietą, z datą ważności min pół roku od daty zamówienia. Jakość równoważna MQ200.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15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F3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856D5E8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5D0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7C5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Transferyna</w:t>
            </w:r>
            <w:proofErr w:type="spellEnd"/>
            <w:r w:rsidRPr="009B594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D29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Transferyna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 rekombinowane białko (z ryżu) w postaci proszku o zawartości białka nie mniejszej niż 90% oraz zawartości żelaza nie mniejszej niż 300ug/g, odpowiedni do hodowli komórkowych.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zabezpieczenim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oryginalna etykietą, z datą ważności min pół roku od daty zamówienia. Jakość równoważna MQ200.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5C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31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14591B8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7D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AF4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Heparyna</w:t>
            </w:r>
            <w:r w:rsidRPr="009B594B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3F2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Odczynnik - białko heparyna - postać proszku, rozpuszczalny w wodzie, odpowiednia do hodowli komórkowych. W oryginalnym opakowaniu producenta z oryginalnym zabezpieczeniem i oryginalną etykietą, z datą ważności min pół roku od daty zamówienia. Jakość równoważna MQ200.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23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FA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D6A1C1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257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6BF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interleukina 1 (IL-1beta)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B1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"Rekombinowana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interkulina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(IL-1) produkowana w komórkach HEK 293. siła działania ≤0.05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EC50, testowana na endotoksyny, masa cząsteczkowa dimer 18-25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jakość MQ100. W oryginalnym opakowaniu producenta z oryginalnym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zabezpieczieniem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40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43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5BFC3F4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31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E54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Ludzka interleukina 6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17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Interleukina-6 ludzka -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cytokina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białko sygnałowe o sekwencji ludzkiego, rekombinowane produkowane w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E.coli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 postaci liofilizowanej o masie cząsteczkowej 20,9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sile działania nie większej niż 2.0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ED50. Wolne od składników pochodzenia zwierzęcego odpowiedni do hodowli komórkowych. Jakość równoważna MQ300. W oryginalnym opakowaniu producenta z oryginalnym zabezpieczeniem i oryginalną etykietą, z datą ważności min pół roku od daty zamówienia.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FE4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B7C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09A7DE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665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1DB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Czynnik wzrostu śródbłonka naczyniowego (VEGF)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7A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VEGF czynnik wzrostu 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sekwnecji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takiej samej jak ludzki, rekombinowany produkowany w E. coli w postaci liofilizowanej o masie cząsteczkowej 38.2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sile działania 1.0-8.0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odpowiedni do hodowli komórkowych. W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oryginalnem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opakowaniu producenta z oryginalnym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zabezpieczeniem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BEC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AA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B57C361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891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18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Czynnik wzrostu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hepatocytów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(HGF)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AF8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HGF czynnik wzrostu zgodny z takim pochodzenia ludzkiego, rekombinowany, produkowany w komórkach HEK 293, w postaci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lioflizowanej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 aktywności nie większej niż 20ng/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EC50 i masie cząsteczkowej monomer 70kDa (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glikozylowany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), odpowiedni do hodowli komórkowych. Jakość równoważna MQ100. W oryginalnym opakowaniu producenta z oryginalnym zabezpieczeniem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70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93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AB4154A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64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498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Płytkopochodny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czynnik wzrostu (PDGF-BB)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D22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PDGF-BB czynnik wzrostu pochodzący z myszy, rekombinowany, produkowany w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E.coli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 postaci liofilizowanej o masie cząsteczkowej 24,4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sile działania 1.0-2.0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ED50 odpowiedni do hodowli komórkowych. W oryginalnym opakowaniu producenta z oryginalnym zabezpieczeniem i oryginalną etykietą, z datą ważności min pół roku od daty zamówienia.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03A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D3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98360EF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AC5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9F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Naskórkowy czynnik wzrostu (EGF)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34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EGF czynnik wzrostu pochodzenia ludzkiego,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rekombionowany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produkowany w E. coli w postaci liofilizowanej o masie cząsteczkowej ~6kDA oraz sile działania 0.08-0,8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EC50 odpowiedni do hodowli komórkowych. W oryginalnym opakowaniu producenta z oryginalnym zabezpieczeniem i oryginalną etykietą, z datą ważności min pół roku od daty zamówienia.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D43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5DC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37C3EA5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40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47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Hybrokortyzon</w:t>
            </w:r>
            <w:proofErr w:type="spellEnd"/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035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Hydrokortyzon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pochodzenia roślinnego w postaci proszku, odpowiedni do hodowli komórkowych. Jakość równoważna MG200.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3A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80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C59D7FE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043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89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049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CHIR99021 - pochodna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aminopirymidyny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26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CHIR99021, pochodna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aminopirymidyny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postaci proszku, rozpuszczalny w DMSO, odpowiedni do hodowli komórkowych. Jakość równoważna z MQ100.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22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89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BAFD233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308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90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507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Inhibitor Rho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kinaz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(Y-27632)</w:t>
            </w:r>
            <w:r w:rsidRPr="009B594B">
              <w:rPr>
                <w:rFonts w:ascii="Arial" w:eastAsia="Times New Roman" w:hAnsi="Arial" w:cs="Arial"/>
                <w:kern w:val="0"/>
                <w:sz w:val="22"/>
                <w:szCs w:val="22"/>
                <w:lang w:val="en-US" w:eastAsia="pl-PL"/>
                <w14:ligatures w14:val="none"/>
              </w:rPr>
              <w:t> 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381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Inhibitor Rho kinaz Y-27632 w postaci płynnej, odpowiedni do hodowli komórkowych. Jakość równoważna MQ100. W oryginalnym opakowaniu producenta z oryginalnym zabezpieczeniem i oryginalną etykietą, z datą ważności min pół roku od daty zamówienia.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68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12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0B50FDA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D7B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3D55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104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CF00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2C16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053540FB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D91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85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7-aminoaktynomycyna D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1C1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Liofilizat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7-aminoaktynomycyny D przeznaczony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rekonstytucji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DMSO. Wykorzystywany do znakowania kwasów nukleinowych komórek uprzednio utrwalonych 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permeabilizowanych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Po związaniu z DNA wykazujący fluorescencję przy wzbudzeniu 488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emisji 647 nm. Możliwe zastosowanie przy mikroskopii fluorescencyjnej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przepływowej. Opakowanie zawiera 1 mg odczynnika.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B80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F9A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BD6579F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915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3E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Erytrozyna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 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F9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Sól sodowa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tetrajodofluoresceiny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barwnik stosowany w określaniu żywotności komórek. NIERAKOTWÓRCZY NIEREPROTOKSYCZNY, NIEMUTAGENNY dla ludzi, rozpuszczalność w wodzie nie mniejsza niż 1% . Wzór sumaryczny: C20H6I4Na2O5.  Postać: proszek.  Masa molowa; 879,86 g/mol. W opakowaniu nie mniej niż 100 g.  W oryginalnym opakowaniu producenta z oryginalnym zabezpieczeniem i oryginalną etykietą, z datą ważności min pół roku od daty zamówienia.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8B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F9F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1FEB5F3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3A3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267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Fiolet krystaliczny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D4E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Barwnik w postaci zielonego do ciemnozielonego krystalicznego proszku, który po rozpuszczeniu w wodzie (do stężenia 1% (w/v)) tworzy przejrzysty ciemnofioletowy roztwór. Czystość odczynnika min. 96%. W oryginalnym opakowaniu producenta z oryginalnym zabezpieczeniem i oryginalną etykietą, z datą ważności min pół roku od daty zamówienia. Opakowanie zawiera 100 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F6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75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BA0C9C4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D05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C9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metylotransferazy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histonowej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EZH2 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DZNep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9B6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Związek będący inhibitorem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trimetylacji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K27 na histonie H3 za pośrednictwem EZH2 (CAS: 120964-45-6),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króry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jest zdolny do wnikania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wnęrza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komórek. Odczynnik w postaci sypkiej, przechowywanie w temperaturze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−20°C i przy ograniczonym dostępie do światła. Czystość odczynnika min. 97%. W oryginalnym opakowaniu producenta z oryginalnym zabezpieczeniem i oryginalną etykietą, z datą ważności min pół roku od daty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zamówienia. Opakowanie zawiera 2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AEB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46E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75CB404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BC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D3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5-azacytydyna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53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Chemiczny analog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cytydyny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(CAS: 320-67-2) powodujący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demetylację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DNA a także hamujący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metylotransferazę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DNA. Odczynnik w postaci sypkiej o czystości min. 98%. W oryginalnym opakowaniu producenta z oryginalnym zabezpieczeniem i oryginalną etykietą, z datą ważności min pół roku od daty zamówienia. Opakowanie zawiera 100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985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CA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6E26A87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1A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D81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5-aza-2′-deoksycytydyna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0AA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Analog 2′-deoksycytydyny (CAS: 2353-33-5), który powoduje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demetylację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lub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hemidemetylację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DNA a także hamujący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metylotransferazę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DNA. Odczynnik w postaci sypkiej o czystości min. 97%. W oryginalnym opakowaniu producenta z oryginalnym zabezpieczeniem i oryginalną etykietą, z datą ważności min pół roku od daty zamówienia. Opakowanie zawiera 5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440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8D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E3027F9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93E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32F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Trichostatyna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2B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Odwracalny inhibitor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deacetylazy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histonowej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(CAS: 58880-19-6) ze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>Streptomyces</w:t>
            </w:r>
            <w:proofErr w:type="spellEnd"/>
            <w:r w:rsidRPr="009B594B">
              <w:rPr>
                <w:rFonts w:ascii="Aptos Narrow" w:eastAsia="Times New Roman" w:hAnsi="Aptos Narrow" w:cs="Times New Roman"/>
                <w:i/>
                <w:i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króry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jest zdolny do wnikania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wnęrza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komórek. Odczynnik w postaci sypkiej o czystości min. 98%. o wykazanej rozpuszczalności w etanolu, metanolu oraz DMSO. W oryginalnym opakowaniu producenta z oryginalnym zabezpieczeniem i oryginalną etykietą, z datą ważności min pół roku od daty zamówienia. Opakowanie zawiera 1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35E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C47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20B9352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5E2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110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70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metylotransferazy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0A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metylotransferazy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DNA (CAS: 32675-71-1), znany również pod akronimem RG108. Odczynnik w postaci sypkiej (żółty proszek) o czystości min. 98%. o wykazanej rozpuszczalności w metanolu oraz DMSO, przechowywanie w temperaturze 2−8°C i przy ograniczonym dostępie do światła. W oryginalnym opakowaniu producenta z oryginalnym zabezpieczeniem i oryginalną etykietą, z datą ważności min pół roku od daty zamówienia. Opakowanie zawiera 10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3E0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B4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3BAB2A4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EE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559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Maślan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sodu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758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Inhibitor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deacetylazy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histonowej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(CAS: 156-54-7). Odczynnik w postaci sypkiej o barwie białej, czystości min. 98%. oraz wykazanej rozpuszczalności w wodzie. Przechowywanie w temperaturze −20°C. W oryginalnym opakowaniu producenta z oryginalnym zabezpieczeniem i oryginalną etykietą, z datą ważności min pół roku od daty zamówienia. Opakowanie zawiera 250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1AA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458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EED3DF7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27A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112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F97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Kwas walproinowy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13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Sól sodowa kwasu walproinowego (CAS: 1069-66-5), związek zdolny do wnikania do wnętrza komórek eukariotycznych, u których hamuje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deacetylazę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histonową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1. Odczynnik w postaci sypkiej (biały proszek) o czystości min. 98%. o wykazanej rozpuszczalności w wodzie, przechowywanie w temperaturze 2−8°C. W oryginalnym opakowaniu producenta z oryginalnym zabezpieczeniem i oryginalną etykietą, z datą ważności min pół roku od daty zamówienia. Opakowanie zawiera 5 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249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730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C4A7124" w14:textId="77777777" w:rsidTr="00F60146">
        <w:trPr>
          <w:trHeight w:val="288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A9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F56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4-fenylobutyrat sodu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10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Inhibitor kinazy dehydrogenazy α-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ketokwasu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rozgałęzionego I (CAS: 1716-12-7) wykorzystywany do regulacji transkrypcji oraz jako inhibitor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deacetylazy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histonowej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Odczynnik w postaci sypkiej o czystości min. 98%. oraz wykazanej rozpuszczalności w wodzie. Przechowywanie w temperaturze −20°C. W oryginalnym opakowaniu producenta z oryginalnym zabezpieczeniem i oryginalną etykietą, z datą ważności min pół roku od daty zamówienia. Opakowanie zawiera 100 mg odczynnika.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C0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ED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5A3A9B1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33C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B1B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Zestaw do barwienia histochemicznego komórek starzejących się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769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Zestaw odczynników pozwalający na wykonanie testu polegającego na histochemicznym barwieniu komórek, w celu wykrycia komórek starzejących się. Kolorymetryczny test oparty na badaniu aktywności β-galaktozydazy przy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6, jako substrat wykorzystujący X-gal. Odczyt i analiza wyników z wykorzystaniem mikroskopu ze światłem przechodzącym lub spektrofotometrycznego czytnika płytek.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6DE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1B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4CEDC528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1B07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B6B7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C05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BD57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8B3F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14A311FE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5E2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069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Czynnik wzrostu fibroblastów FGF-B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FD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Rekombinowany bydlęcy czynnik wzrostu FGF-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basic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o masie cząsteczkowej 17,1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kDa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składający się ze 154 aminokwasów, o czystości &gt;=95% liofilizowany. Odpowiedni do hodowli komórkowych. Opakowanie zawiera 0,1 mg. W oryginalnym opakowaniu producenta z oryginalnym zabezpieczeniem i </w:t>
            </w: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oryginalną etykietą, z datą ważności min pół roku od daty zamówienia.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40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CE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996057E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B5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D0B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Transferyna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bydlęca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B7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Bydlęce liofilizowane białko transferryna, w formie APO, odpowiednie do stosowania w hodowli komórkowej jako dodatek do medium hodowlanego. Zawartość żelaza poniżej 50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μg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/g, pochodzenie Nowa Zelandia. W oryginalnym opakowaniu producenta z oryginalnym zabezpieczeniem i oryginalną etykietą, z datą ważności min pół roku od daty zamówienia. Opakowanie zawiera 1g.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60C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88E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2080043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FE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127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AB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Odczynnik do pożywki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xeno-free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8BB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Odczynnik hodowli komórkowych,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xeno-free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postać płynna, sterylny, odpowiedni do hodowli komórkowych w warunkach serum-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xeno-free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603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412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4AD7D1C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B95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128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545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wraz z suplementem serum-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xeno-free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118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Pożywka do hodowli komórkowych wraz z suplementem, zastępująca hodowlę z użyciem surowicy,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xeno-free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feeder-free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postać płynna, sterylny, w jakości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C8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E33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F30106A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586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129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72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Pożywka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xeno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-free, feeder-free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A0F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Pożywka bez barwnika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phenol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red, bez antybiotyków, do hodowli komórkowych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xeno-free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feeder-free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postać płynna, sterylny, w jakości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W oryginalnym opakowaniu producenta z oryginalnym zabezpieczeniem i oryginalną etykietą, z datą ważności min pół roku od daty zamówienia. Wielkość opakowania 1L.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F4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8C1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197D463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7AB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826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do hodowli serum-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3F7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Pożywka z barwnikiem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phenol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red, bez antybiotyków, pożywka do hodowli komórkowych w standardzie serum-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bez antybiotyków i barwnika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phenol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red, postać płynna, sterylny, w jakości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W oryginalnym opakowaniu producenta z oryginalnym zabezpieczeniem i oryginalną etykietą, z datą ważności min pół roku od daty zamówienia. Wielkość opakowania 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1A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EA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BABC1A8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A8A3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6AC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Suplement do pożywki serum-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zastępujący surowicę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2DE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Odczynnik do hodowli komórkowych w standardzie serum-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zastępnik surowicy, 50X stężony postać płynna, sterylny. W oryginalnym opakowaniu producenta z oryginalnym zabezpieczeniem i oryginalną etykietą, z datą ważności min pół roku od daty zamówienia. Wielkość opakowania 10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006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A1E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A63E8C2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06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B9A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Pożywka IMDM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52F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Medium do hodowli komórkowych na bazie IMDM, z L-glutaminą, barwnikiem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phenol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red, bez α-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thioglycerol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2-mercaptoethanol w standardzie AOF (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Animal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Origin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Free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) 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postać płynna, sterylny. W oryginalnym opakowaniu producenta z oryginalnym zabezpieczeniem i oryginalną etykietą, z datą ważności min pół roku od daty zamówienia. Wielkość opakowania 10x500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BDA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DC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83E82F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31E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DD3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KOLAGENAZA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0F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Enzym </w:t>
            </w:r>
            <w:proofErr w:type="spellStart"/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kolagenaza</w:t>
            </w:r>
            <w:proofErr w:type="spellEnd"/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typ I, postać liofilizowana, pochodzenia bakteryjnego Clostridium </w:t>
            </w:r>
            <w:proofErr w:type="spellStart"/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histolyticum</w:t>
            </w:r>
            <w:proofErr w:type="spellEnd"/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, aktywność min. 125 </w:t>
            </w:r>
            <w:proofErr w:type="spellStart"/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units</w:t>
            </w:r>
            <w:proofErr w:type="spellEnd"/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/mg, odpowiedni do hodowli komórkowych. W oryginalnym opakowaniu producenta z oryginalnym zabezpieczeniem i oryginalną etykietą, z datą ważności min pół roku od daty zamówienia. Wielkość opakowania 1 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82B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00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A790346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F3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99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2-Mercaptoethanol (50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29B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Roztwór beta-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merkaptoetanolu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z zastosowaniem w hodowli komórkowej o stężeniu 50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. Wyprodukowane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zgodności z ISO 13485. Postać płynna, sterylna, w oryginalnym opakowaniu producenta z oryginalnym zabezpieczeniem i oryginalną etykietą, z datą ważności min pół roku od daty zamówienia. Objętość 20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D2E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D31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20F49C2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F74E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5F33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E26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0CDD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61C4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320DE409" w14:textId="77777777" w:rsidTr="00F60146">
        <w:trPr>
          <w:trHeight w:val="345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21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E52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Barwnik do mitochondriów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F9F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Flourescencyjny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barwnik na bazie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karbocyjaniny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umożliwiający wizualizację aktywnych mitochondriów w żywych komórkach, wykazujący czerwoną fluorescencję przy wzbudzeniu 581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emisją 644 nm. Zliofilizowany barwnik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farbrycznie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podzielony na 20 fiolek po 50 µg każda, przeznaczony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rekonstytucji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DMSO. Barwnik przechowywany w temperaturze poniżej -20'C i bez dostępu światła. W oryginalnym opakowaniu producenta z oryginalnym zabezpieczeniem i oryginalną etykietą, z datą ważności min pół roku od daty zamówienia. Opakowanie zawiera 20 fiolek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liofilizatu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 masie 50 µg każdy.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79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DB7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9714E20" w14:textId="77777777" w:rsidTr="00F60146">
        <w:trPr>
          <w:trHeight w:val="460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BC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6D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Zielony barwnik na bazie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faloidyny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31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Fluorescencyjny barwnik na bazie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faloidyny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- bicyklicznego peptydu sprzężony z barwnikiem o zielonej fluorescencji -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AlexaFluor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488. Wykorzystywany do selektywnego znakowania F-aktyny, zapakowany w 2,5-ml butelkę z kroplomierzem. Gotowy do użycia odczynnik wykazujący fluorescencję przy wzbudzeniu 495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emisję przy 518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stabilny podczas przechowywania w temperaturze pokojowej, tj. nie wyższej niż 25'C. Możliwość wykorzystania do utrwalonych 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permeabilizowanych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komórek lub tkanek przy detekcji w mikroskopii fluorescencyjnej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przepływowej. W oryginalnym opakowaniu producenta z oryginalnym zabezpieczeniem i oryginalną etykietą, z datą ważności min pół roku od daty zamówienia. Opakowanie zawiera 2 buteleczki z kroplomierzem o objętości 2,5 ml każda.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BB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897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34AC036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38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7F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Przeciwciało drugorzędowe sprzężone z barwnikiem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Alexa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Fluor 488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84A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Anty-mysie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poliklonalne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przeciwciało II-rzędowe, ośle, wyznakowane barwnikiem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AlexaFluor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488. Wykazujące fluorescencję przy wzbudzeniu 493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emisji 518 nm. Przeciwciało o stężeniu 2 mg/ml w buforze 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6,5 stabilizowane 0,016%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metyloizotiazolonem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oraz 0,016%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bromonitrodioksanem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Przeznaczone do przechowywania w 4'C i ciemności.  oryginalnym opakowaniu producenta z oryginalnym zabezpieczeniem i oryginalną etykietą, z datą ważności min pół roku od daty zamówienia. Opakowanie zawiera 1 mg przeciwciała.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B29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2BA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106A8FB" w14:textId="77777777" w:rsidTr="00F60146">
        <w:trPr>
          <w:trHeight w:val="345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DA1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6A12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Drugorzędowe ośle przeciwciało anty królicze z sprzężone 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Alexa</w:t>
            </w:r>
            <w:proofErr w:type="spellEnd"/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Fluor 555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35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Anty-królicze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poliklonalne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przeciwciało II-rzędowe produkowane w ośle, wyznakowane barwnikiem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AlexaFluor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555. Wykazujące fluorescencję przy wzbudzeniu 558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emisji 572 nm. Przeciwciało o stężeniu 2 mg/ml w buforze 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6,5 stabilizowane 0,016%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metyloizotiazolonem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oraz 0,016%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bromonitrodioksanem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. Przeznaczone do przechowywania w 4'C i ciemności. W oryginalnym opakowaniu producenta z oryginalnym zabezpieczeniem i oryginalną etykietą, z datą ważności min pół roku od daty zamówienia. Opakowanie zawiera 1 mg przeciwciała.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52A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C6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F7BDB3B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834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38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B37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4,4-DIFLUORO-1,3,5,7,8-PE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4A5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Lipofilowy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barwnik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barwnienia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lipidów obojętnych/neutralnych, wykazujący fluorescencję przy wzbudzeniu 493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emisję przy 504 nm.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Liofilizat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rekonstytucji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DMSO, do przechowywania w temperaturze -30 - -5'C i bez dostępu światła. W oryginalnym opakowaniu producenta z oryginalnym zabezpieczeniem i oryginalną etykietą, z datą ważności min pół roku od daty zamówienia. Opakowanie zawiera 10 mg barwnika.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24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0A2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638EC82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18A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F38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Resazuryna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E1C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Sól sodowa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resazuryny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wzór sumaryczny C12H6NNaO4, nr CAS; 62758-13-8, postać proszku rozpuszczalnego w wodzie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PBS. Odczynnik jest wykorzystywany do pomiaru metabolizmu komórek. W oryginalnym opakowaniu producenta z oryginalnym zabezpieczeniem i oryginalną etykietą, z datą ważności min pół roku od daty zamówienia. Opakowanie zawiera 5 g barwnika.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19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518B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BA1731B" w14:textId="77777777" w:rsidTr="00F60146">
        <w:trPr>
          <w:trHeight w:val="345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F4B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BB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Jodek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propidyny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258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Jodek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propidyny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postaci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liofilizatu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przeznaczony do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rekonstytucji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wodzie. Fluorescencyjny czerwony barwnik jądrowy i chromosomowy wykorzystywany do wizualizacji komórek martwych. W roztworze wodnym barwnik wykazujący fluorescencję przy wzbudzeniu 493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emisji 636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natomiast po związaniu barwnika z kwasami nukleinowymi wykazujący maksimum wzbudzenia przy 535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maksimum emisji fluorescencji przy 617 nm. Możliwe zastosowanie przy mikroskopii fluorescencyjnej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przepływowej. Opakowanie zawiera 100 mg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liofilizatu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barwnika.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C4A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131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8759709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C88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DF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Barwnik do jąder komórkowych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86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Barwnik cyjaninowy o silnym powinowactwie do DNA, wykorzystywany do znakowania kwasów nukleinowych w biologicznych próbkach zarówno przed jak i po utrwalaniu. Roztwór o stężeniu 1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mM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DMSO, wykazujący czerwoną fluorescencję przy wzbudzeniu 642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i emisji 661 nm. Możliwe zastosowanie przy mikroskopii fluorescencyjnej oraz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przepływowej. Opakowanie zawiera 1 ml odczynnika.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405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16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2D43582C" w14:textId="77777777" w:rsidTr="00F60146">
        <w:trPr>
          <w:trHeight w:val="2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E13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117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475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Zestaw do wykrywania starzenia komórkowego z wykorzystaniem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886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Zestaw do fluorescencyjnego wykrywania hydrolizy β-galaktozydazy metodą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przepływowej. Zestaw zawiera zoptymalizowany bufor i odczynnik na bazie fluoresceiny, który zawiera dwa fragmenty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galaktozydowe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co czyni go specyficznym celem dla β-galaktozydazy. Umożliwia wykonanie barwienia 200 próbek oraz emituje zielony sygnał fluorescencyjny, przy maksimach absorpcji/emisji 490/514 nm.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988F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936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617BF8D4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3D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9FA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Barwnik fluorescencyjny do wykrywania tłuszczów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34B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Barwnik fluorescencyjny do wykrywania tłuszczów o kolorze zielonym. W oryginalnym opakowaniu producenta z oryginalnym zabezpieczeniem i oryginalną etykietą, z datą ważności min pół roku od daty zamówienia. Wielkość opakowania 125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uL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Wzbudzenie przy długości fali 495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emisja przy 505 nm.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48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B7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D822E78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17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EED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Błękit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trypanu</w:t>
            </w:r>
            <w:proofErr w:type="spellEnd"/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8A4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Roztwór błękitu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trypanu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stężeniu 0,4% do oznaczania żywotności komórek. Postać płynna, wyprodukowane w standardzie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cGMP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w zgodności z ISO 13485. W oryginalnym opakowaniu producenta z oryginalnym zabezpieczeniem i oryginalną etykietą, z datą ważności min pół roku od daty zamówienia. Wielkość opakowania 10 ml.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62A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AE4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69F6D22" w14:textId="77777777" w:rsidTr="00F60146">
        <w:trPr>
          <w:trHeight w:val="316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6991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D7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2',7'-dichlorodihydrofluorescein diacetate (H2DCFDA)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37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2',7'-dichlorodihydrofluorescein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diacetate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(H2DCFDA), odpowiedni do hodowli komórkowych, znajdujący zastosowanie w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cytometrii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przepływowej oraz mikroskopii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fluorescencynej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do oznaczania reaktywnych form tlenu (ROS). Wzbudzenie występujące przy fali o długości 495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, a emisja przy 527 nm. W oryginalnym opakowaniu producenta z oryginalnym zabezpieczeniem i oryginalną etykietą, z datą ważności min pół roku od daty zamówienia. Wielkość opakowania 100 mg. Produkt identyczny lub równoważny z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produktrem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marki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11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8A88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F0F5775" w14:textId="77777777" w:rsidTr="00F60146">
        <w:trPr>
          <w:trHeight w:val="165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703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D70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Zestaw do izolacji RNA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1AD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Zestaw oparty na kolumnach, służący do izolacji wysokiej jakości całkowitego RNA z różnych typów próbek w ciągu 20 minut przy użyciu standardowego sprzętu laboratoryjnego; maksymalny pobór próbki do 200 mg tkanki; odzysk RNA do 1000 µg. Z datą ważności min pół roku od daty zamówienia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324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9FA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1477C32C" w14:textId="77777777" w:rsidTr="00F60146">
        <w:trPr>
          <w:trHeight w:val="2016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E72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149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10E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zestaw usuwający DNA z mieszaniny DNA+ RNA,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nakolumnowy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, kompatybilny z kitem do izolacji RNA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FF5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Szybkie i wydajne usuwanie DNA z RNA, które zostało oczyszczone przy użyciu zestawów do izolacji RNA.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324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65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34F76FD8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7239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CZĘŚĆ 8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CF89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EDE3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CAF3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8992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4874941C" w14:textId="77777777" w:rsidTr="00F60146">
        <w:trPr>
          <w:trHeight w:val="1728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81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8CEF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Elektrolit do elektrody DO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779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Elektrolit do przechowywania elektrody tlenu rozpuszczonego,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OxyFerm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FDA firmy HAMILTON. W oryginalnym opakowaniu producenta z oryginalnym zabezpieczeniem i oryginalną etykietą, z datą ważności min pół roku od daty zamówienia. Opakowanie zawiera 30 ml odczynnika.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336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66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5FDE733" w14:textId="77777777" w:rsidTr="00F60146">
        <w:trPr>
          <w:trHeight w:val="14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D61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A4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Bufor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4,01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76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Bufor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do kalibracji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-metrów, o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4,01 w temperaturze 25'C. W oryginalnym opakowaniu producenta z oryginalnym zabezpieczeniem i oryginalną etykietą, z datą ważności min pół roku od daty zamówienia. Opakowanie zawiera 500 ml buforu.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41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B0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D326A00" w14:textId="77777777" w:rsidTr="00F60146">
        <w:trPr>
          <w:trHeight w:val="14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950D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192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Bufor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7,00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93AE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Bufor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do kalibracji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-metrów, o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7,00 w temperaturze 25'C. W oryginalnym opakowaniu producenta z oryginalnym zabezpieczeniem i oryginalną etykietą, z datą ważności min pół roku od daty zamówienia. Opakowanie zawiera 500 ml buforu.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349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EB7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0DFC7722" w14:textId="77777777" w:rsidTr="00F60146">
        <w:trPr>
          <w:trHeight w:val="1440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72B0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D15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Bufor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9,21</w:t>
            </w:r>
          </w:p>
          <w:p w14:paraId="3ED88C69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48F6C84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CBA8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Bufor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do kalibracji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-metrów, o 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pH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9,21 w temperaturze 25'C. W oryginalnym opakowaniu producenta z oryginalnym zabezpieczeniem i oryginalną etykietą, z datą ważności min pół roku od daty zamówienia. Opakowanie zawiera 500 ml buforu.</w:t>
            </w:r>
          </w:p>
          <w:p w14:paraId="668BE5B6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76B9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5780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5495D09C" w14:textId="77777777" w:rsidTr="00F60146">
        <w:trPr>
          <w:trHeight w:val="288"/>
        </w:trPr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31E95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CZĘŚĆ 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8FBB1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8CAC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4E05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DDC0" w14:textId="77777777" w:rsidR="009B594B" w:rsidRPr="009B594B" w:rsidRDefault="009B594B" w:rsidP="009B5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594B" w:rsidRPr="009B594B" w14:paraId="0BF43D92" w14:textId="77777777" w:rsidTr="00F60146">
        <w:trPr>
          <w:trHeight w:val="2592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3E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52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496C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Zestaw do oznaczania amoniaku  w pożywce hodowli komórkowej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7DAA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Zestaw do ilościowego oznaczania amoniaku i amonu metodą fluorymetryczną z następujących typów próbek: mocz, osocze, ekstrakty tkankowe, media hodowlane komórek, surowica, inne płyny biologiczne,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lizat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komórkowy. Czułość  minimalnie 1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>nmol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(20 µM). W oryginalnym opakowaniu producenta z oryginalnym zabezpieczeniem i oryginalną etykietą, z datą ważności min pół roku od daty zamówienia. Opakowanie zawiera nie mniej niż 100 testów.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CE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ABD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9B594B" w:rsidRPr="009B594B" w14:paraId="76A50FD6" w14:textId="77777777" w:rsidTr="00F60146">
        <w:trPr>
          <w:trHeight w:val="5304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B36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3415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oznaczania potencjału błony mitochondrialnej JC-1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F647" w14:textId="77777777" w:rsidR="009B594B" w:rsidRPr="009B594B" w:rsidRDefault="009B594B" w:rsidP="009B5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Zestaw do analizy potencjału błony mitochondrialnej   zawiera jodek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tetraetylobenzimidazolylokarbocyjaniny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 (JC-1), barwnik kationowy gromadzący się w pobudzonych mitochondriach. Metoda wykrywania: fluorescencyjna (emisja w zakresie  530±15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 oraz 590±17,5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nm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). Typy próbek: komórki zawiesinowe, komórki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adherentne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. Platforma testowa — czytnik mikropłytek. Zestaw zawiera 100 testów, w tym JC-1 (liofilizowany) 1 x 500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μg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; Bufor rozcieńczający (10X, sterylny) 1 x 10 ml; 50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mM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 FCCP (w DMSO); 1 x 10 </w:t>
            </w:r>
            <w:proofErr w:type="spellStart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>μLDMSO</w:t>
            </w:r>
            <w:proofErr w:type="spellEnd"/>
            <w:r w:rsidRPr="009B594B">
              <w:rPr>
                <w:rFonts w:ascii="Aptos Narrow" w:eastAsia="Times New Roman" w:hAnsi="Aptos Narrow" w:cs="Times New Roman"/>
                <w:kern w:val="0"/>
                <w:lang w:eastAsia="pl-PL"/>
                <w14:ligatures w14:val="none"/>
              </w:rPr>
              <w:t xml:space="preserve"> (testowany dla hodowli komórkowych) 1 x 1 ml. W oryginalnym opakowaniu producenta z oryginalnym zabezpieczeniem i oryginalną etykietą, z datą ważności min pół roku od daty zamówienia.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C3CE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0A6" w14:textId="77777777" w:rsidR="009B594B" w:rsidRPr="009B594B" w:rsidRDefault="009B594B" w:rsidP="009B5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B59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355D7549" w14:textId="77777777" w:rsidR="009B594B" w:rsidRPr="009B594B" w:rsidRDefault="009B594B" w:rsidP="009B594B">
      <w:pPr>
        <w:spacing w:line="259" w:lineRule="auto"/>
        <w:rPr>
          <w:rFonts w:cstheme="minorHAnsi"/>
          <w:kern w:val="0"/>
          <w:sz w:val="20"/>
          <w:szCs w:val="20"/>
          <w14:ligatures w14:val="none"/>
        </w:rPr>
      </w:pPr>
    </w:p>
    <w:bookmarkEnd w:id="1"/>
    <w:p w14:paraId="5D6944C3" w14:textId="77777777" w:rsidR="009B594B" w:rsidRPr="009B594B" w:rsidRDefault="009B594B" w:rsidP="009B594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9B594B">
        <w:rPr>
          <w:rFonts w:cstheme="minorHAnsi"/>
          <w:kern w:val="0"/>
          <w:sz w:val="20"/>
          <w:szCs w:val="20"/>
          <w14:ligatures w14:val="none"/>
        </w:rPr>
        <w:t xml:space="preserve">W przypadku odpowiedzi przeczącej (NIE) Wykonawca jest zobowiązany do wskazania (oprócz nr strony)  </w:t>
      </w:r>
      <w:r w:rsidRPr="009B594B">
        <w:rPr>
          <w:rFonts w:cstheme="minorHAnsi"/>
          <w:kern w:val="0"/>
          <w:sz w:val="20"/>
          <w:szCs w:val="20"/>
          <w14:ligatures w14:val="none"/>
        </w:rPr>
        <w:br/>
        <w:t xml:space="preserve">w kolumnie </w:t>
      </w:r>
      <w:r w:rsidRPr="009B594B">
        <w:rPr>
          <w:rFonts w:cstheme="minorHAnsi"/>
          <w:b/>
          <w:kern w:val="0"/>
          <w:sz w:val="20"/>
          <w:szCs w:val="20"/>
          <w14:ligatures w14:val="none"/>
        </w:rPr>
        <w:t>„Uwagi” równoważności</w:t>
      </w:r>
      <w:r w:rsidRPr="009B594B">
        <w:rPr>
          <w:rFonts w:cstheme="minorHAnsi"/>
          <w:kern w:val="0"/>
          <w:sz w:val="20"/>
          <w:szCs w:val="20"/>
          <w14:ligatures w14:val="none"/>
        </w:rPr>
        <w:t xml:space="preserve"> zaoferowanego parametru. Jednocześnie informuję, że zaoferowana równoważność nie może być gorsza od wymagań Zamawiającego.</w:t>
      </w:r>
    </w:p>
    <w:p w14:paraId="2A7FE57A" w14:textId="77777777" w:rsidR="009B594B" w:rsidRPr="009B594B" w:rsidRDefault="009B594B" w:rsidP="009B594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9B594B">
        <w:rPr>
          <w:rFonts w:cstheme="minorHAnsi"/>
          <w:kern w:val="0"/>
          <w:sz w:val="20"/>
          <w:szCs w:val="20"/>
          <w14:ligatures w14:val="none"/>
        </w:rPr>
        <w:t>W razie opisania Przedmiotu zamówienia za pomocą norm, aprobat, specyfikacji technicznych Zamawiający dopuszcza  rozwiązania równoważne. W takim wypadku Oferent zobowiązany jest do wskazania w niniejszym załączniku w kolumnie „uwagi” zakresu równoważności.   Opis zaproponowanych rozwiązań równoważnych musi być na tyle szczegółowy, żeby Zamawiający przy ocenie ofert mógł ocenić spełnienie wymagań dotyczących ich właściwości funkcjonalnych, jakościowych i parametrów oraz rozstrzygnąć, czy zaproponowane rozwiązania są równoważne.</w:t>
      </w:r>
    </w:p>
    <w:p w14:paraId="07933DBC" w14:textId="77777777" w:rsidR="009B594B" w:rsidRPr="009B594B" w:rsidRDefault="009B594B" w:rsidP="009B594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kern w:val="0"/>
          <w:sz w:val="20"/>
          <w:szCs w:val="20"/>
          <w14:ligatures w14:val="none"/>
        </w:rPr>
      </w:pPr>
      <w:r w:rsidRPr="009B594B">
        <w:rPr>
          <w:rFonts w:cstheme="minorHAnsi"/>
          <w:kern w:val="0"/>
          <w:sz w:val="20"/>
          <w:szCs w:val="20"/>
          <w14:ligatures w14:val="none"/>
        </w:rPr>
        <w:t xml:space="preserve">Za rozwiązania równoważne należy rozumieć takie, które przedstawiają opis przedmiotu zamówienia o takich samych lub lepszych parametrach technicznych, jakościowych, funkcjonalnych spełniających minimalne parametry określone przez Zamawiającego, lecz oznaczone innym np. znakiem towarowym, patentem lub pochodzeniem, normą, czy aprobatą. </w:t>
      </w:r>
      <w:r w:rsidRPr="009B594B">
        <w:rPr>
          <w:rFonts w:cstheme="minorHAnsi"/>
          <w:b/>
          <w:kern w:val="0"/>
          <w:sz w:val="20"/>
          <w:szCs w:val="20"/>
          <w14:ligatures w14:val="none"/>
        </w:rPr>
        <w:t>Wykonawca, który  powołuje  się  na rozwiązania  równoważne w opisywanym przez Zamawiającego przedmiocie zamówienia, jest obowiązany udowodnić, że proponowane przez niego rozwiązania  w  równoważnym  stopniu  spełniają  wymagania  określone  w zapytaniu ofertowym.</w:t>
      </w:r>
    </w:p>
    <w:p w14:paraId="36B4028E" w14:textId="77777777" w:rsidR="009B594B" w:rsidRPr="009B594B" w:rsidRDefault="009B594B" w:rsidP="009B594B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  <w:r w:rsidRPr="009B594B">
        <w:rPr>
          <w:rFonts w:cstheme="minorHAnsi"/>
          <w:kern w:val="0"/>
          <w:sz w:val="20"/>
          <w:szCs w:val="20"/>
          <w14:ligatures w14:val="none"/>
        </w:rPr>
        <w:t>Zamawiający wymaga od Wykonawcy złożenia stosownych dokumentów uwiarygadniających zastosowanie rozwiązań równoważnych. W przypadku, gdy Wykonawca nie złoży w ofercie dokumentów o zastosowaniu innych równoważnych materiałów lub rozwiązań, to rozumie się przez to, że do kalkulacji ceny oferty i wykonania przedmiotu zamówienia ujęto materiały zaproponowane w szczegółowym opisie przedmiotu zamówienia; w związku z tym Wykonawca jest zobowiązany zastosować do wykonania zamówienia materiały lub rozwiązania zaproponowane w Szczegółowym opisie przedmiotu zamówienia.</w:t>
      </w:r>
    </w:p>
    <w:p w14:paraId="32D2D056" w14:textId="77777777" w:rsidR="009B594B" w:rsidRPr="009B594B" w:rsidRDefault="009B594B" w:rsidP="009B594B">
      <w:pPr>
        <w:spacing w:after="0" w:line="259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5C8F4969" w14:textId="77777777" w:rsidR="009B594B" w:rsidRPr="009B594B" w:rsidRDefault="009B594B" w:rsidP="009B594B">
      <w:pPr>
        <w:spacing w:after="0" w:line="259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000016A4" w14:textId="77777777" w:rsidR="009B594B" w:rsidRPr="009B594B" w:rsidRDefault="009B594B" w:rsidP="009B594B">
      <w:pPr>
        <w:spacing w:line="259" w:lineRule="auto"/>
        <w:ind w:left="567"/>
        <w:jc w:val="both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9B594B">
        <w:rPr>
          <w:rFonts w:eastAsia="Times New Roman" w:cstheme="minorHAnsi"/>
          <w:kern w:val="0"/>
          <w:sz w:val="20"/>
          <w:szCs w:val="20"/>
          <w14:ligatures w14:val="none"/>
        </w:rPr>
        <w:t>………………………………………….……….</w:t>
      </w:r>
      <w:r w:rsidRPr="009B594B">
        <w:rPr>
          <w:rFonts w:eastAsia="Times New Roman" w:cstheme="minorHAnsi"/>
          <w:kern w:val="0"/>
          <w:sz w:val="20"/>
          <w:szCs w:val="20"/>
          <w14:ligatures w14:val="none"/>
        </w:rPr>
        <w:tab/>
        <w:t xml:space="preserve">                                  …………..…………….………………....…………………</w:t>
      </w:r>
    </w:p>
    <w:p w14:paraId="1E714EB9" w14:textId="77777777" w:rsidR="009B594B" w:rsidRPr="009B594B" w:rsidRDefault="009B594B" w:rsidP="009B594B">
      <w:pPr>
        <w:autoSpaceDE w:val="0"/>
        <w:autoSpaceDN w:val="0"/>
        <w:spacing w:line="259" w:lineRule="auto"/>
        <w:ind w:left="5760" w:hanging="4749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  <w:r w:rsidRPr="009B594B">
        <w:rPr>
          <w:rFonts w:cstheme="minorHAnsi"/>
          <w:i/>
          <w:kern w:val="0"/>
          <w:sz w:val="20"/>
          <w:szCs w:val="20"/>
          <w14:ligatures w14:val="none"/>
        </w:rPr>
        <w:t>(miejscowość, data</w:t>
      </w:r>
      <w:r w:rsidRPr="009B594B">
        <w:rPr>
          <w:rFonts w:eastAsia="Times New Roman" w:cstheme="minorHAnsi"/>
          <w:i/>
          <w:kern w:val="0"/>
          <w:sz w:val="20"/>
          <w:szCs w:val="20"/>
          <w14:ligatures w14:val="none"/>
        </w:rPr>
        <w:t xml:space="preserve">) </w:t>
      </w:r>
      <w:r w:rsidRPr="009B594B">
        <w:rPr>
          <w:rFonts w:eastAsia="Times New Roman" w:cstheme="minorHAnsi"/>
          <w:i/>
          <w:kern w:val="0"/>
          <w:sz w:val="20"/>
          <w:szCs w:val="20"/>
          <w14:ligatures w14:val="none"/>
        </w:rPr>
        <w:tab/>
      </w:r>
      <w:r w:rsidRPr="009B594B">
        <w:rPr>
          <w:rFonts w:cstheme="minorHAnsi"/>
          <w:i/>
          <w:kern w:val="0"/>
          <w:sz w:val="20"/>
          <w:szCs w:val="20"/>
          <w14:ligatures w14:val="none"/>
        </w:rPr>
        <w:t>(czytelny podpis Wykonawcy lub osoby     upoważnionej do reprezentacji)</w:t>
      </w:r>
    </w:p>
    <w:p w14:paraId="7BE5CB13" w14:textId="77777777" w:rsidR="009B594B" w:rsidRPr="009B594B" w:rsidRDefault="009B594B" w:rsidP="009B594B">
      <w:pPr>
        <w:tabs>
          <w:tab w:val="left" w:pos="7300"/>
        </w:tabs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39AC848D" w14:textId="77777777" w:rsidR="009B594B" w:rsidRPr="009B594B" w:rsidRDefault="009B594B" w:rsidP="009B594B">
      <w:pPr>
        <w:autoSpaceDE w:val="0"/>
        <w:autoSpaceDN w:val="0"/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2A65D763" w14:textId="77777777" w:rsidR="009B594B" w:rsidRPr="009B594B" w:rsidRDefault="009B594B" w:rsidP="009B594B">
      <w:pPr>
        <w:autoSpaceDN w:val="0"/>
        <w:spacing w:after="60" w:line="276" w:lineRule="auto"/>
        <w:ind w:left="714"/>
        <w:jc w:val="both"/>
        <w:rPr>
          <w:rFonts w:eastAsia="Times New Roman" w:cstheme="minorHAnsi"/>
          <w:kern w:val="3"/>
          <w:sz w:val="20"/>
          <w:szCs w:val="20"/>
          <w:lang w:eastAsia="pl-PL"/>
          <w14:ligatures w14:val="none"/>
        </w:rPr>
      </w:pPr>
    </w:p>
    <w:p w14:paraId="2004B35B" w14:textId="77777777" w:rsidR="009B594B" w:rsidRPr="009B594B" w:rsidRDefault="009B594B" w:rsidP="009B594B">
      <w:pPr>
        <w:autoSpaceDN w:val="0"/>
        <w:spacing w:after="60" w:line="276" w:lineRule="auto"/>
        <w:ind w:left="4820"/>
        <w:rPr>
          <w:rFonts w:eastAsia="Times New Roman" w:cstheme="minorHAnsi"/>
          <w:kern w:val="3"/>
          <w:sz w:val="20"/>
          <w:szCs w:val="20"/>
          <w:lang w:eastAsia="pl-PL"/>
          <w14:ligatures w14:val="none"/>
        </w:rPr>
      </w:pPr>
    </w:p>
    <w:p w14:paraId="6F615AFC" w14:textId="77777777" w:rsidR="009B594B" w:rsidRPr="009B594B" w:rsidRDefault="009B594B" w:rsidP="009B594B">
      <w:pPr>
        <w:spacing w:line="259" w:lineRule="auto"/>
        <w:rPr>
          <w:rFonts w:cstheme="minorHAnsi"/>
          <w:kern w:val="0"/>
          <w:sz w:val="22"/>
          <w:szCs w:val="22"/>
          <w14:ligatures w14:val="none"/>
        </w:rPr>
      </w:pPr>
    </w:p>
    <w:p w14:paraId="04EC66D8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7C321228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27EF7062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27B73027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39BF05C2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704CC927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4CCDC9AA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0DBE5933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5A70B638" w14:textId="77777777" w:rsidR="009B594B" w:rsidRPr="009B594B" w:rsidRDefault="009B594B" w:rsidP="009B594B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14:ligatures w14:val="none"/>
        </w:rPr>
      </w:pPr>
    </w:p>
    <w:p w14:paraId="310B6121" w14:textId="77777777" w:rsidR="009B594B" w:rsidRPr="009B594B" w:rsidRDefault="009B594B" w:rsidP="009B594B">
      <w:pPr>
        <w:spacing w:line="259" w:lineRule="auto"/>
        <w:rPr>
          <w:rFonts w:cstheme="minorHAnsi"/>
          <w:b/>
          <w:color w:val="000000" w:themeColor="text1"/>
          <w:kern w:val="0"/>
          <w:sz w:val="20"/>
          <w:szCs w:val="20"/>
          <w14:ligatures w14:val="none"/>
        </w:rPr>
      </w:pPr>
    </w:p>
    <w:p w14:paraId="1C9A0037" w14:textId="77777777" w:rsidR="009B594B" w:rsidRPr="009B594B" w:rsidRDefault="009B594B" w:rsidP="009B594B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B06ED8F" w14:textId="77777777" w:rsidR="009B594B" w:rsidRPr="009B594B" w:rsidRDefault="009B594B" w:rsidP="009B594B"/>
    <w:p w14:paraId="0A799B53" w14:textId="77777777" w:rsidR="009B594B" w:rsidRDefault="009B594B"/>
    <w:sectPr w:rsidR="009B594B" w:rsidSect="009B594B">
      <w:headerReference w:type="default" r:id="rId5"/>
      <w:footerReference w:type="default" r:id="rId6"/>
      <w:pgSz w:w="11906" w:h="16838"/>
      <w:pgMar w:top="1270" w:right="1416" w:bottom="1276" w:left="1417" w:header="51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E21057" w14:textId="77777777" w:rsidR="009B594B" w:rsidRPr="00BD1DD1" w:rsidRDefault="009B594B" w:rsidP="00BD1D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6DE7" w14:textId="77777777" w:rsidR="009B594B" w:rsidRDefault="009B594B" w:rsidP="004655BC">
    <w:pPr>
      <w:pStyle w:val="Nagwek"/>
      <w:jc w:val="center"/>
    </w:pPr>
    <w:r>
      <w:rPr>
        <w:noProof/>
      </w:rPr>
      <w:drawing>
        <wp:inline distT="0" distB="0" distL="0" distR="0" wp14:anchorId="59DBD32F" wp14:editId="6141A4A3">
          <wp:extent cx="5760720" cy="519430"/>
          <wp:effectExtent l="0" t="0" r="0" b="0"/>
          <wp:docPr id="223548463" name="Obraz 223548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4685"/>
    <w:multiLevelType w:val="hybridMultilevel"/>
    <w:tmpl w:val="BBA4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69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4B"/>
    <w:rsid w:val="00796088"/>
    <w:rsid w:val="009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3E11"/>
  <w15:chartTrackingRefBased/>
  <w15:docId w15:val="{D338B203-0E3F-4A68-9F88-0D6A9DC3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9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9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9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9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9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9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9B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594B"/>
  </w:style>
  <w:style w:type="paragraph" w:styleId="Stopka">
    <w:name w:val="footer"/>
    <w:basedOn w:val="Normalny"/>
    <w:link w:val="StopkaZnak"/>
    <w:uiPriority w:val="99"/>
    <w:semiHidden/>
    <w:unhideWhenUsed/>
    <w:rsid w:val="009B5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6441</Words>
  <Characters>38650</Characters>
  <Application>Microsoft Office Word</Application>
  <DocSecurity>0</DocSecurity>
  <Lines>322</Lines>
  <Paragraphs>90</Paragraphs>
  <ScaleCrop>false</ScaleCrop>
  <Company/>
  <LinksUpToDate>false</LinksUpToDate>
  <CharactersWithSpaces>45001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Kwiecińska</dc:creator>
  <cp:keywords/>
  <dc:description/>
  <cp:lastModifiedBy>Ewa Kwiecińska</cp:lastModifiedBy>
  <cp:revision>1</cp:revision>
  <dcterms:created xsi:type="dcterms:W3CDTF">2025-04-03T12:19:00Z</dcterms:created>
  <dcterms:modified xsi:type="dcterms:W3CDTF">2025-04-03T12:19:00Z</dcterms:modified>
</cp:coreProperties>
</file>