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98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Zał. nr 4 do zapytania ofertowego nr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1/03/2025/KPO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Specyfikacja techniczna domów mobilnych</w:t>
        <w:br w:type="textWrapping"/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Dwa domy mobilne z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podwoziem/przyczepą. Dom o wymiarach 780 x 255 x 337 cm (wymiary bez podwozia/przyczepy) wraz z niezbędnymi instalacjami i wyposażeniem zgodny z projektem będącym załącznikiem niniejszej specyfikacji.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  <w:t xml:space="preserve">Wymogi materiałowe:</w:t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64"/>
        <w:gridCol w:w="1872"/>
        <w:gridCol w:w="2664"/>
        <w:gridCol w:w="4598"/>
        <w:tblGridChange w:id="0">
          <w:tblGrid>
            <w:gridCol w:w="564"/>
            <w:gridCol w:w="1872"/>
            <w:gridCol w:w="2664"/>
            <w:gridCol w:w="4598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Elementy domu mobilnego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Wymogi do zapytania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PODWOZIE/PRZYCZEPA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Konstrukcja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Stalowa ocynkowana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Kolor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Czarny matowy RAL 7024 lub RAL 9005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Typ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Dwuosiowa lub trzyosiowa przystosowana do przewozu domu o wymiarach 780 x 255 x 337 cm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NADBUDOWA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Konstrukcja domu mobilnego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Drewniana, certyfikowane drewno C24 i/lub KVH, świerk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Odprowadzenie ścieków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bezodpływowego zbiornika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Podgrzewanie wody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Bojler minimum 45L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Ogrzewanie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Piec - koza opalana drewnem oraz grzejnik elektryczny w kolorze czarnym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Dodatkowe źródła energii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Fotowoltaika wraz z magazynem energii: minimum 3 sztywne panele po min. 300W każdy gwarancja producenta minimum 15 lat, magazyn energii LiFePO4 200Ah, 12,8 V gwarancja producenta min. 3 lata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Izolacja termiczna ścian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Wełna mineralna minimum 100mm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λ 0,036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Izolacja termiczna podłogi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Styrodur minimum 100mm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Wewnętrzna izolacja ścian - paroizolacja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Współczynnik oporu dyfuzyjnego - 15 Sd [m]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Przenikanie pary wodnej Sd - 8 g/m2 24h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Gramatura - min 95 g/m2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Wytrzymałość na rozdzieranie gwoździem - min 120/160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Zewnętrzna wiatroszczelna izolacja ścian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Przenikanie pary wodnej Sd - 0,02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Odporność na przesiąkanie wody - Klasa W1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Gramatura - min 120 g/m2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Izolacja przeciwwilgociowa dachu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Przenikanie pary wodnej Sd - 0,02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Odporność na przesiąkanie wody - Klasa W1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Gramatura - min 120 g/m2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Izolacja termiczna dachu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Wełna mineralna minimum 100mm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λ 0,036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Pokrycie dachu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Blacha na rąbek stojący w kolorze czarnym matowym, obróbki blacharskie w kolorze czarnym, rynny ukryte, rury spustowe kwadratowe w kolorze czarnym.</w:t>
            </w:r>
            <w:r w:rsidDel="00000000" w:rsidR="00000000" w:rsidRPr="00000000">
              <w:rPr>
                <w:color w:val="ff02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Dopuszcza się zastosowanie blachy trapezowej w kolorze czarnym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Stolarka okienna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Stolarka aluminiowa z izolacją w kolorze czarnym matowym (RAL 7024 lub RAL 9005) podwójne szyby, szkło ESG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Okna dachowe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Konstrukcja drewniana, czarne na zewnątrz, 3-szybowe</w:t>
            </w:r>
          </w:p>
        </w:tc>
      </w:tr>
      <w:tr>
        <w:trPr>
          <w:cantSplit w:val="0"/>
          <w:trHeight w:val="28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Drzwi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Aluminiowe z izolacją w kolorze czarnym matowym (RAL 7024 lub RAL 9005) podwójne szyby, szkło ESG - analogicznie do stolarki okiennej.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Drzwi wejściowe z zamkiem elektronicznym SMART WIFI na PIN.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Drzwi wewnętrzne do łazienki przesuwne kieszeniowe wykonane ze sklejki analogicznie do wykończenia ścian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elewacji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Deska świerk skandynawski lub sosna thermo opalana metodą Shou Sugi Ban, kolor czarny. Układ desek pionowy.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łazienki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kabiny prysznicowej oraz fartucha przy umywalce i toalecie wodoodpornymi panelami np. FIBO Lentini Dark lub równorzędnymi w kolorze czarnym. Armatura w kolorze czarnym, brodzik niskoprofilowy czarny 80 x 100 - 120 cm z kabiną z drzwiami przesuwnymi i elementami osprzętu w kolorze czarnym, umywalka z szafką wiszącą ze sklejki wodoodpornej  lakierowaną w kolorze czarnym, toaleta kompostująca, wentylator łazienkowy w kolorze czarnym. Wyposażenie dodatkowe typu wieszaki na ręczniki, uchwyt na papier w kolorze czarnym.</w:t>
            </w:r>
          </w:p>
        </w:tc>
      </w:tr>
      <w:tr>
        <w:trPr>
          <w:cantSplit w:val="0"/>
          <w:trHeight w:val="47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kuchni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Zabudowa stolarska na wymiar z armaturą 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sprzętem AGD: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fronty - sklejka topolowa / falcata, grubości 15 mm wykończenie lakierem bezbarwnym o efekcie świeżego drewna np. Blanchon INTENSIV bądź równorzędnym i kryjącym lakierem czarnym matowym lub olejem czarnym i transparentnym;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blat czarny matowy spiek lub HPL odporny na zarysowania i łatwy w czyszczeniu, zlewozmywak czarny ceramiczny 40 cm bez ociekacza, bateria zlewozmywakowa czarna, oświetlenie liniowe LED pod szafkami wiszącymi</w:t>
            </w:r>
          </w:p>
        </w:tc>
      </w:tr>
      <w:tr>
        <w:trPr>
          <w:cantSplit w:val="0"/>
          <w:trHeight w:val="19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Wyposażenie AGD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Lodówka bez zamrażalnika pod zabudowę do 88 cm wysokości, maksymalny poziom hałasu 39 dB pojemność minimum 115 l, płyta gazowa 2 palniki czarna ceramiczna,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wentylator kuchenny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wnętrza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Zabudowa stolarska szaf - półek, łóżek, narożnika/kanapy - sklejka topolowa / falcata, grubości 15 mm wykończenie lakierem bezbarwnym o efekcie świeżego drewna np. Blanchon INTENSIV bądź równorzędnym lub olejem transparentnym, materace z pianki średniej twardości T30/40 pokrowce/tapicerka narożnika-kanapy w kolorze szarym, grafitowym lub czarnym o parametrach: ograniczone wchłanianie płynów, certyfikat Oeko-Tex, ścieralność Test Martindale min 85000, tkanina trudnozapalna, odporność koloru na światło min. 4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podłóg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Panel winylowy lub wykładzina winylowa - kolor lub wzór szary lub grafitowy - imitacja betonu o parametrach: grubość minimum 2,2 mm, grubość warstwy użytkowej minimum 0,55 mm, 100% wolny od ftalanów, produkcja oparta na zasadach zero waste, antypoślizgowość R10, reakcja na ogień - B</w:t>
            </w:r>
            <w:r w:rsidDel="00000000" w:rsidR="00000000" w:rsidRPr="00000000">
              <w:rPr>
                <w:sz w:val="22"/>
                <w:szCs w:val="22"/>
                <w:vertAlign w:val="subscript"/>
                <w:rtl w:val="0"/>
              </w:rPr>
              <w:t xml:space="preserve">fl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-s1, G, CS, 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trwałość kolorów minimum 6, odporność na zabrudzenia i chemikalia - bardzo dobra, klasyfikacja obiektowa wg EN-ISO 10874 - minimum 33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Wykończenie wewnętrzne ścian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sklejka topolowa / falcata, grubości 8 mm wykończenie lakierem bezbarwnym o efekcie świeżego drewna np. Blanchon INTENSIV bądź równorzędnym lub olejem transparentnym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Oświetlenie wewnętrzne + oprawy gniazd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Pełne wyposażenie - osprzęt, oprawy w kolorze czarnym. Wzornictwo proste minimalistyczne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schody wejściowe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Deska ryflowana thermo sosna w kolorze elewacji domu mobilnego lub stalowe ocynkowane malowane w kolorze czarnym matowym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Oświetlenie zewnętrzne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Oprawy zewnętrzne w kolorze czarnym montowane w strefie wejściowej</w:t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SimSu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tabs>
        <w:tab w:val="center" w:leader="none" w:pos="4536"/>
        <w:tab w:val="right" w:leader="none" w:pos="9072"/>
      </w:tabs>
      <w:rPr>
        <w:rFonts w:ascii="NSimSun" w:cs="NSimSun" w:eastAsia="NSimSun" w:hAnsi="NSimSun"/>
      </w:rPr>
    </w:pPr>
    <w:r w:rsidDel="00000000" w:rsidR="00000000" w:rsidRPr="00000000">
      <w:rPr/>
      <w:drawing>
        <wp:inline distB="0" distT="0" distL="0" distR="0">
          <wp:extent cx="5762627" cy="361950"/>
          <wp:effectExtent b="0" l="0" r="0" t="0"/>
          <wp:docPr descr="Krajowy Plan Odbudowy, Rzeczpospolita Polska, Sfinansowane przez Unię Europejską Next Generation EU, PARP-Grupa PFR" id="1073741826" name="image1.png"/>
          <a:graphic>
            <a:graphicData uri="http://schemas.openxmlformats.org/drawingml/2006/picture">
              <pic:pic>
                <pic:nvPicPr>
                  <pic:cNvPr descr="Krajowy Plan Odbudowy, Rzeczpospolita Polska, Sfinansowane przez Unię Europejską Next Generation EU, PARP-Grupa PF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7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96" w:right="0" w:hanging="19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</w:pPr>
    <w:rPr>
      <w:rFonts w:cs="Arial Unicode MS"/>
      <w:color w:val="000000"/>
      <w:kern w:val="2"/>
      <w:sz w:val="24"/>
      <w:szCs w:val="24"/>
      <w:u w:color="000000"/>
    </w:rPr>
  </w:style>
  <w:style w:type="paragraph" w:styleId="Nagwek2">
    <w:name w:val="heading 2"/>
    <w:link w:val="Nagwek2Znak"/>
    <w:uiPriority w:val="9"/>
    <w:unhideWhenUsed w:val="1"/>
    <w:qFormat w:val="1"/>
    <w:rsid w:val="00CE3266"/>
    <w:pPr>
      <w:widowControl w:val="0"/>
      <w:ind w:left="196"/>
      <w:outlineLvl w:val="1"/>
    </w:pPr>
    <w:rPr>
      <w:rFonts w:ascii="Calibri" w:cs="Calibri" w:eastAsia="Calibri" w:hAnsi="Calibri"/>
      <w:b w:val="1"/>
      <w:bCs w:val="1"/>
      <w:color w:val="000000"/>
      <w:sz w:val="22"/>
      <w:szCs w:val="22"/>
      <w:u w:color="000000"/>
      <w:lang w:val="de-D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680"/>
        <w:tab w:val="right" w:pos="9360"/>
      </w:tabs>
      <w:suppressAutoHyphens w:val="1"/>
    </w:pPr>
    <w:rPr>
      <w:rFonts w:cs="Arial Unicode MS"/>
      <w:color w:val="000000"/>
      <w:kern w:val="2"/>
      <w:sz w:val="24"/>
      <w:szCs w:val="24"/>
      <w:u w:color="000000"/>
    </w:rPr>
  </w:style>
  <w:style w:type="character" w:styleId="Nagwek2Znak" w:customStyle="1">
    <w:name w:val="Nagłówek 2 Znak"/>
    <w:basedOn w:val="Domylnaczcionkaakapitu"/>
    <w:link w:val="Nagwek2"/>
    <w:uiPriority w:val="9"/>
    <w:rsid w:val="00CE3266"/>
    <w:rPr>
      <w:rFonts w:ascii="Calibri" w:cs="Calibri" w:eastAsia="Calibri" w:hAnsi="Calibri"/>
      <w:b w:val="1"/>
      <w:bCs w:val="1"/>
      <w:color w:val="000000"/>
      <w:sz w:val="22"/>
      <w:szCs w:val="22"/>
      <w:u w:color="000000"/>
      <w:lang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6AeoggQOYRsf8Awh1mEcK7w5cw==">CgMxLjA4AHIhMTMtakQ1emFDTnRjUDZtWG5CcnZQNlRDZnkwbjdvS3NN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2025-03-26T12:52:00Z</dcterms:created>
</cp:coreProperties>
</file>