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5164" w14:textId="77777777"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0C1C41F9" w14:textId="77777777" w:rsidR="00F60AFF" w:rsidRDefault="00F60AFF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331B9C5D" w14:textId="77777777" w:rsidR="00F60AFF" w:rsidRDefault="00F60AFF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454A6A63" w14:textId="77777777" w:rsidR="004F3674" w:rsidRDefault="004F3674">
      <w:pPr>
        <w:autoSpaceDE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52E02032" w14:textId="77777777" w:rsidR="00AB6494" w:rsidRDefault="00AB6494" w:rsidP="00F60AFF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B3FFBE5" w14:textId="77777777" w:rsidR="00DC53A5" w:rsidRPr="00C45769" w:rsidRDefault="00DC53A5" w:rsidP="00DC53A5">
      <w:pPr>
        <w:rPr>
          <w:b/>
        </w:rPr>
      </w:pPr>
      <w:r w:rsidRPr="00C45769">
        <w:rPr>
          <w:b/>
        </w:rPr>
        <w:t xml:space="preserve">Załącznik nr </w:t>
      </w:r>
      <w:r w:rsidR="003D7A50">
        <w:rPr>
          <w:b/>
        </w:rPr>
        <w:t>6</w:t>
      </w:r>
    </w:p>
    <w:p w14:paraId="60AF894F" w14:textId="77777777" w:rsidR="001C36B5" w:rsidRDefault="001C36B5" w:rsidP="001C36B5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 OPZ</w:t>
      </w:r>
    </w:p>
    <w:p w14:paraId="49338520" w14:textId="77777777" w:rsidR="001F423E" w:rsidRDefault="00813D1C" w:rsidP="001F423E">
      <w:pPr>
        <w:rPr>
          <w:b/>
        </w:rPr>
      </w:pPr>
      <w:r>
        <w:rPr>
          <w:b/>
        </w:rPr>
        <w:t xml:space="preserve">Zamówienie dotyczy zakupu </w:t>
      </w:r>
      <w:r w:rsidR="00903478">
        <w:rPr>
          <w:b/>
        </w:rPr>
        <w:t>miernika wielofunkcyjnego 2,5kV</w:t>
      </w:r>
    </w:p>
    <w:p w14:paraId="5886E5E7" w14:textId="77777777" w:rsidR="001F423E" w:rsidRPr="00682989" w:rsidRDefault="001F423E" w:rsidP="001F423E">
      <w:pPr>
        <w:rPr>
          <w:b/>
        </w:rPr>
      </w:pPr>
    </w:p>
    <w:p w14:paraId="4A2EC17C" w14:textId="77777777" w:rsidR="00903478" w:rsidRDefault="00903478" w:rsidP="00903478">
      <w:pPr>
        <w:rPr>
          <w:b/>
          <w:sz w:val="32"/>
          <w:szCs w:val="32"/>
        </w:rPr>
      </w:pPr>
      <w:r w:rsidRPr="0079573C">
        <w:rPr>
          <w:b/>
          <w:sz w:val="32"/>
          <w:szCs w:val="32"/>
        </w:rPr>
        <w:t xml:space="preserve">Miernik wielofunkcyjny 2,5 </w:t>
      </w:r>
      <w:proofErr w:type="spellStart"/>
      <w:r w:rsidRPr="0079573C">
        <w:rPr>
          <w:b/>
          <w:sz w:val="32"/>
          <w:szCs w:val="32"/>
        </w:rPr>
        <w:t>kV</w:t>
      </w:r>
      <w:proofErr w:type="spellEnd"/>
      <w:r>
        <w:rPr>
          <w:b/>
          <w:sz w:val="32"/>
          <w:szCs w:val="32"/>
        </w:rPr>
        <w:t xml:space="preserve"> ma spełniać wymagania:</w:t>
      </w:r>
    </w:p>
    <w:p w14:paraId="7EC18178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Pomiary impedancji pętli zwarciowej:</w:t>
      </w:r>
    </w:p>
    <w:p w14:paraId="6090C71C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pomiar impedancji prądem rzędu 23A (44A przy napięciu międzyfazowym) - rezystor zwarciowy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Rzw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=10Ω,</w:t>
      </w:r>
    </w:p>
    <w:p w14:paraId="2D337A61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zakres napięć pomiarowych: 95...440V, częstotliwości 45...65Hz,</w:t>
      </w:r>
    </w:p>
    <w:p w14:paraId="2AEAA2B9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 impedancji pętli zwarcia z rozdzielczością do 0,01Ω, w instalacjach zabezpieczonych wyłącznikami RCD o IΔn≥30mA bez ich zadziałania,</w:t>
      </w:r>
    </w:p>
    <w:p w14:paraId="067151A0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automatyczne wyliczanie prądu zwarciowego; rozróżnianie napięcia fazowego</w:t>
      </w:r>
    </w:p>
    <w:p w14:paraId="4455265D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i międzyfazowego,</w:t>
      </w:r>
    </w:p>
    <w:p w14:paraId="11ADA351" w14:textId="77777777" w:rsidR="00903478" w:rsidRPr="0038794A" w:rsidRDefault="00903478" w:rsidP="00903478">
      <w:pPr>
        <w:numPr>
          <w:ilvl w:val="0"/>
          <w:numId w:val="20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pomiary przy użyciu wtyczki UNI-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Schuko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z przyciskiem wyzwalającym pomiar (również przy zamienionych przewodach L i N) lub przewodach o długości 1,2m, 5m, 10m, 20m, z ewentualnym wykorzystaniem adapterów gniazd 3-faz. (AGT).</w:t>
      </w:r>
    </w:p>
    <w:p w14:paraId="4D5F129F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Badanie wyłączników różnicowoprądowych typu AC, A i B:</w:t>
      </w:r>
    </w:p>
    <w:p w14:paraId="535A4071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pomiar wyłączników zwykłych,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krótkozwłocznych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i selektywnych</w:t>
      </w:r>
    </w:p>
    <w:p w14:paraId="4867115B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o znamionowych prądach różnicowych 10, 30, 100, 300, 500 i 1000mA,</w:t>
      </w:r>
    </w:p>
    <w:p w14:paraId="3511B5E3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funkcja automatycznego pomiaru pełnego zestawu parametrów wyłącznika (po jednorazowym naciśnięciu przycisku „START” miernik wykonuje cały zadany cykl pomiarów łącznie z możliwością pomiaru impedancji pętli zwarcia L-PE prądem 15mA),</w:t>
      </w:r>
    </w:p>
    <w:p w14:paraId="037B998A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kształt przebiegu wymuszanego prądu upływu wybierany przez użytkownika: sinusoidalny (start od zbocza narastającego lub opadającego), jednokierunkowy pulsujący (dodatni lub ujemny), jednokierunkowy pulsujący z podkładem prądu stałego (dodatni i ujemny), stały (dodatni i ujemny),</w:t>
      </w:r>
    </w:p>
    <w:p w14:paraId="37BDEEF7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 prądu wyzwalania IA prądem narastającym,</w:t>
      </w:r>
    </w:p>
    <w:p w14:paraId="0C855D8A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pomiar czasu zadziałania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tA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przy prądach ½IΔn, 1IΔn, 2IΔn i 5IΔn ,</w:t>
      </w:r>
    </w:p>
    <w:p w14:paraId="73622882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 napięcia dotykowego UB i rezystancji przewodu ochronnego RE bez wyzwalania wyłącznika,</w:t>
      </w:r>
    </w:p>
    <w:p w14:paraId="17B8F7F8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wykrywanie zamiany przewodów L i N w gniazdku; nie wpływa na wykonywanie pomiarów,</w:t>
      </w:r>
    </w:p>
    <w:p w14:paraId="2E0D9892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możliwość pomiaru prądu zadziałania IA oraz rzeczywistego czasu zadziałania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tAI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przy jednym wyłączeniu RCD,</w:t>
      </w:r>
    </w:p>
    <w:p w14:paraId="5AA2EAB6" w14:textId="77777777" w:rsidR="00903478" w:rsidRPr="0038794A" w:rsidRDefault="00903478" w:rsidP="00903478">
      <w:pPr>
        <w:numPr>
          <w:ilvl w:val="0"/>
          <w:numId w:val="2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pomiary dla napięcia 95...270V.</w:t>
      </w:r>
    </w:p>
    <w:p w14:paraId="37132182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73F94673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3D109BE5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41396C3E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52FA6E60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6C692945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Pomiary rezystancji izolacji:</w:t>
      </w:r>
    </w:p>
    <w:p w14:paraId="19613873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napięcia pomiarowe: 50V, 100V, 250V, 500V i 1000V oraz 2500V</w:t>
      </w:r>
    </w:p>
    <w:p w14:paraId="41BF5B56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 rezystancji izolacji do 10 GΩ,</w:t>
      </w:r>
    </w:p>
    <w:p w14:paraId="651FB7A0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ustawianie 3 interwałów czasowych T1, T2, T3 z przedziału 6...600s,</w:t>
      </w:r>
    </w:p>
    <w:p w14:paraId="0CD4569C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wyliczanie 2 współczynników absorpcji,</w:t>
      </w:r>
    </w:p>
    <w:p w14:paraId="490B5E36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zabezpieczenie miernika przed obecnością napięcia na obiekcie i pojawieniem się napięcia w trakcie pomiaru,</w:t>
      </w:r>
    </w:p>
    <w:p w14:paraId="542A18A7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samoczynne rozładowywanie pojemności mierzonego obiektu po zakończeniu pomiaru,</w:t>
      </w:r>
    </w:p>
    <w:p w14:paraId="6E00B31B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automatyczny pomiar wszystkich kombinacji rezystancji w przewodach 3-, 4- i 5-żyłowych i kabli energetycznych przy wykorzystaniu dodatkowego adaptera AutoISO-2500,</w:t>
      </w:r>
    </w:p>
    <w:p w14:paraId="2BE3F6FD" w14:textId="77777777" w:rsidR="00903478" w:rsidRPr="0038794A" w:rsidRDefault="00903478" w:rsidP="00903478">
      <w:pPr>
        <w:numPr>
          <w:ilvl w:val="0"/>
          <w:numId w:val="2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akustyczne wyznaczanie pięciosekundowych odcinków czasu ułatwiające zdjęcie charakterystyk czasowych przy pomiarze rezystancji izolacji.</w:t>
      </w:r>
    </w:p>
    <w:p w14:paraId="63871C34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Niskonapięciowy pomiar rezystancji połączeń ochronnych i wyrównawczych:</w:t>
      </w:r>
    </w:p>
    <w:p w14:paraId="5151DDFE" w14:textId="77777777" w:rsidR="00903478" w:rsidRPr="0038794A" w:rsidRDefault="00903478" w:rsidP="00903478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pomiar ciągłości przewodu ochronnego prądem ≥200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mA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w dwóch kierunkach,</w:t>
      </w:r>
    </w:p>
    <w:p w14:paraId="4CBE30B7" w14:textId="77777777" w:rsidR="00903478" w:rsidRPr="0038794A" w:rsidRDefault="00903478" w:rsidP="00903478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 małym prądem z sygnalizacją akustyczną i świetlną (zielona dioda),</w:t>
      </w:r>
    </w:p>
    <w:p w14:paraId="375FB559" w14:textId="77777777" w:rsidR="00903478" w:rsidRPr="0038794A" w:rsidRDefault="00903478" w:rsidP="00903478">
      <w:pPr>
        <w:numPr>
          <w:ilvl w:val="0"/>
          <w:numId w:val="2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autokalibracja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przewodów pomiarowych - możliwość stosowania przewodów dowolnej długości.</w:t>
      </w:r>
    </w:p>
    <w:p w14:paraId="6DBCDB24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Pomiary rezystancji uziemienia:</w:t>
      </w:r>
    </w:p>
    <w:p w14:paraId="012FDCAF" w14:textId="77777777" w:rsidR="00903478" w:rsidRPr="0038794A" w:rsidRDefault="00903478" w:rsidP="00903478">
      <w:pPr>
        <w:numPr>
          <w:ilvl w:val="0"/>
          <w:numId w:val="2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  pomiar metodą techniczną 3- przewodową z 2 elektrodami pomocniczymi,</w:t>
      </w:r>
    </w:p>
    <w:p w14:paraId="2431C891" w14:textId="77777777" w:rsidR="00903478" w:rsidRPr="0038794A" w:rsidRDefault="00903478" w:rsidP="00903478">
      <w:pPr>
        <w:numPr>
          <w:ilvl w:val="0"/>
          <w:numId w:val="2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  wewnętrzne źródło napięcia o częstotliwości odpowiedniej dla sieci 50/60Hz.</w:t>
      </w:r>
    </w:p>
    <w:p w14:paraId="24E835D9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Szybkie sprawdzanie poprawności podłączenia przewodu ochronnego PE za pomocą elektrody dotykowej. Sprawdzanie kolejności faz. Sygnalizacja wysokiego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napiecia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 na złączach miernika (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zółta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 dioda). Pamięć 990 rekordów (57500 pojedynczych wyników), transmisja danych do komputera poprzez łącze USB lub radiowe. Zegar czasu rzeczywistego (RTC) - czas pomiaru zapisywany do pamięci Zasilanie z baterii lub akumulatora. Przyrząd spełnia wymagania normy PN-EN 61557. Bezpieczeństwo elektryczne:</w:t>
      </w:r>
    </w:p>
    <w:p w14:paraId="7B669CA2" w14:textId="77777777" w:rsidR="00903478" w:rsidRPr="0038794A" w:rsidRDefault="00903478" w:rsidP="00903478">
      <w:pPr>
        <w:numPr>
          <w:ilvl w:val="0"/>
          <w:numId w:val="25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rodzaj izolacji: podwójna, zgodnie z PN-EN 61010-1 i IEC 61557</w:t>
      </w:r>
    </w:p>
    <w:p w14:paraId="2A93F065" w14:textId="77777777" w:rsidR="00903478" w:rsidRPr="0038794A" w:rsidRDefault="00903478" w:rsidP="00903478">
      <w:pPr>
        <w:numPr>
          <w:ilvl w:val="0"/>
          <w:numId w:val="25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kategoria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pomiarowa:III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600V, IV 300V wg PN-EN 61010-1</w:t>
      </w:r>
    </w:p>
    <w:p w14:paraId="087A2664" w14:textId="77777777" w:rsidR="00903478" w:rsidRPr="0038794A" w:rsidRDefault="00903478" w:rsidP="00903478">
      <w:pPr>
        <w:numPr>
          <w:ilvl w:val="0"/>
          <w:numId w:val="25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stopień ochrony obudowy wg PN-EN 60529: IP54</w:t>
      </w:r>
    </w:p>
    <w:p w14:paraId="511F79AF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Pozostałe dane techniczne:</w:t>
      </w:r>
    </w:p>
    <w:p w14:paraId="3F8C009F" w14:textId="77777777" w:rsidR="00903478" w:rsidRPr="0038794A" w:rsidRDefault="00903478" w:rsidP="00903478">
      <w:pPr>
        <w:numPr>
          <w:ilvl w:val="0"/>
          <w:numId w:val="26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zasilanie miernika: baterie alkaliczne LR14 (4 szt.) lub akumulator Ni-M</w:t>
      </w:r>
    </w:p>
    <w:p w14:paraId="7900A9A0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  Pomiar impedancji pętli zwarcia ZL-PE, ZL-N, ZL-L Pomiar prądem 23/40A - zakres pomiarowy wg PN-EN 61557: 0,13...1999,9Ω (dla przewodu pomiarowego 1,2m):</w:t>
      </w:r>
    </w:p>
    <w:p w14:paraId="29786579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0AD9A0A9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59F534BB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2EF4D2C2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01463ABE" w14:textId="77777777" w:rsidR="00903478" w:rsidRDefault="00903478" w:rsidP="00903478">
      <w:pPr>
        <w:spacing w:after="0" w:line="240" w:lineRule="auto"/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</w:pPr>
    </w:p>
    <w:p w14:paraId="7E482B77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80"/>
        <w:gridCol w:w="1686"/>
        <w:gridCol w:w="2274"/>
      </w:tblGrid>
      <w:tr w:rsidR="00903478" w:rsidRPr="0038794A" w14:paraId="1D3AD8A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1B8670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wyświetlania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A551AB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DED8CA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6A57BA0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595AE9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0,00...19,99Ω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A56EA3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363E51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±(5%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+ 3 cyfr)</w:t>
            </w:r>
          </w:p>
        </w:tc>
      </w:tr>
      <w:tr w:rsidR="00903478" w:rsidRPr="0038794A" w14:paraId="0982164A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287A9B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20,0...199,9Ω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9873DF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4609D6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24675187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E9DC10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200...1999Ω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5028FC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E523FD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2AAF73A6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Napięcie nominalne: 95...270V (dla ZL-PE i ZL-N) oraz 95...440V (dla ZL-L) częstotliwość: 45...65Hz Pomiar impedancji pętli zwarcia ZL-PE  w trybie  RCD Pomiar prądem 15mA, zakres pomiarowy wg PN-EN 61557: 0,50...1999,9Ω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80"/>
        <w:gridCol w:w="1686"/>
        <w:gridCol w:w="2394"/>
      </w:tblGrid>
      <w:tr w:rsidR="00903478" w:rsidRPr="0038794A" w14:paraId="08BF6E1A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7F4655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wyświetlania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5E0CA1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BB5CE7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4FEDE62C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2EF831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0,00...19,99Ω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98499D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F0EA57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±(6%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+ 10 cyfr)</w:t>
            </w:r>
          </w:p>
        </w:tc>
      </w:tr>
      <w:tr w:rsidR="00903478" w:rsidRPr="0038794A" w14:paraId="630500EA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4A4051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20,0...199,9Ω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3634A4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32524E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±(6%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+ 5 cyfr)</w:t>
            </w:r>
          </w:p>
        </w:tc>
      </w:tr>
      <w:tr w:rsidR="00903478" w:rsidRPr="0038794A" w14:paraId="421F8F55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200F2C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200...1999Ω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96F0AC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3FDFEA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4FCA85F9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Napięcie nominalne: 95...270V Częstotliwość: 45...65Hz Pomiar rezystancji uziemienia RE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80"/>
        <w:gridCol w:w="1686"/>
        <w:gridCol w:w="2394"/>
      </w:tblGrid>
      <w:tr w:rsidR="00903478" w:rsidRPr="0038794A" w14:paraId="49ADB577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7826FF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wyświetlania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20ED7C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E7A020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6771BF40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817830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0,00...9,99Ω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90A737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0FD7B5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±(2%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+ 4 cyfry)</w:t>
            </w:r>
          </w:p>
        </w:tc>
      </w:tr>
      <w:tr w:rsidR="00903478" w:rsidRPr="0038794A" w14:paraId="78EFD29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1C2E3C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10,0...99,9Ω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CA80CF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607811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±(2%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+ 3 cyfry)</w:t>
            </w:r>
          </w:p>
        </w:tc>
      </w:tr>
      <w:tr w:rsidR="00903478" w:rsidRPr="0038794A" w14:paraId="5A795BBD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36E4A5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100...999Ω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926A5A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AAEAEE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72E78EC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CC150D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1,00...1,99kΩ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F47AA5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0,01kΩ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B5DA74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385C9041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Pomiar rezystancji izolacji Zakres pomiarowy wg PN-EN 61557-2:</w:t>
      </w:r>
    </w:p>
    <w:p w14:paraId="5216D71E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50V: 50kΩ...250MΩ</w:t>
      </w:r>
    </w:p>
    <w:p w14:paraId="51477B01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100V: 100kΩ...500MΩ</w:t>
      </w:r>
    </w:p>
    <w:p w14:paraId="3E46BECA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250V: 250kΩ...1GΩ</w:t>
      </w:r>
    </w:p>
    <w:p w14:paraId="3B1214AA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500V: 500kΩ...2GΩ</w:t>
      </w:r>
    </w:p>
    <w:p w14:paraId="3FAF89F6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1000V: 1MΩ...3GΩ</w:t>
      </w:r>
    </w:p>
    <w:p w14:paraId="4C4C71CA" w14:textId="77777777" w:rsidR="00903478" w:rsidRPr="0038794A" w:rsidRDefault="00903478" w:rsidP="00903478">
      <w:pPr>
        <w:numPr>
          <w:ilvl w:val="0"/>
          <w:numId w:val="2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dla UN = 2500V: 2,5MΩ...9,99GΩ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80"/>
        <w:gridCol w:w="1686"/>
        <w:gridCol w:w="2274"/>
      </w:tblGrid>
      <w:tr w:rsidR="00903478" w:rsidRPr="0038794A" w14:paraId="308A18AE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BB640E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wyświetlania*)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9E4B4B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5F4847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51EDD3DB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CE18A1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0...1999kΩ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37AE3F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1kΩ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C87D47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±(3%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+ 8 cyfr)</w:t>
            </w:r>
          </w:p>
        </w:tc>
      </w:tr>
      <w:tr w:rsidR="00903478" w:rsidRPr="0038794A" w14:paraId="07D68E29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BE56C7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2,00...19,99MΩ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B7F37B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0,01MΩ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A897EE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4A7C7B0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D18626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20,0...199,9MΩ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B8318E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0,1MΩ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F5E29F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33B4788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488083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200...999MΩ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1B015E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1MΩ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B45E6D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7AE1115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D7FB68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1,00...3,00GΩ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789D50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0,01GΩ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DBD1BD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±(4%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+ 6 cyfr)</w:t>
            </w:r>
          </w:p>
        </w:tc>
      </w:tr>
      <w:tr w:rsidR="00903478" w:rsidRPr="0038794A" w14:paraId="4AC988D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7623BF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 1,00...9,99GΩ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EA2A5E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 0,1GΩ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0C46E5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3092C73E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*)   nie większy niż zakres pomiarowy dla danego napięcia. Wskazania kolejności faz</w:t>
      </w:r>
    </w:p>
    <w:p w14:paraId="09F25F08" w14:textId="77777777" w:rsidR="00903478" w:rsidRPr="0038794A" w:rsidRDefault="00903478" w:rsidP="00903478">
      <w:pPr>
        <w:numPr>
          <w:ilvl w:val="0"/>
          <w:numId w:val="28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Wskazanie kolejności faz: zgodna, niezgodna</w:t>
      </w:r>
    </w:p>
    <w:p w14:paraId="323470A7" w14:textId="77777777" w:rsidR="00903478" w:rsidRDefault="00903478" w:rsidP="00903478">
      <w:pPr>
        <w:numPr>
          <w:ilvl w:val="0"/>
          <w:numId w:val="28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Zakres napięć sieci UL-L: 100...440V (45...65Hz)</w:t>
      </w:r>
    </w:p>
    <w:p w14:paraId="20D279BB" w14:textId="77777777" w:rsidR="00903478" w:rsidRDefault="00903478" w:rsidP="0090347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</w:p>
    <w:p w14:paraId="4594C437" w14:textId="77777777" w:rsidR="00903478" w:rsidRPr="0038794A" w:rsidRDefault="00903478" w:rsidP="0090347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</w:p>
    <w:p w14:paraId="77383E2E" w14:textId="77777777" w:rsidR="00903478" w:rsidRPr="0038794A" w:rsidRDefault="00903478" w:rsidP="00903478">
      <w:pPr>
        <w:numPr>
          <w:ilvl w:val="0"/>
          <w:numId w:val="28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Wyświetlanie wartości napięć międzyfazowych</w:t>
      </w:r>
    </w:p>
    <w:p w14:paraId="43B66080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Niskonapięciowy pomiar ciągłości obwodu i rezystancji Pomiar ciągłości przewodu ochronnego prądem ±200mA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80"/>
        <w:gridCol w:w="1686"/>
        <w:gridCol w:w="2394"/>
      </w:tblGrid>
      <w:tr w:rsidR="00903478" w:rsidRPr="0038794A" w14:paraId="7630CD7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6A0D6A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wyświetlania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357C1C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8B295F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23291595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94673A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0,00...19,99Ω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ECF43B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0,01Ω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065242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±(2%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+ 3 cyfry)</w:t>
            </w:r>
          </w:p>
        </w:tc>
      </w:tr>
      <w:tr w:rsidR="00903478" w:rsidRPr="0038794A" w14:paraId="2CC91614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A2DC30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20,0...199,9Ω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8A0C65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0,1Ω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5AE5610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603A8BE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960B56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200...400Ω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E1B72A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E0B3D4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411534B1" w14:textId="77777777" w:rsidR="00903478" w:rsidRPr="0038794A" w:rsidRDefault="00903478" w:rsidP="00903478">
      <w:pPr>
        <w:numPr>
          <w:ilvl w:val="0"/>
          <w:numId w:val="29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Napięcie na otwartych zaciskach: 4…9V</w:t>
      </w:r>
    </w:p>
    <w:p w14:paraId="6593511A" w14:textId="77777777" w:rsidR="00903478" w:rsidRPr="0038794A" w:rsidRDefault="00903478" w:rsidP="00903478">
      <w:pPr>
        <w:numPr>
          <w:ilvl w:val="0"/>
          <w:numId w:val="29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Prąd wyjściowy przy R&lt;2Ω: min. 200mA</w:t>
      </w:r>
    </w:p>
    <w:p w14:paraId="5F9B3460" w14:textId="77777777" w:rsidR="00903478" w:rsidRPr="0038794A" w:rsidRDefault="00903478" w:rsidP="00903478">
      <w:pPr>
        <w:numPr>
          <w:ilvl w:val="0"/>
          <w:numId w:val="29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Autokalibracja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 xml:space="preserve"> przewodów pomiarowych</w:t>
      </w:r>
    </w:p>
    <w:p w14:paraId="60353039" w14:textId="77777777" w:rsidR="00903478" w:rsidRPr="0038794A" w:rsidRDefault="00903478" w:rsidP="00903478">
      <w:pPr>
        <w:numPr>
          <w:ilvl w:val="0"/>
          <w:numId w:val="29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myriad-pro" w:eastAsia="Times New Roman" w:hAnsi="myriad-pro"/>
          <w:color w:val="666666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lang w:eastAsia="pl-PL"/>
        </w:rPr>
        <w:t>Pomiary dla obu polaryzacji prądu</w:t>
      </w:r>
    </w:p>
    <w:p w14:paraId="7387E361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Pomiary parametrów wyłączników RCD (roboczy zakres napięć 95...270V): Test wyłączania RCD i pomiar czasu zadziałania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tA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 (dla funkcji pomiarowej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tA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)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71"/>
        <w:gridCol w:w="1180"/>
        <w:gridCol w:w="1241"/>
        <w:gridCol w:w="1686"/>
        <w:gridCol w:w="3076"/>
      </w:tblGrid>
      <w:tr w:rsidR="00903478" w:rsidRPr="0038794A" w14:paraId="5C1E1348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F2AF6E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Typ RCD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E4FB12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Krotność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24BCA7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0A3BC3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47809D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2EF65A68" w14:textId="77777777" w:rsidTr="005C7B89"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8D6A85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Ogólnego typu i krótko- zwłoczny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E05F79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0,5*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5F9173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0...300ms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FFCFA1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 ms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7122A8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± (2%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. + 2 cyfry) (dla RCD o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 xml:space="preserve">=10mA i pomiaru 0,5xIΔn błąd: ±(2% 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w.m</w:t>
            </w:r>
            <w:proofErr w:type="spellEnd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. + 3 cyfry)</w:t>
            </w:r>
          </w:p>
        </w:tc>
      </w:tr>
      <w:tr w:rsidR="00903478" w:rsidRPr="0038794A" w14:paraId="3CB26B93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BF707B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EEF0F2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426378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92DB58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99AA4D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46AF248E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3D5CB5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BE6490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C8D7B6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0...150ms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AC2CAD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DEBB5E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3DD45945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81A452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2DC0D1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5*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EEFD57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0...40ms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1DE395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549732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7B7007CD" w14:textId="77777777" w:rsidTr="005C7B89"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671705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Selektywny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8EF0C3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0,5*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5B3D78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0...500ms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F5FDEB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BF0AED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2CD7D967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3E84F4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236A1A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4E3458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DEE193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249308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20FBA0C0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FBC11E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D0750F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CBAC8C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0...200ms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4B6914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AF12A9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78F71C03" w14:textId="77777777" w:rsidTr="005C7B89"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0529A9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C00D56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5*</w:t>
            </w:r>
            <w:proofErr w:type="spellStart"/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IΔn</w:t>
            </w:r>
            <w:proofErr w:type="spellEnd"/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7081F7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0...150ms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DAB2D6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AF8E1B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3AFAA1B1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Dokładność zadawania prądu różnicowego: dla 0,5*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IΔn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:-8...0% dla 1*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IΔn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, 2*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IΔn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, 5*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IΔn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: 0...8% Pomiar prądu zadziałania RCD IA dla prądu różnicowego sinusoidalnego (typ AC)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76"/>
        <w:gridCol w:w="1977"/>
        <w:gridCol w:w="1686"/>
        <w:gridCol w:w="1844"/>
        <w:gridCol w:w="1871"/>
      </w:tblGrid>
      <w:tr w:rsidR="00903478" w:rsidRPr="0038794A" w14:paraId="40AECE6B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C19CDD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Prąd nominalny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4FB1A2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026607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B4EC3F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Prąd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7BFB5D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174768D5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D31C14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8CFA10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3,3...10,0mA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062194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E71BE4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0,3xIΔ..1,0xIΔ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C9D3D5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± 5%IΔn</w:t>
            </w:r>
          </w:p>
        </w:tc>
      </w:tr>
      <w:tr w:rsidR="00903478" w:rsidRPr="0038794A" w14:paraId="4A0B5DD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98D83A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4FF7F9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9,0...30,0mA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8CDD3D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B44A3B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34A723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2A05A5BA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11B3EF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D4A94D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33...100mA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13CEE8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9974C3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C54BDE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6ABB5D9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5B3988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5EE4EB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90...300mA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24F027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C1DB73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6B099C3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45FF479B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10197A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500mA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523FE4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150...500mA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0DE68A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F624C8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91E99C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362E61A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D6AE1F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86CC19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330...1000mA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F4A878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93F2F0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7FCBEB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2C6438D4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Możliwe rozpoczęcie pomiaru od dodatniego lub ujemnego półokresu wymuszanego prądu upływu (AC) Pomiar prądu zadziałania RCD IA dla prądu różnicowego jednokierunkowego oraz jednokierunkowego z podkładem 6mA prądu stałego (typ A)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32"/>
        <w:gridCol w:w="1940"/>
        <w:gridCol w:w="1686"/>
        <w:gridCol w:w="1969"/>
        <w:gridCol w:w="1827"/>
      </w:tblGrid>
      <w:tr w:rsidR="00903478" w:rsidRPr="0038794A" w14:paraId="3AD3B28A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BE4E09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lastRenderedPageBreak/>
              <w:t>Prąd nominalny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68947A4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B8E344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97919A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Prąd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5DA17E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5FAF7AC6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67525C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736643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4...20,0mA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CAF323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825AC6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0,4xIΔn..2,0xIΔn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85428D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±10%IΔn</w:t>
            </w:r>
          </w:p>
        </w:tc>
      </w:tr>
      <w:tr w:rsidR="00903478" w:rsidRPr="0038794A" w14:paraId="020F70A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A05E06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E7E035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12,0...42,0mA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353F8F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78361C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0,4xIΔn..1,4xIΔn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564A78F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169893C7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5607C4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18B59B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40,0...140mA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9FE011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07BFAD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F52CD3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61CA791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669E68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7BD0E09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120...420mA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AD05AC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637EA5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5A253E0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6023E7B3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F93AD8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500mA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F744BB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200...700mA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B8A60A3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6AA11E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57E7A3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5C7C95B1" w14:textId="77777777" w:rsidR="00903478" w:rsidRPr="0038794A" w:rsidRDefault="00903478" w:rsidP="00903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Możliwy pomiar dla dodatnich lub ujemnych półokresów wymuszanego prądu upływu Pomiar prądu zadziałania RCD IA dla prądu różnicowego stałego (typ B)</w:t>
      </w:r>
    </w:p>
    <w:tbl>
      <w:tblPr>
        <w:tblW w:w="0" w:type="auto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632"/>
        <w:gridCol w:w="1940"/>
        <w:gridCol w:w="1686"/>
        <w:gridCol w:w="1969"/>
        <w:gridCol w:w="1827"/>
      </w:tblGrid>
      <w:tr w:rsidR="00903478" w:rsidRPr="0038794A" w14:paraId="4C5E7872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2879512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Prąd nominalny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66EB15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Zakres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F968D0F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DAE373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Prąd pomiarowy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EBD7B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F8A013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Błąd podstawowy</w:t>
            </w:r>
          </w:p>
        </w:tc>
      </w:tr>
      <w:tr w:rsidR="00903478" w:rsidRPr="0038794A" w14:paraId="04D4E807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F3F8DD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4318EE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4,0...20,0mA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C44224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0,1mA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CE439B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0,4xIΔn..2,0xIΔn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A86EA3C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±10%IΔn</w:t>
            </w:r>
          </w:p>
        </w:tc>
      </w:tr>
      <w:tr w:rsidR="00903478" w:rsidRPr="0038794A" w14:paraId="5DFC2718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6D5FB0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A0D2FD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12,0...60,0mA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6F1FAC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C2EF87D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0FFBCD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1D3163D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D74BD41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28D31E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40...200mA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DC0CCE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58818D2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7D115687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311DA621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ACF1CA0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300mA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689D57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120...600mA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30CFA1BB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87C58CE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45679075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  <w:tr w:rsidR="00903478" w:rsidRPr="0038794A" w14:paraId="022299AB" w14:textId="77777777" w:rsidTr="005C7B89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97B20B8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500mA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4F4F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3A31FC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  <w:r w:rsidRPr="0038794A"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  <w:t>200...1000mA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0407664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2AEB2F66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vAlign w:val="center"/>
            <w:hideMark/>
          </w:tcPr>
          <w:p w14:paraId="1B8616BA" w14:textId="77777777" w:rsidR="00903478" w:rsidRPr="0038794A" w:rsidRDefault="00903478" w:rsidP="005C7B89">
            <w:pPr>
              <w:spacing w:after="0" w:line="240" w:lineRule="auto"/>
              <w:rPr>
                <w:rFonts w:ascii="myriad-pro" w:eastAsia="Times New Roman" w:hAnsi="myriad-pro"/>
                <w:color w:val="666666"/>
                <w:sz w:val="24"/>
                <w:szCs w:val="24"/>
                <w:lang w:eastAsia="pl-PL"/>
              </w:rPr>
            </w:pPr>
          </w:p>
        </w:tc>
      </w:tr>
    </w:tbl>
    <w:p w14:paraId="046DDC2A" w14:textId="77777777" w:rsidR="00903478" w:rsidRDefault="00903478" w:rsidP="00903478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Możliwy pomiar dla dodatniego lub ujemnego wymuszanego prądu upływu 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IΔn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 xml:space="preserve"> - wartość znamionowego prądu różnicowego Skrót „</w:t>
      </w:r>
      <w:proofErr w:type="spellStart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w.m</w:t>
      </w:r>
      <w:proofErr w:type="spellEnd"/>
      <w:r w:rsidRPr="0038794A">
        <w:rPr>
          <w:rFonts w:ascii="myriad-pro" w:eastAsia="Times New Roman" w:hAnsi="myriad-pro"/>
          <w:color w:val="666666"/>
          <w:sz w:val="24"/>
          <w:szCs w:val="24"/>
          <w:shd w:val="clear" w:color="auto" w:fill="FFFFFF"/>
          <w:lang w:eastAsia="pl-PL"/>
        </w:rPr>
        <w:t>.” oznacza „wartość mierzoną wzorcową”.</w:t>
      </w:r>
    </w:p>
    <w:p w14:paraId="393E45BF" w14:textId="77777777" w:rsidR="00FD2536" w:rsidRDefault="00FD2536" w:rsidP="00FD2536"/>
    <w:p w14:paraId="3B151A6D" w14:textId="03B105F5" w:rsidR="00FD2536" w:rsidRDefault="00FD2536" w:rsidP="00FD2536">
      <w:r>
        <w:t>Zamawiający w zakresie punktów wskazanych w szczegółowym opisie zamówienia dopuszcza oferowanie rozwiązań równoważnych, pod warunkiem, że zagwarantują one realizację zamówienia w zgodzie z opisem przedmiotu zamówienia oraz zapewnią uzyskanie parametrów technicznych nie gorszych od założonych ww. wymaganiach. Udowodnienie ich (np.: poszczególnych funkcjonalności) leży po stronie Wykonawcy”. Wymóg o równoważności został określony w Wytycznych.</w:t>
      </w:r>
    </w:p>
    <w:p w14:paraId="05A3DCBA" w14:textId="77777777" w:rsidR="003A4129" w:rsidRDefault="003A4129" w:rsidP="00903478">
      <w:pPr>
        <w:rPr>
          <w:b/>
          <w:sz w:val="28"/>
          <w:szCs w:val="28"/>
        </w:rPr>
      </w:pPr>
    </w:p>
    <w:sectPr w:rsidR="003A4129" w:rsidSect="00F7743F">
      <w:headerReference w:type="default" r:id="rId8"/>
      <w:footerReference w:type="default" r:id="rId9"/>
      <w:pgSz w:w="11906" w:h="16838"/>
      <w:pgMar w:top="71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B8AB" w14:textId="77777777" w:rsidR="00037339" w:rsidRDefault="00037339">
      <w:pPr>
        <w:spacing w:after="0" w:line="240" w:lineRule="auto"/>
      </w:pPr>
      <w:r>
        <w:separator/>
      </w:r>
    </w:p>
  </w:endnote>
  <w:endnote w:type="continuationSeparator" w:id="0">
    <w:p w14:paraId="19745721" w14:textId="77777777" w:rsidR="00037339" w:rsidRDefault="0003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BCAF" w14:textId="77777777" w:rsidR="008E2123" w:rsidRDefault="007026E4" w:rsidP="001653E7">
    <w:pPr>
      <w:pStyle w:val="Stopka"/>
      <w:jc w:val="both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510D3D" wp14:editId="1A7596EF">
              <wp:simplePos x="0" y="0"/>
              <wp:positionH relativeFrom="column">
                <wp:posOffset>-62230</wp:posOffset>
              </wp:positionH>
              <wp:positionV relativeFrom="paragraph">
                <wp:posOffset>38735</wp:posOffset>
              </wp:positionV>
              <wp:extent cx="5786755" cy="19050"/>
              <wp:effectExtent l="0" t="25400" r="29845" b="317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A531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3.0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w+HwIAADIEAAAOAAAAZHJzL2Uyb0RvYy54bWysU02P2jAQvVfqf7B8hyQQviLCqiLQC22R&#10;drd3YzvEWse2bENAVf97x4ZlS/dSVb0448z4+c285/nDqZXoyK0TWpU466cYcUU1E2pf4uendW+K&#10;kfNEMSK14iU+c4cfFh8/zDtT8IFutGTcIgBRruhMiRvvTZEkjja8Ja6vDVeQrLVtiYet3SfMkg7Q&#10;W5kM0nScdNoyYzXlzsHf6pLEi4hf15z6b3XtuEeyxMDNx9XGdRfWZDEnxd4S0wh6pUH+gUVLhIJL&#10;b1AV8QQdrHgH1QpqtdO171PdJrquBeWxB+gmS//o5rEhhsdeYDjO3Mbk/h8s/XrcWiQYaIeRIi1I&#10;tBGKo0GYTGdcAQVLtbWhN3pSj2aj6YuDXHKXDBtnAGnXfdEMQMjB6ziQU21bVEthvocrAgw0jU5R&#10;gfNNAX7yiMLP0WQ6noxGGFHIZbN0FBVKSBFgwmFjnf/MdYtCUGIJXCMoOW6cD7TeSkK50mshZRRZ&#10;KtSFCzLARLQ10LJvhHoC4V8ihNNSsFAeDjq73y2lRUcSjJMOh7NZmAjA35VZfVAswjecsNU19kTI&#10;Swz1UgU8aBAIXqOLM37M0tlquprmvXwwXvXytKp6n9bLvDdeZ5NRNayWyyr7GahledEIxrgK7F5d&#10;muV/54Lre7n46+bT22CSe/TYIpB9/UbSUesg78USO83OWxumEWQHY8bi6yMKzv99H6venvriFwAA&#10;AP//AwBQSwMEFAAGAAgAAAAhAByNCyDhAAAACwEAAA8AAABkcnMvZG93bnJldi54bWxMj0tPwzAQ&#10;hO9I/Adrkbi1TnhEbRqn4nlFoiCV3Nx4SQL2Oo2dNvDrWU5wWe1qNLPfFOvJWXHAIXSeFKTzBARS&#10;7U1HjYLXl8fZAkSImoy2nlDBFwZYl6cnhc6NP9IzHjaxERxCIdcK2hj7XMpQt+h0mPseibV3Pzgd&#10;+RwaaQZ95HBn5UWSZNLpjvhDq3u8a7H+3IxOwd6O3x/V/uEye9s+0dXY6+q2ypQ6P5vuVzxuViAi&#10;TvHPAb8dmB9KBtv5kUwQVsFsyfhRQZaCYHmZpNcgdrykIMtC/u9Q/gAAAP//AwBQSwECLQAUAAYA&#10;CAAAACEAtoM4kv4AAADhAQAAEwAAAAAAAAAAAAAAAAAAAAAAW0NvbnRlbnRfVHlwZXNdLnhtbFBL&#10;AQItABQABgAIAAAAIQA4/SH/1gAAAJQBAAALAAAAAAAAAAAAAAAAAC8BAABfcmVscy8ucmVsc1BL&#10;AQItABQABgAIAAAAIQBU+mw+HwIAADIEAAAOAAAAAAAAAAAAAAAAAC4CAABkcnMvZTJvRG9jLnht&#10;bFBLAQItABQABgAIAAAAIQAcjQsg4QAAAAsBAAAPAAAAAAAAAAAAAAAAAHkEAABkcnMvZG93bnJl&#10;di54bWxQSwUGAAAAAAQABADzAAAAhwUAAAAA&#10;" strokecolor="#039" strokeweight="4.5pt">
              <v:stroke linestyle="thinThick"/>
              <o:lock v:ext="edit" shapetype="f"/>
            </v:line>
          </w:pict>
        </mc:Fallback>
      </mc:AlternateContent>
    </w:r>
  </w:p>
  <w:p w14:paraId="29EA26C5" w14:textId="77777777" w:rsidR="001219E5" w:rsidRPr="00F60AFF" w:rsidRDefault="001219E5" w:rsidP="001653E7">
    <w:pPr>
      <w:pStyle w:val="Stopka"/>
      <w:jc w:val="both"/>
      <w:rPr>
        <w:sz w:val="18"/>
        <w:szCs w:val="18"/>
      </w:rPr>
    </w:pPr>
    <w:r w:rsidRPr="00F60AFF">
      <w:rPr>
        <w:rFonts w:ascii="Tahoma" w:hAnsi="Tahoma" w:cs="Tahoma"/>
        <w:sz w:val="18"/>
        <w:szCs w:val="18"/>
      </w:rPr>
      <w:t>Projekt pn. „</w:t>
    </w:r>
    <w:r w:rsidR="00D21A75">
      <w:rPr>
        <w:rFonts w:ascii="Tahoma" w:hAnsi="Tahoma" w:cs="Tahoma"/>
        <w:sz w:val="18"/>
        <w:szCs w:val="18"/>
      </w:rPr>
      <w:t xml:space="preserve">Utworzenie i wsparcie funkcjonowania Branżowego Centrum </w:t>
    </w:r>
    <w:r w:rsidR="00E31EB3">
      <w:rPr>
        <w:rFonts w:ascii="Tahoma" w:hAnsi="Tahoma" w:cs="Tahoma"/>
        <w:sz w:val="18"/>
        <w:szCs w:val="18"/>
      </w:rPr>
      <w:t>Umiejętności</w:t>
    </w:r>
    <w:r w:rsidR="00D21A75">
      <w:rPr>
        <w:rFonts w:ascii="Tahoma" w:hAnsi="Tahoma" w:cs="Tahoma"/>
        <w:sz w:val="18"/>
        <w:szCs w:val="18"/>
      </w:rPr>
      <w:t xml:space="preserve"> w Zgorzelcu”</w:t>
    </w:r>
    <w:r w:rsidR="001653E7">
      <w:rPr>
        <w:rFonts w:ascii="Tahoma" w:hAnsi="Tahoma" w:cs="Tahoma"/>
        <w:sz w:val="18"/>
        <w:szCs w:val="18"/>
      </w:rPr>
      <w:t xml:space="preserve"> w ramach Krajowego Planu Odbudowy i Zwiększania Odporności, w Komponencie A „Odporność i konkurencyjność gospodarki”, jako inwestycja A3.1.1 „Wsparcie rozwoju nowoczesnego kształcenia zawodowego, szkolnictwa wyższego oraz uczenia się przez całe życie”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5B255" w14:textId="77777777" w:rsidR="00037339" w:rsidRDefault="000373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D87D16" w14:textId="77777777" w:rsidR="00037339" w:rsidRDefault="0003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C4CC" w14:textId="77777777" w:rsidR="00A534C2" w:rsidRDefault="007026E4">
    <w:pPr>
      <w:pStyle w:val="Nagwek"/>
    </w:pPr>
    <w:r>
      <w:rPr>
        <w:rFonts w:ascii="Tahoma" w:hAnsi="Tahoma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4D0F62" wp14:editId="2453D747">
              <wp:simplePos x="0" y="0"/>
              <wp:positionH relativeFrom="column">
                <wp:posOffset>33020</wp:posOffset>
              </wp:positionH>
              <wp:positionV relativeFrom="paragraph">
                <wp:posOffset>731520</wp:posOffset>
              </wp:positionV>
              <wp:extent cx="5786755" cy="19050"/>
              <wp:effectExtent l="0" t="25400" r="29845" b="317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786755" cy="1905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2302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57.6pt" to="458.2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HyHgIAADIEAAAOAAAAZHJzL2Uyb0RvYy54bWysU02P2jAUvFfqf7B8hyQQviLCqiLQC22R&#10;drd3YzvEWse2bENAVf97nw3Llu6lqnoxtt9jMvNmPH84tRIduXVCqxJn/RQjrqhmQu1L/Py07k0x&#10;cp4oRqRWvMRn7vDD4uOHeWcKPtCNloxbBCDKFZ0pceO9KZLE0Ya3xPW14QqKtbYt8XC0+4RZ0gF6&#10;K5NBmo6TTltmrKbcObitLkW8iPh1zan/VteOeyRLDNx8XG1cd2FNFnNS7C0xjaBXGuQfWLREKPjo&#10;DaoinqCDFe+gWkGtdrr2farbRNe1oDxqADVZ+oeax4YYHrXAcJy5jcn9P1j69bi1SLASDzFSpAWL&#10;NkJxNAyT6YwroGGptjZooyf1aDaavjioJXfFcHAGkHbdF80AhBy8jgM51bZFtRTmO8Qj3oBodIoO&#10;nG8O8JNHFC5Hk+l4MhphRKGWzdJRdCghRYAJHIx1/jPXLQqbEkvgGkHJceN8oPXWEtqVXgspo8lS&#10;oS58IANMRFsDkn0j1BMY/xIhnJaChfbwR2f3u6W06EhCcNLhcDYLEwH4uzarD4pF+IYTtrruPRHy&#10;sod+qQIeCASC190lGT9m6Ww1XU3zXj4Yr3p5WlW9T+tl3huvs8moGlbLZZX9DNSyvGgEY1wFdq8p&#10;zfK/S8H1vVzydcvpbTDJPXqUCGRffyPp6HWw9xKJnWbnrQ3TCLZDMGPz9RGF5P9+jl1vT33xCwAA&#10;//8DAFBLAwQUAAYACAAAACEAlnqHduEAAAAOAQAADwAAAGRycy9kb3ducmV2LnhtbExPTU/DMAy9&#10;I/EfIiNxY2kLq0bXdOLzisRAgt68JrSFxumadCv8etwTXCz7Pfv5vXwz2U4czOBbRwriRQTCUOV0&#10;S7WC15fHixUIH5A0do6Mgm/jYVOcnuSYaXekZ3PYhlqwCPkMFTQh9JmUvmqMRb9wvSHmPtxgMfA4&#10;1FIPeGRx28kkilJpsSX+0GBv7hpTfW1Hq2DfjT+f5f7hMn1/e6KrscfytkyVOj+b7tdcbtYggpnC&#10;3wXMGdg/FGxs50bSXnQKlgkvMhzPDfPXcboEsZuRVQKyyOX/GMUvAAAA//8DAFBLAQItABQABgAI&#10;AAAAIQC2gziS/gAAAOEBAAATAAAAAAAAAAAAAAAAAAAAAABbQ29udGVudF9UeXBlc10ueG1sUEsB&#10;Ai0AFAAGAAgAAAAhADj9If/WAAAAlAEAAAsAAAAAAAAAAAAAAAAALwEAAF9yZWxzLy5yZWxzUEsB&#10;Ai0AFAAGAAgAAAAhAKtGUfIeAgAAMgQAAA4AAAAAAAAAAAAAAAAALgIAAGRycy9lMm9Eb2MueG1s&#10;UEsBAi0AFAAGAAgAAAAhAJZ6h3bhAAAADgEAAA8AAAAAAAAAAAAAAAAAeAQAAGRycy9kb3ducmV2&#10;LnhtbFBLBQYAAAAABAAEAPMAAACGBQAAAAA=&#10;" strokecolor="#039" strokeweight="4.5pt">
              <v:stroke linestyle="thinThick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 wp14:anchorId="3F768CDE" wp14:editId="420704D4">
          <wp:simplePos x="0" y="0"/>
          <wp:positionH relativeFrom="margin">
            <wp:posOffset>190500</wp:posOffset>
          </wp:positionH>
          <wp:positionV relativeFrom="page">
            <wp:posOffset>628650</wp:posOffset>
          </wp:positionV>
          <wp:extent cx="5564505" cy="437515"/>
          <wp:effectExtent l="0" t="0" r="0" b="0"/>
          <wp:wrapNone/>
          <wp:docPr id="2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50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227AFF"/>
    <w:multiLevelType w:val="hybridMultilevel"/>
    <w:tmpl w:val="EA94BBCE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67275F"/>
    <w:multiLevelType w:val="multilevel"/>
    <w:tmpl w:val="4272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E58D7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AC74F3"/>
    <w:multiLevelType w:val="multilevel"/>
    <w:tmpl w:val="D52C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708E0"/>
    <w:multiLevelType w:val="multilevel"/>
    <w:tmpl w:val="337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4443E"/>
    <w:multiLevelType w:val="hybridMultilevel"/>
    <w:tmpl w:val="F1D65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CF58DF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18B0914"/>
    <w:multiLevelType w:val="multilevel"/>
    <w:tmpl w:val="C73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52005"/>
    <w:multiLevelType w:val="multilevel"/>
    <w:tmpl w:val="51A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3590D"/>
    <w:multiLevelType w:val="multilevel"/>
    <w:tmpl w:val="189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147D2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4D453E"/>
    <w:multiLevelType w:val="hybridMultilevel"/>
    <w:tmpl w:val="4AA8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150DB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91030F4"/>
    <w:multiLevelType w:val="multilevel"/>
    <w:tmpl w:val="8C0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904A77"/>
    <w:multiLevelType w:val="multilevel"/>
    <w:tmpl w:val="15EA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818AA"/>
    <w:multiLevelType w:val="multilevel"/>
    <w:tmpl w:val="DB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C27A4"/>
    <w:multiLevelType w:val="hybridMultilevel"/>
    <w:tmpl w:val="E77C1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5831"/>
    <w:multiLevelType w:val="hybridMultilevel"/>
    <w:tmpl w:val="C4C42398"/>
    <w:lvl w:ilvl="0" w:tplc="75ACE8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D6237"/>
    <w:multiLevelType w:val="hybridMultilevel"/>
    <w:tmpl w:val="221A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B0764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58B7701"/>
    <w:multiLevelType w:val="hybridMultilevel"/>
    <w:tmpl w:val="E65A8610"/>
    <w:lvl w:ilvl="0" w:tplc="50ECE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05776A"/>
    <w:multiLevelType w:val="hybridMultilevel"/>
    <w:tmpl w:val="2866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2F5AA6"/>
    <w:multiLevelType w:val="hybridMultilevel"/>
    <w:tmpl w:val="9FEE18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5E71162"/>
    <w:multiLevelType w:val="multilevel"/>
    <w:tmpl w:val="0F4E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062D1"/>
    <w:multiLevelType w:val="hybridMultilevel"/>
    <w:tmpl w:val="30A4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270E14"/>
    <w:multiLevelType w:val="multilevel"/>
    <w:tmpl w:val="7B4C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73346"/>
    <w:multiLevelType w:val="multilevel"/>
    <w:tmpl w:val="A06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165AB"/>
    <w:multiLevelType w:val="hybridMultilevel"/>
    <w:tmpl w:val="DF1A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0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375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886618">
    <w:abstractNumId w:val="21"/>
  </w:num>
  <w:num w:numId="4" w16cid:durableId="172496639">
    <w:abstractNumId w:val="3"/>
  </w:num>
  <w:num w:numId="5" w16cid:durableId="1512724459">
    <w:abstractNumId w:val="11"/>
  </w:num>
  <w:num w:numId="6" w16cid:durableId="1186947199">
    <w:abstractNumId w:val="22"/>
  </w:num>
  <w:num w:numId="7" w16cid:durableId="1527979938">
    <w:abstractNumId w:val="20"/>
  </w:num>
  <w:num w:numId="8" w16cid:durableId="2052991745">
    <w:abstractNumId w:val="13"/>
  </w:num>
  <w:num w:numId="9" w16cid:durableId="1711539620">
    <w:abstractNumId w:val="6"/>
  </w:num>
  <w:num w:numId="10" w16cid:durableId="988248007">
    <w:abstractNumId w:val="0"/>
  </w:num>
  <w:num w:numId="11" w16cid:durableId="1920165105">
    <w:abstractNumId w:val="1"/>
  </w:num>
  <w:num w:numId="12" w16cid:durableId="14233827">
    <w:abstractNumId w:val="25"/>
  </w:num>
  <w:num w:numId="13" w16cid:durableId="1981222701">
    <w:abstractNumId w:val="28"/>
  </w:num>
  <w:num w:numId="14" w16cid:durableId="704137403">
    <w:abstractNumId w:val="19"/>
  </w:num>
  <w:num w:numId="15" w16cid:durableId="1587109607">
    <w:abstractNumId w:val="17"/>
  </w:num>
  <w:num w:numId="16" w16cid:durableId="1935940895">
    <w:abstractNumId w:val="18"/>
  </w:num>
  <w:num w:numId="17" w16cid:durableId="9380381">
    <w:abstractNumId w:val="26"/>
  </w:num>
  <w:num w:numId="18" w16cid:durableId="5861817">
    <w:abstractNumId w:val="12"/>
  </w:num>
  <w:num w:numId="19" w16cid:durableId="700980740">
    <w:abstractNumId w:val="14"/>
  </w:num>
  <w:num w:numId="20" w16cid:durableId="1063915415">
    <w:abstractNumId w:val="9"/>
  </w:num>
  <w:num w:numId="21" w16cid:durableId="1734739064">
    <w:abstractNumId w:val="24"/>
  </w:num>
  <w:num w:numId="22" w16cid:durableId="362171649">
    <w:abstractNumId w:val="27"/>
  </w:num>
  <w:num w:numId="23" w16cid:durableId="1050228848">
    <w:abstractNumId w:val="10"/>
  </w:num>
  <w:num w:numId="24" w16cid:durableId="121387170">
    <w:abstractNumId w:val="5"/>
  </w:num>
  <w:num w:numId="25" w16cid:durableId="1307122633">
    <w:abstractNumId w:val="8"/>
  </w:num>
  <w:num w:numId="26" w16cid:durableId="1637291984">
    <w:abstractNumId w:val="4"/>
  </w:num>
  <w:num w:numId="27" w16cid:durableId="1155954565">
    <w:abstractNumId w:val="15"/>
  </w:num>
  <w:num w:numId="28" w16cid:durableId="28268574">
    <w:abstractNumId w:val="16"/>
  </w:num>
  <w:num w:numId="29" w16cid:durableId="192225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67"/>
    <w:rsid w:val="0000192B"/>
    <w:rsid w:val="00037339"/>
    <w:rsid w:val="00090A3E"/>
    <w:rsid w:val="000F7D29"/>
    <w:rsid w:val="001208FB"/>
    <w:rsid w:val="001219E5"/>
    <w:rsid w:val="00151C29"/>
    <w:rsid w:val="001653E7"/>
    <w:rsid w:val="001C36B5"/>
    <w:rsid w:val="001F3799"/>
    <w:rsid w:val="001F423E"/>
    <w:rsid w:val="00251C8A"/>
    <w:rsid w:val="002B2192"/>
    <w:rsid w:val="002C61E6"/>
    <w:rsid w:val="002D0154"/>
    <w:rsid w:val="002E1367"/>
    <w:rsid w:val="002F03AB"/>
    <w:rsid w:val="002F45EA"/>
    <w:rsid w:val="002F6036"/>
    <w:rsid w:val="00313FA5"/>
    <w:rsid w:val="00316109"/>
    <w:rsid w:val="00346214"/>
    <w:rsid w:val="00350704"/>
    <w:rsid w:val="003A4129"/>
    <w:rsid w:val="003D7A50"/>
    <w:rsid w:val="00401DF8"/>
    <w:rsid w:val="004259CB"/>
    <w:rsid w:val="00427F23"/>
    <w:rsid w:val="004477E7"/>
    <w:rsid w:val="00452FFF"/>
    <w:rsid w:val="00455AB7"/>
    <w:rsid w:val="00493B78"/>
    <w:rsid w:val="004C1369"/>
    <w:rsid w:val="004D018A"/>
    <w:rsid w:val="004E02C0"/>
    <w:rsid w:val="004F3674"/>
    <w:rsid w:val="005001C6"/>
    <w:rsid w:val="005046CD"/>
    <w:rsid w:val="00582517"/>
    <w:rsid w:val="0058382F"/>
    <w:rsid w:val="00596EFC"/>
    <w:rsid w:val="005A7BBA"/>
    <w:rsid w:val="005B5A71"/>
    <w:rsid w:val="005F3532"/>
    <w:rsid w:val="00645A09"/>
    <w:rsid w:val="00690822"/>
    <w:rsid w:val="006B0DE4"/>
    <w:rsid w:val="007026E4"/>
    <w:rsid w:val="007553D8"/>
    <w:rsid w:val="0077503B"/>
    <w:rsid w:val="007827C5"/>
    <w:rsid w:val="007965D8"/>
    <w:rsid w:val="007A5646"/>
    <w:rsid w:val="007C1C9F"/>
    <w:rsid w:val="007C596B"/>
    <w:rsid w:val="007F1698"/>
    <w:rsid w:val="007F496F"/>
    <w:rsid w:val="00813D1C"/>
    <w:rsid w:val="00842249"/>
    <w:rsid w:val="0085633D"/>
    <w:rsid w:val="00870B0F"/>
    <w:rsid w:val="0087483F"/>
    <w:rsid w:val="0088106D"/>
    <w:rsid w:val="0089402E"/>
    <w:rsid w:val="008D3305"/>
    <w:rsid w:val="008E2123"/>
    <w:rsid w:val="008F2CCF"/>
    <w:rsid w:val="00903478"/>
    <w:rsid w:val="009F432C"/>
    <w:rsid w:val="00A14AE3"/>
    <w:rsid w:val="00A534C2"/>
    <w:rsid w:val="00A55814"/>
    <w:rsid w:val="00A70C6E"/>
    <w:rsid w:val="00A77DD6"/>
    <w:rsid w:val="00AB6494"/>
    <w:rsid w:val="00B06EB2"/>
    <w:rsid w:val="00B3690D"/>
    <w:rsid w:val="00B4446F"/>
    <w:rsid w:val="00B564A6"/>
    <w:rsid w:val="00B56BC2"/>
    <w:rsid w:val="00BD4259"/>
    <w:rsid w:val="00C22441"/>
    <w:rsid w:val="00C27327"/>
    <w:rsid w:val="00C9461B"/>
    <w:rsid w:val="00CD7DEE"/>
    <w:rsid w:val="00CF5A13"/>
    <w:rsid w:val="00CF6311"/>
    <w:rsid w:val="00D21A75"/>
    <w:rsid w:val="00D71BA8"/>
    <w:rsid w:val="00D93307"/>
    <w:rsid w:val="00DA24E1"/>
    <w:rsid w:val="00DA2910"/>
    <w:rsid w:val="00DA2EE5"/>
    <w:rsid w:val="00DB0478"/>
    <w:rsid w:val="00DC53A5"/>
    <w:rsid w:val="00E31EB3"/>
    <w:rsid w:val="00E46D4E"/>
    <w:rsid w:val="00EC6A7E"/>
    <w:rsid w:val="00F13049"/>
    <w:rsid w:val="00F27F25"/>
    <w:rsid w:val="00F3575F"/>
    <w:rsid w:val="00F60AFF"/>
    <w:rsid w:val="00F7743F"/>
    <w:rsid w:val="00FD2536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32AC"/>
  <w15:chartTrackingRefBased/>
  <w15:docId w15:val="{8FB2A01D-6323-6B41-9D11-8C95D8B5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E7"/>
    <w:pPr>
      <w:keepNext/>
      <w:keepLines/>
      <w:suppressAutoHyphens w:val="0"/>
      <w:autoSpaceDN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77E7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60AFF"/>
    <w:pPr>
      <w:suppressAutoHyphens w:val="0"/>
      <w:autoSpaceDN/>
      <w:spacing w:after="0" w:line="240" w:lineRule="auto"/>
      <w:ind w:left="720"/>
      <w:textAlignment w:val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0AFF"/>
    <w:rPr>
      <w:rFonts w:ascii="Verdana" w:eastAsia="SimSun" w:hAnsi="Verdana" w:cs="Verdana"/>
      <w:color w:val="000000"/>
      <w:kern w:val="2"/>
      <w:sz w:val="24"/>
      <w:szCs w:val="24"/>
      <w:u w:color="000000"/>
      <w:lang w:eastAsia="zh-CN"/>
    </w:rPr>
  </w:style>
  <w:style w:type="paragraph" w:styleId="Akapitzlist">
    <w:name w:val="List Paragraph"/>
    <w:basedOn w:val="Normalny"/>
    <w:uiPriority w:val="34"/>
    <w:qFormat/>
    <w:rsid w:val="00DC53A5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semiHidden/>
    <w:unhideWhenUsed/>
    <w:rsid w:val="001C36B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477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477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Pogrubienie">
    <w:name w:val="Strong"/>
    <w:basedOn w:val="Domylnaczcionkaakapitu"/>
    <w:uiPriority w:val="22"/>
    <w:qFormat/>
    <w:rsid w:val="004477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477E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DF83-2EFC-479E-AFD9-BF35CABB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Motylska</dc:creator>
  <cp:keywords/>
  <cp:lastModifiedBy>Fidala Jacek [PGE GiEK O.EL.Bełchatów]</cp:lastModifiedBy>
  <cp:revision>3</cp:revision>
  <dcterms:created xsi:type="dcterms:W3CDTF">2025-02-06T08:29:00Z</dcterms:created>
  <dcterms:modified xsi:type="dcterms:W3CDTF">2025-02-24T22:52:00Z</dcterms:modified>
</cp:coreProperties>
</file>