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028B" w14:textId="77777777" w:rsidR="00646768" w:rsidRPr="00646768" w:rsidRDefault="00646768" w:rsidP="0064676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67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Załącznik</w:t>
      </w:r>
      <w:r w:rsidRPr="0064676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nr</w:t>
      </w:r>
      <w:r w:rsidRPr="0064676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 do</w:t>
      </w:r>
      <w:r w:rsidRPr="0064676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zapytania </w:t>
      </w:r>
      <w:r w:rsidRPr="006467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ofertowego</w:t>
      </w:r>
    </w:p>
    <w:p w14:paraId="7EC64950" w14:textId="77777777" w:rsidR="00646768" w:rsidRPr="00646768" w:rsidRDefault="00646768" w:rsidP="00646768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F77275" w14:textId="77777777" w:rsidR="00646768" w:rsidRPr="00646768" w:rsidRDefault="00646768" w:rsidP="00646768">
      <w:pPr>
        <w:widowControl w:val="0"/>
        <w:autoSpaceDE w:val="0"/>
        <w:autoSpaceDN w:val="0"/>
        <w:spacing w:after="0" w:line="276" w:lineRule="auto"/>
        <w:ind w:left="164" w:right="1149" w:firstLine="4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Oświadczenie dotyczące istnienia okoliczności i podstaw do zakazu udostępnienia funduszy,</w:t>
      </w:r>
      <w:r w:rsidRPr="00646768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środków</w:t>
      </w:r>
      <w:r w:rsidRPr="00646768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finansowych</w:t>
      </w:r>
      <w:r w:rsidRPr="00646768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lub</w:t>
      </w:r>
      <w:r w:rsidRPr="00646768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zasobów</w:t>
      </w:r>
      <w:r w:rsidRPr="00646768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gospodarczych</w:t>
      </w:r>
      <w:r w:rsidRPr="00646768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oraz</w:t>
      </w:r>
      <w:r w:rsidRPr="00646768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udzielenia</w:t>
      </w:r>
      <w:r w:rsidRPr="00646768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wsparcia</w:t>
      </w:r>
      <w:r w:rsidRPr="00646768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w związku z agresją Rosji wobec Ukrainy</w:t>
      </w:r>
    </w:p>
    <w:p w14:paraId="0AEEB7AB" w14:textId="77777777" w:rsidR="00646768" w:rsidRPr="00646768" w:rsidRDefault="00646768" w:rsidP="00646768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308C157" w14:textId="77777777" w:rsidR="00646768" w:rsidRPr="00646768" w:rsidRDefault="00646768" w:rsidP="00646768">
      <w:pPr>
        <w:widowControl w:val="0"/>
        <w:autoSpaceDE w:val="0"/>
        <w:autoSpaceDN w:val="0"/>
        <w:spacing w:after="0" w:line="560" w:lineRule="atLeast"/>
        <w:ind w:left="118" w:right="233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Nazwa</w:t>
      </w:r>
      <w:r w:rsidRPr="00646768">
        <w:rPr>
          <w:rFonts w:ascii="Times New Roman" w:eastAsia="Times New Roman" w:hAnsi="Times New Roman" w:cs="Times New Roman"/>
          <w:b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Dostawcy/Wykonawcy:</w:t>
      </w:r>
      <w:r w:rsidRPr="00646768">
        <w:rPr>
          <w:rFonts w:ascii="Times New Roman" w:eastAsia="Times New Roman" w:hAnsi="Times New Roman" w:cs="Times New Roman"/>
          <w:b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………………………………………….……… Oświadczam, że:</w:t>
      </w:r>
    </w:p>
    <w:p w14:paraId="01EDCC26" w14:textId="77777777" w:rsidR="00646768" w:rsidRPr="00646768" w:rsidRDefault="00646768" w:rsidP="00646768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201" w:after="0" w:line="240" w:lineRule="auto"/>
        <w:ind w:left="474" w:hanging="35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wobec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mnie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jako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Dostawcy/Wykonawcy</w:t>
      </w:r>
      <w:r w:rsidRPr="0064676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nie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występują okoliczności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wskazane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w:</w:t>
      </w:r>
    </w:p>
    <w:p w14:paraId="1ABD815C" w14:textId="77777777" w:rsidR="00646768" w:rsidRPr="00646768" w:rsidRDefault="00646768" w:rsidP="00646768">
      <w:pPr>
        <w:widowControl w:val="0"/>
        <w:numPr>
          <w:ilvl w:val="1"/>
          <w:numId w:val="1"/>
        </w:numPr>
        <w:tabs>
          <w:tab w:val="left" w:pos="829"/>
          <w:tab w:val="left" w:pos="831"/>
        </w:tabs>
        <w:autoSpaceDE w:val="0"/>
        <w:autoSpaceDN w:val="0"/>
        <w:spacing w:before="43" w:after="0" w:line="276" w:lineRule="auto"/>
        <w:ind w:right="109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art. 2 rozporządzenia Rady (WE) nr 765/2006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1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, które skutkowałyby zakazem udostępnienia funduszy lub zasobów gospodarczych;</w:t>
      </w:r>
    </w:p>
    <w:p w14:paraId="73186FB2" w14:textId="77777777" w:rsidR="00646768" w:rsidRPr="00646768" w:rsidRDefault="00646768" w:rsidP="00646768">
      <w:pPr>
        <w:widowControl w:val="0"/>
        <w:numPr>
          <w:ilvl w:val="1"/>
          <w:numId w:val="1"/>
        </w:numPr>
        <w:tabs>
          <w:tab w:val="left" w:pos="829"/>
          <w:tab w:val="left" w:pos="831"/>
        </w:tabs>
        <w:autoSpaceDE w:val="0"/>
        <w:autoSpaceDN w:val="0"/>
        <w:spacing w:after="0" w:line="276" w:lineRule="auto"/>
        <w:ind w:right="109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art.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2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i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art.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9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rozporządzeń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Rady: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(UE)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nr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269/2014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2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(UE)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nr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208/2014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3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lub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art.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2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decyzji Rady 2014/145/WPZiB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4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, które skutkowałyby zakazem udostępnienia środków finansowych lub zasobów gospodarczych;</w:t>
      </w:r>
    </w:p>
    <w:p w14:paraId="0B81EA97" w14:textId="77777777" w:rsidR="00646768" w:rsidRPr="00646768" w:rsidRDefault="00646768" w:rsidP="00646768">
      <w:pPr>
        <w:widowControl w:val="0"/>
        <w:numPr>
          <w:ilvl w:val="1"/>
          <w:numId w:val="1"/>
        </w:numPr>
        <w:tabs>
          <w:tab w:val="left" w:pos="829"/>
          <w:tab w:val="left" w:pos="831"/>
        </w:tabs>
        <w:autoSpaceDE w:val="0"/>
        <w:autoSpaceDN w:val="0"/>
        <w:spacing w:after="0" w:line="276" w:lineRule="auto"/>
        <w:ind w:right="109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art.</w:t>
      </w:r>
      <w:r w:rsidRPr="00646768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2</w:t>
      </w:r>
      <w:r w:rsidRPr="0064676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i</w:t>
      </w:r>
      <w:r w:rsidRPr="0064676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3</w:t>
      </w:r>
      <w:r w:rsidRPr="0064676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ustawy</w:t>
      </w:r>
      <w:r w:rsidRPr="00646768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Pr="0064676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szczególnych</w:t>
      </w:r>
      <w:r w:rsidRPr="0064676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rozwiązaniach</w:t>
      </w:r>
      <w:r w:rsidRPr="0064676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</w:t>
      </w:r>
      <w:r w:rsidRPr="0064676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zakresie</w:t>
      </w:r>
      <w:r w:rsidRPr="0064676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przeciwdziałania</w:t>
      </w:r>
      <w:r w:rsidRPr="00646768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wspieraniu agresji</w:t>
      </w:r>
      <w:r w:rsidRPr="00646768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na</w:t>
      </w:r>
      <w:r w:rsidRPr="00646768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Ukrainę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5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64676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które</w:t>
      </w:r>
      <w:r w:rsidRPr="00646768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skutkowałyby</w:t>
      </w:r>
      <w:r w:rsidRPr="00646768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zakazem</w:t>
      </w:r>
      <w:r w:rsidRPr="00646768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udostępnienia</w:t>
      </w:r>
      <w:r w:rsidRPr="00646768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środków</w:t>
      </w:r>
      <w:r w:rsidRPr="00646768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finansowych, funduszy lub zasobów gospodarczych;</w:t>
      </w:r>
    </w:p>
    <w:p w14:paraId="12115E20" w14:textId="77777777" w:rsidR="00646768" w:rsidRPr="00646768" w:rsidRDefault="00646768" w:rsidP="00646768">
      <w:pPr>
        <w:widowControl w:val="0"/>
        <w:numPr>
          <w:ilvl w:val="1"/>
          <w:numId w:val="1"/>
        </w:numPr>
        <w:tabs>
          <w:tab w:val="left" w:pos="829"/>
          <w:tab w:val="left" w:pos="831"/>
        </w:tabs>
        <w:autoSpaceDE w:val="0"/>
        <w:autoSpaceDN w:val="0"/>
        <w:spacing w:after="0" w:line="276" w:lineRule="auto"/>
        <w:ind w:right="109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art.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5l</w:t>
      </w:r>
      <w:r w:rsidRPr="00646768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rozporządzenia</w:t>
      </w:r>
      <w:r w:rsidRPr="00646768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Rady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(UE)</w:t>
      </w:r>
      <w:r w:rsidRPr="00646768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nr</w:t>
      </w:r>
      <w:r w:rsidRPr="00646768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833/2014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6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646768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które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skutkowałyby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zakazem</w:t>
      </w:r>
      <w:r w:rsidRPr="0064676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udzielania bezpośredniego</w:t>
      </w:r>
      <w:r w:rsidRPr="00646768">
        <w:rPr>
          <w:rFonts w:ascii="Times New Roman" w:eastAsia="Times New Roman" w:hAnsi="Times New Roman" w:cs="Times New Roman"/>
          <w:spacing w:val="29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lub</w:t>
      </w:r>
      <w:r w:rsidRPr="00646768">
        <w:rPr>
          <w:rFonts w:ascii="Times New Roman" w:eastAsia="Times New Roman" w:hAnsi="Times New Roman" w:cs="Times New Roman"/>
          <w:spacing w:val="30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pośredniego</w:t>
      </w:r>
      <w:r w:rsidRPr="00646768">
        <w:rPr>
          <w:rFonts w:ascii="Times New Roman" w:eastAsia="Times New Roman" w:hAnsi="Times New Roman" w:cs="Times New Roman"/>
          <w:spacing w:val="29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wsparcia,</w:t>
      </w:r>
      <w:r w:rsidRPr="00646768">
        <w:rPr>
          <w:rFonts w:ascii="Times New Roman" w:eastAsia="Times New Roman" w:hAnsi="Times New Roman" w:cs="Times New Roman"/>
          <w:spacing w:val="2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</w:t>
      </w:r>
      <w:r w:rsidRPr="00646768">
        <w:rPr>
          <w:rFonts w:ascii="Times New Roman" w:eastAsia="Times New Roman" w:hAnsi="Times New Roman" w:cs="Times New Roman"/>
          <w:spacing w:val="2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tym</w:t>
      </w:r>
      <w:r w:rsidRPr="00646768">
        <w:rPr>
          <w:rFonts w:ascii="Times New Roman" w:eastAsia="Times New Roman" w:hAnsi="Times New Roman" w:cs="Times New Roman"/>
          <w:spacing w:val="29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udzielenia</w:t>
      </w:r>
      <w:r w:rsidRPr="00646768">
        <w:rPr>
          <w:rFonts w:ascii="Times New Roman" w:eastAsia="Times New Roman" w:hAnsi="Times New Roman" w:cs="Times New Roman"/>
          <w:spacing w:val="2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finansowania</w:t>
      </w:r>
      <w:r w:rsidRPr="00646768">
        <w:rPr>
          <w:rFonts w:ascii="Times New Roman" w:eastAsia="Times New Roman" w:hAnsi="Times New Roman" w:cs="Times New Roman"/>
          <w:spacing w:val="28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i pomocy</w:t>
      </w:r>
    </w:p>
    <w:p w14:paraId="3F54BF1A" w14:textId="77777777" w:rsidR="00646768" w:rsidRPr="00646768" w:rsidRDefault="00646768" w:rsidP="006467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31341B3E" w14:textId="77777777" w:rsidR="00646768" w:rsidRPr="00646768" w:rsidRDefault="00646768" w:rsidP="00646768">
      <w:pPr>
        <w:widowControl w:val="0"/>
        <w:autoSpaceDE w:val="0"/>
        <w:autoSpaceDN w:val="0"/>
        <w:spacing w:before="188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6467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12D921" wp14:editId="6620992F">
                <wp:simplePos x="0" y="0"/>
                <wp:positionH relativeFrom="page">
                  <wp:posOffset>900988</wp:posOffset>
                </wp:positionH>
                <wp:positionV relativeFrom="paragraph">
                  <wp:posOffset>280979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C24D3" id="Graphic 8" o:spid="_x0000_s1026" style="position:absolute;margin-left:70.95pt;margin-top:22.1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AGZ6AV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05E859" w14:textId="77777777" w:rsidR="00646768" w:rsidRPr="00646768" w:rsidRDefault="00646768" w:rsidP="00646768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8AF7B77" w14:textId="77777777" w:rsidR="00646768" w:rsidRPr="00646768" w:rsidRDefault="00646768" w:rsidP="00646768">
      <w:pPr>
        <w:widowControl w:val="0"/>
        <w:autoSpaceDE w:val="0"/>
        <w:autoSpaceDN w:val="0"/>
        <w:spacing w:after="0" w:line="276" w:lineRule="auto"/>
        <w:ind w:left="118" w:right="1129"/>
        <w:rPr>
          <w:rFonts w:ascii="Carlito" w:eastAsia="Times New Roman" w:hAnsi="Carlito" w:cs="Times New Roman"/>
          <w:kern w:val="0"/>
          <w14:ligatures w14:val="none"/>
        </w:rPr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1</w:t>
      </w:r>
      <w:r w:rsidRPr="00646768">
        <w:rPr>
          <w:rFonts w:ascii="Carlito" w:eastAsia="Times New Roman" w:hAnsi="Carlito" w:cs="Times New Roman"/>
          <w:kern w:val="0"/>
          <w14:ligatures w14:val="none"/>
        </w:rPr>
        <w:t xml:space="preserve"> </w:t>
      </w:r>
      <w:hyperlink r:id="rId7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Rozporządzenie Rady (WE) nr 765/2006 z dnia 18 maja 2006 r. dotyczące środków ograniczających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8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związku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sytuacją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Białorusi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i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udziałem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Białorusi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agresji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Rosji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wobec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Ukrainy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(Dz.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Urz.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UE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134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9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z 20 maja 2006 r., s. 1,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p w14:paraId="7F207BF6" w14:textId="77777777" w:rsidR="00646768" w:rsidRPr="00646768" w:rsidRDefault="00646768" w:rsidP="00646768">
      <w:pPr>
        <w:widowControl w:val="0"/>
        <w:autoSpaceDE w:val="0"/>
        <w:autoSpaceDN w:val="0"/>
        <w:spacing w:after="0" w:line="276" w:lineRule="auto"/>
        <w:ind w:left="118" w:right="1129"/>
        <w:rPr>
          <w:rFonts w:ascii="Carlito" w:eastAsia="Times New Roman" w:hAnsi="Carlito" w:cs="Times New Roman"/>
          <w:kern w:val="0"/>
          <w14:ligatures w14:val="none"/>
        </w:rPr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2</w:t>
      </w:r>
      <w:r w:rsidRPr="00646768">
        <w:rPr>
          <w:rFonts w:ascii="Carlito" w:eastAsia="Times New Roman" w:hAnsi="Carlito" w:cs="Times New Roman"/>
          <w:spacing w:val="-3"/>
          <w:kern w:val="0"/>
          <w14:ligatures w14:val="none"/>
        </w:rPr>
        <w:t xml:space="preserve"> </w:t>
      </w:r>
      <w:hyperlink r:id="rId10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Rozporządzenie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Rady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(UE)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nr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269/2014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dnia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17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marca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2014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r.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sprawie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środków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ograniczających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11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 odniesieniu do działań podważających integralność terytorialną, suwerenność i niezależność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12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Ukrainy lub im zagrażających (Dz. Urz. UE L 78 z 17 marca 2014 r., s. 6,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p w14:paraId="1C4096C3" w14:textId="77777777" w:rsidR="00646768" w:rsidRPr="00646768" w:rsidRDefault="00646768" w:rsidP="00646768">
      <w:pPr>
        <w:widowControl w:val="0"/>
        <w:autoSpaceDE w:val="0"/>
        <w:autoSpaceDN w:val="0"/>
        <w:spacing w:after="0" w:line="276" w:lineRule="auto"/>
        <w:ind w:left="118" w:right="1098"/>
        <w:rPr>
          <w:rFonts w:ascii="Carlito" w:eastAsia="Times New Roman" w:hAnsi="Carlito" w:cs="Times New Roman"/>
          <w:kern w:val="0"/>
          <w14:ligatures w14:val="none"/>
        </w:rPr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3</w:t>
      </w:r>
      <w:r w:rsidRPr="00646768">
        <w:rPr>
          <w:rFonts w:ascii="Carlito" w:eastAsia="Times New Roman" w:hAnsi="Carlito" w:cs="Times New Roman"/>
          <w:kern w:val="0"/>
          <w14:ligatures w14:val="none"/>
        </w:rPr>
        <w:t xml:space="preserve"> </w:t>
      </w:r>
      <w:hyperlink r:id="rId13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Rozporządzenie Rady (UE) nr 208/2014 z dnia 5 marca 2014 r. w sprawie środków ograniczających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14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skierowanych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przeciwko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niektórym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osobom,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podmiotom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organom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związku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sytuacją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Ukrainie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15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(Dz. Urz. UE L 66 z 6 marca 2014 r., s. 1,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p w14:paraId="74E47D32" w14:textId="77777777" w:rsidR="00646768" w:rsidRPr="00646768" w:rsidRDefault="00646768" w:rsidP="00646768">
      <w:pPr>
        <w:widowControl w:val="0"/>
        <w:autoSpaceDE w:val="0"/>
        <w:autoSpaceDN w:val="0"/>
        <w:spacing w:before="3" w:after="0" w:line="276" w:lineRule="auto"/>
        <w:ind w:left="118" w:right="1098"/>
        <w:rPr>
          <w:rFonts w:ascii="Carlito" w:eastAsia="Times New Roman" w:hAnsi="Carlito" w:cs="Times New Roman"/>
          <w:kern w:val="0"/>
          <w14:ligatures w14:val="none"/>
        </w:rPr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4</w:t>
      </w:r>
      <w:r w:rsidRPr="00646768">
        <w:rPr>
          <w:rFonts w:ascii="Carlito" w:eastAsia="Times New Roman" w:hAnsi="Carlito" w:cs="Times New Roman"/>
          <w:kern w:val="0"/>
          <w14:ligatures w14:val="none"/>
        </w:rPr>
        <w:t xml:space="preserve"> </w:t>
      </w:r>
      <w:hyperlink r:id="rId16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Decyzja Rady 2014/145/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WPZiB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 z dnia 17 marca 2014 r. w sprawie środków ograniczających w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17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związku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działaniami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podważającymi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integralność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terytorialną,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suwerenność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niezależność</w:t>
        </w:r>
        <w:r w:rsidRPr="00646768">
          <w:rPr>
            <w:rFonts w:ascii="Carlito" w:eastAsia="Times New Roman" w:hAnsi="Carlito" w:cs="Times New Roman"/>
            <w:color w:val="0000FF"/>
            <w:spacing w:val="-7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Ukrainy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18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lub im zagrażającymi (Dz. Urz. UE L 78 z 17 marca 2014 r., s. 16,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p w14:paraId="7CA3D681" w14:textId="77777777" w:rsidR="00646768" w:rsidRPr="00646768" w:rsidRDefault="00646768" w:rsidP="00646768">
      <w:pPr>
        <w:widowControl w:val="0"/>
        <w:autoSpaceDE w:val="0"/>
        <w:autoSpaceDN w:val="0"/>
        <w:spacing w:after="0" w:line="276" w:lineRule="auto"/>
        <w:ind w:left="118" w:right="1108"/>
        <w:rPr>
          <w:rFonts w:ascii="Carlito" w:eastAsia="Times New Roman" w:hAnsi="Carlito" w:cs="Times New Roman"/>
          <w:kern w:val="0"/>
          <w14:ligatures w14:val="none"/>
        </w:rPr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5</w:t>
      </w:r>
      <w:r w:rsidRPr="00646768">
        <w:rPr>
          <w:rFonts w:ascii="Carlito" w:eastAsia="Times New Roman" w:hAnsi="Carlito" w:cs="Times New Roman"/>
          <w:kern w:val="0"/>
          <w14:ligatures w14:val="none"/>
        </w:rPr>
        <w:t xml:space="preserve"> </w:t>
      </w:r>
      <w:hyperlink r:id="rId19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Ustawa z dnia 13 kwietnia 2022 r. o szczególnych rozwiązaniach w zakresie przeciwdziałania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20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wspieraniu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agresji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 Ukrainę oraz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służących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ochronie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bezpieczeństwa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narodowego (Dz. U. poz.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835).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6</w:t>
      </w:r>
      <w:r w:rsidRPr="00646768">
        <w:rPr>
          <w:rFonts w:ascii="Carlito" w:eastAsia="Times New Roman" w:hAnsi="Carlito" w:cs="Times New Roman"/>
          <w:spacing w:val="-1"/>
          <w:kern w:val="0"/>
          <w14:ligatures w14:val="none"/>
        </w:rPr>
        <w:t xml:space="preserve"> </w:t>
      </w:r>
      <w:hyperlink r:id="rId21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Rozporządzenie Rady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(UE)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nr 833/2014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 dnia 31 lipca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2014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r. dotyczące środków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ograniczających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22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związku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działaniami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Rosji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destabilizującymi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sytuację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Ukrainie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(Dz.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Urz.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UE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229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31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lipca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2014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r.,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23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s. 1,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p w14:paraId="34691012" w14:textId="77777777" w:rsidR="00646768" w:rsidRPr="00646768" w:rsidRDefault="00646768" w:rsidP="00646768">
      <w:pPr>
        <w:widowControl w:val="0"/>
        <w:autoSpaceDE w:val="0"/>
        <w:autoSpaceDN w:val="0"/>
        <w:spacing w:after="0" w:line="276" w:lineRule="auto"/>
        <w:rPr>
          <w:rFonts w:ascii="Carlito" w:eastAsia="Times New Roman" w:hAnsi="Carlito" w:cs="Times New Roman"/>
          <w:kern w:val="0"/>
          <w14:ligatures w14:val="none"/>
        </w:rPr>
        <w:sectPr w:rsidR="00646768" w:rsidRPr="00646768" w:rsidSect="00646768">
          <w:headerReference w:type="default" r:id="rId24"/>
          <w:pgSz w:w="11910" w:h="16840"/>
          <w:pgMar w:top="1920" w:right="320" w:bottom="1200" w:left="1300" w:header="510" w:footer="964" w:gutter="0"/>
          <w:cols w:space="708"/>
          <w:docGrid w:linePitch="299"/>
        </w:sectPr>
      </w:pPr>
    </w:p>
    <w:p w14:paraId="3D9A4A19" w14:textId="77777777" w:rsidR="00646768" w:rsidRPr="00646768" w:rsidRDefault="00646768" w:rsidP="00646768">
      <w:pPr>
        <w:widowControl w:val="0"/>
        <w:autoSpaceDE w:val="0"/>
        <w:autoSpaceDN w:val="0"/>
        <w:spacing w:before="61" w:after="0" w:line="276" w:lineRule="auto"/>
        <w:ind w:left="8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finansowej lub przyznania jakichkolwiek innych korzyści w</w:t>
      </w:r>
      <w:r w:rsidRPr="006467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ramach krajowego 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programu;</w:t>
      </w:r>
    </w:p>
    <w:p w14:paraId="63196677" w14:textId="77777777" w:rsidR="00646768" w:rsidRPr="00646768" w:rsidRDefault="00646768" w:rsidP="00646768">
      <w:pPr>
        <w:widowControl w:val="0"/>
        <w:numPr>
          <w:ilvl w:val="0"/>
          <w:numId w:val="1"/>
        </w:numPr>
        <w:tabs>
          <w:tab w:val="left" w:pos="474"/>
          <w:tab w:val="left" w:pos="476"/>
        </w:tabs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 przypadku otrzymania zamówienia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środki finansowe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otrzymane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od Zamawiającego</w:t>
      </w:r>
      <w:r w:rsidRPr="0064676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nie zostaną przeznaczone:</w:t>
      </w:r>
    </w:p>
    <w:p w14:paraId="607CC4B6" w14:textId="77777777" w:rsidR="00646768" w:rsidRPr="00646768" w:rsidRDefault="00646768" w:rsidP="00646768">
      <w:pPr>
        <w:widowControl w:val="0"/>
        <w:numPr>
          <w:ilvl w:val="1"/>
          <w:numId w:val="1"/>
        </w:numPr>
        <w:tabs>
          <w:tab w:val="left" w:pos="829"/>
          <w:tab w:val="left" w:pos="83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na działalność zakazaną na podstawie aktów prawa unijnego przyjętych lub nowelizowanych w związku z agresją Rosji wobec Ukrainy, tj. rozporządzeń Rady: (UE)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2022/263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7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(UE)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nr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833/2014, (UE)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nr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692/2014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8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lub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(WE)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nr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765/2006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9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64676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decyzji Rady: (</w:t>
      </w:r>
      <w:proofErr w:type="spellStart"/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WPZiB</w:t>
      </w:r>
      <w:proofErr w:type="spellEnd"/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) 2022/266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10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, 2014/512/WPZiB</w:t>
      </w:r>
      <w:r w:rsidRPr="0064676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11</w:t>
      </w: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, 2014/145/</w:t>
      </w:r>
      <w:proofErr w:type="spellStart"/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WPZiB</w:t>
      </w:r>
      <w:proofErr w:type="spellEnd"/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lub 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2012/642/WPZiB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:vertAlign w:val="superscript"/>
          <w14:ligatures w14:val="none"/>
        </w:rPr>
        <w:t>12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];</w:t>
      </w:r>
    </w:p>
    <w:p w14:paraId="2D936005" w14:textId="77777777" w:rsidR="00646768" w:rsidRPr="00646768" w:rsidRDefault="00646768" w:rsidP="00646768">
      <w:pPr>
        <w:widowControl w:val="0"/>
        <w:numPr>
          <w:ilvl w:val="1"/>
          <w:numId w:val="1"/>
        </w:numPr>
        <w:tabs>
          <w:tab w:val="left" w:pos="829"/>
          <w:tab w:val="left" w:pos="83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na zaspokojenie roszczeń, o których mowa w art. 11 rozporządzeń Rady: (UE) nr 833/2014, (UE) nr 269/2014, (UE) nr 208/2014, art. 10 rozporządzenia Rady (UE) 2022/263, art. 6 rozporządzenia Rady (UE) nr 692/2014, art. 8d rozporządzenia Rady (WE) nr 765/2006, art. 7 decyzji Rady 2014/512/</w:t>
      </w:r>
      <w:proofErr w:type="spellStart"/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>WPZiB</w:t>
      </w:r>
      <w:proofErr w:type="spellEnd"/>
      <w:r w:rsidRPr="0064676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lub art. 2n decyzji Rady </w:t>
      </w: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2012/642/</w:t>
      </w:r>
      <w:proofErr w:type="spellStart"/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WPZiB</w:t>
      </w:r>
      <w:proofErr w:type="spellEnd"/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.</w:t>
      </w:r>
    </w:p>
    <w:p w14:paraId="09D77ADC" w14:textId="77777777" w:rsidR="00646768" w:rsidRPr="00646768" w:rsidRDefault="00646768" w:rsidP="0064676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90F1A3" w14:textId="77777777" w:rsidR="00646768" w:rsidRPr="00646768" w:rsidRDefault="00646768" w:rsidP="00646768">
      <w:pPr>
        <w:widowControl w:val="0"/>
        <w:autoSpaceDE w:val="0"/>
        <w:autoSpaceDN w:val="0"/>
        <w:spacing w:after="0" w:line="276" w:lineRule="auto"/>
        <w:ind w:left="1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Niżej</w:t>
      </w:r>
      <w:r w:rsidRPr="0064676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podpisany(-a)(-i)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oświadcza(-ją),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że,</w:t>
      </w:r>
      <w:r w:rsidRPr="0064676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zgodnie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6467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jego(jej)(ich)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najlepszą</w:t>
      </w:r>
      <w:r w:rsidRPr="00646768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wiedzą,</w:t>
      </w:r>
      <w:r w:rsidRPr="0064676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6467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powyższe oświadczenie jest zgodne z prawdą i że zostało złożone ze świadomością konsekwencji wprowadzenia Zamawiającego w błąd.</w:t>
      </w:r>
    </w:p>
    <w:p w14:paraId="1592B809" w14:textId="77777777" w:rsidR="00646768" w:rsidRPr="00646768" w:rsidRDefault="00646768" w:rsidP="006467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AADF20" w14:textId="77777777" w:rsidR="00646768" w:rsidRPr="00646768" w:rsidRDefault="00646768" w:rsidP="00646768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3EAEC3" w14:textId="54F443DD" w:rsidR="00646768" w:rsidRPr="00646768" w:rsidRDefault="00646768" w:rsidP="00646768">
      <w:pPr>
        <w:widowControl w:val="0"/>
        <w:tabs>
          <w:tab w:val="left" w:pos="5938"/>
          <w:tab w:val="left" w:pos="6510"/>
        </w:tabs>
        <w:autoSpaceDE w:val="0"/>
        <w:autoSpaceDN w:val="0"/>
        <w:spacing w:after="0" w:line="398" w:lineRule="auto"/>
        <w:ind w:left="502" w:right="1105" w:hanging="384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467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………………………………………………………………………..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br/>
      </w:r>
      <w:r w:rsidRPr="0064676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(miejscowość i data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, podpis i pieczęć)</w:t>
      </w:r>
    </w:p>
    <w:p w14:paraId="15C3240B" w14:textId="77777777" w:rsidR="00646768" w:rsidRPr="00646768" w:rsidRDefault="00646768" w:rsidP="0064676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</w:pPr>
      <w:r w:rsidRPr="006467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A183E2" wp14:editId="4E4D267B">
                <wp:simplePos x="0" y="0"/>
                <wp:positionH relativeFrom="page">
                  <wp:posOffset>900988</wp:posOffset>
                </wp:positionH>
                <wp:positionV relativeFrom="paragraph">
                  <wp:posOffset>150549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DC24A" id="Graphic 9" o:spid="_x0000_s1026" style="position:absolute;margin-left:70.95pt;margin-top:11.8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BpCtXf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4A6C1F" w14:textId="77777777" w:rsidR="00646768" w:rsidRPr="00646768" w:rsidRDefault="00646768" w:rsidP="00646768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422CEF6" w14:textId="77777777" w:rsidR="00646768" w:rsidRPr="00646768" w:rsidRDefault="00646768" w:rsidP="00646768">
      <w:pPr>
        <w:widowControl w:val="0"/>
        <w:autoSpaceDE w:val="0"/>
        <w:autoSpaceDN w:val="0"/>
        <w:spacing w:after="0" w:line="240" w:lineRule="auto"/>
        <w:ind w:left="118"/>
        <w:rPr>
          <w:rFonts w:ascii="Carlito" w:eastAsia="Times New Roman" w:hAnsi="Carlito" w:cs="Times New Roman"/>
          <w:kern w:val="0"/>
          <w14:ligatures w14:val="none"/>
        </w:rPr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7</w:t>
      </w:r>
      <w:r w:rsidRPr="00646768">
        <w:rPr>
          <w:rFonts w:ascii="Carlito" w:eastAsia="Times New Roman" w:hAnsi="Carlito" w:cs="Times New Roman"/>
          <w:spacing w:val="-5"/>
          <w:kern w:val="0"/>
          <w14:ligatures w14:val="none"/>
        </w:rPr>
        <w:t xml:space="preserve"> </w:t>
      </w:r>
      <w:hyperlink r:id="rId25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Rozporządzenie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Rady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(UE)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2022/263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dnia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23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lutego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2022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r.</w:t>
        </w:r>
        <w:r w:rsidRPr="00646768">
          <w:rPr>
            <w:rFonts w:ascii="Carlito" w:eastAsia="Times New Roman" w:hAnsi="Carlito" w:cs="Times New Roman"/>
            <w:color w:val="0000FF"/>
            <w:spacing w:val="-7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sprawie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środków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>ograniczających</w:t>
        </w:r>
      </w:hyperlink>
    </w:p>
    <w:p w14:paraId="166A63D9" w14:textId="77777777" w:rsidR="00646768" w:rsidRPr="00646768" w:rsidRDefault="00646768" w:rsidP="00646768">
      <w:pPr>
        <w:widowControl w:val="0"/>
        <w:autoSpaceDE w:val="0"/>
        <w:autoSpaceDN w:val="0"/>
        <w:spacing w:before="39" w:after="0" w:line="276" w:lineRule="auto"/>
        <w:ind w:left="118" w:right="1129"/>
        <w:rPr>
          <w:rFonts w:ascii="Carlito" w:eastAsia="Times New Roman" w:hAnsi="Carlito" w:cs="Times New Roman"/>
          <w:kern w:val="0"/>
          <w14:ligatures w14:val="none"/>
        </w:rPr>
      </w:pPr>
      <w:hyperlink r:id="rId26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odpowiedzi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uznanie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niekontrolowanych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przez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rząd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obszarów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ukraińskich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obwodów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donieckiego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27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i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ługańskiego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 oraz nakazanie rozmieszczenia rosyjskich sił zbrojnych na tych obszarach (Dz. Urz. UE L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28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42I z 23 lutego 2022 r., s. 77,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p w14:paraId="0A854351" w14:textId="77777777" w:rsidR="00646768" w:rsidRPr="00646768" w:rsidRDefault="00646768" w:rsidP="00646768">
      <w:pPr>
        <w:widowControl w:val="0"/>
        <w:autoSpaceDE w:val="0"/>
        <w:autoSpaceDN w:val="0"/>
        <w:spacing w:after="0" w:line="240" w:lineRule="auto"/>
        <w:ind w:left="118"/>
        <w:rPr>
          <w:rFonts w:ascii="Carlito" w:eastAsia="Times New Roman" w:hAnsi="Carlito" w:cs="Times New Roman"/>
          <w:kern w:val="0"/>
          <w14:ligatures w14:val="none"/>
        </w:rPr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8</w:t>
      </w:r>
      <w:r w:rsidRPr="00646768">
        <w:rPr>
          <w:rFonts w:ascii="Carlito" w:eastAsia="Times New Roman" w:hAnsi="Carlito" w:cs="Times New Roman"/>
          <w:spacing w:val="-5"/>
          <w:kern w:val="0"/>
          <w14:ligatures w14:val="none"/>
        </w:rPr>
        <w:t xml:space="preserve"> </w:t>
      </w:r>
      <w:hyperlink r:id="rId29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Rozporządzenie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Rady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(UE)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nr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692/2014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dnia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23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czerwca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2014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r.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sprawie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>środków</w:t>
        </w:r>
      </w:hyperlink>
    </w:p>
    <w:p w14:paraId="357438D8" w14:textId="77777777" w:rsidR="00646768" w:rsidRPr="00646768" w:rsidRDefault="00646768" w:rsidP="00646768">
      <w:pPr>
        <w:widowControl w:val="0"/>
        <w:autoSpaceDE w:val="0"/>
        <w:autoSpaceDN w:val="0"/>
        <w:spacing w:before="41" w:after="0" w:line="276" w:lineRule="auto"/>
        <w:ind w:left="118" w:right="1148"/>
        <w:rPr>
          <w:rFonts w:ascii="Carlito" w:eastAsia="Times New Roman" w:hAnsi="Carlito" w:cs="Times New Roman"/>
          <w:kern w:val="0"/>
          <w14:ligatures w14:val="none"/>
        </w:rPr>
      </w:pPr>
      <w:hyperlink r:id="rId30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ograniczających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odpowiedzi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bezprawne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przyłączenie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Krymu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i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Sewastopola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(Dz.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Urz.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UE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183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31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24 czerwca 2014 r., s. 9,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p w14:paraId="46B575B5" w14:textId="77777777" w:rsidR="00646768" w:rsidRPr="00646768" w:rsidRDefault="00646768" w:rsidP="00646768">
      <w:pPr>
        <w:widowControl w:val="0"/>
        <w:autoSpaceDE w:val="0"/>
        <w:autoSpaceDN w:val="0"/>
        <w:spacing w:after="0" w:line="268" w:lineRule="exact"/>
        <w:ind w:left="118"/>
        <w:rPr>
          <w:rFonts w:ascii="Carlito" w:eastAsia="Times New Roman" w:hAnsi="Times New Roman" w:cs="Times New Roman"/>
          <w:kern w:val="0"/>
          <w14:ligatures w14:val="none"/>
        </w:rPr>
      </w:pPr>
      <w:r w:rsidRPr="00646768">
        <w:rPr>
          <w:rFonts w:ascii="Carlito" w:eastAsia="Times New Roman" w:hAnsi="Times New Roman" w:cs="Times New Roman"/>
          <w:kern w:val="0"/>
          <w:vertAlign w:val="superscript"/>
          <w14:ligatures w14:val="none"/>
        </w:rPr>
        <w:t>9</w:t>
      </w:r>
      <w:r w:rsidRPr="00646768">
        <w:rPr>
          <w:rFonts w:ascii="Carlito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646768">
        <w:rPr>
          <w:rFonts w:ascii="Carlito" w:eastAsia="Times New Roman" w:hAnsi="Times New Roman" w:cs="Times New Roman"/>
          <w:kern w:val="0"/>
          <w14:ligatures w14:val="none"/>
        </w:rPr>
        <w:t>Jak</w:t>
      </w:r>
      <w:r w:rsidRPr="00646768">
        <w:rPr>
          <w:rFonts w:ascii="Carlito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46768">
        <w:rPr>
          <w:rFonts w:ascii="Carlito" w:eastAsia="Times New Roman" w:hAnsi="Times New Roman" w:cs="Times New Roman"/>
          <w:kern w:val="0"/>
          <w14:ligatures w14:val="none"/>
        </w:rPr>
        <w:t>w</w:t>
      </w:r>
      <w:r w:rsidRPr="00646768">
        <w:rPr>
          <w:rFonts w:ascii="Carlito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46768">
        <w:rPr>
          <w:rFonts w:ascii="Carlito" w:eastAsia="Times New Roman" w:hAnsi="Times New Roman" w:cs="Times New Roman"/>
          <w:kern w:val="0"/>
          <w14:ligatures w14:val="none"/>
        </w:rPr>
        <w:t>przypisie</w:t>
      </w:r>
      <w:r w:rsidRPr="00646768">
        <w:rPr>
          <w:rFonts w:ascii="Carlito" w:eastAsia="Times New Roman" w:hAnsi="Times New Roman" w:cs="Times New Roman"/>
          <w:spacing w:val="-5"/>
          <w:kern w:val="0"/>
          <w14:ligatures w14:val="none"/>
        </w:rPr>
        <w:t xml:space="preserve"> 1.</w:t>
      </w:r>
    </w:p>
    <w:p w14:paraId="3A718648" w14:textId="77777777" w:rsidR="00646768" w:rsidRPr="00646768" w:rsidRDefault="00646768" w:rsidP="00646768">
      <w:pPr>
        <w:widowControl w:val="0"/>
        <w:autoSpaceDE w:val="0"/>
        <w:autoSpaceDN w:val="0"/>
        <w:spacing w:before="41" w:after="0" w:line="240" w:lineRule="auto"/>
        <w:ind w:left="118"/>
        <w:rPr>
          <w:rFonts w:ascii="Carlito" w:eastAsia="Times New Roman" w:hAnsi="Carlito" w:cs="Times New Roman"/>
          <w:kern w:val="0"/>
          <w14:ligatures w14:val="none"/>
        </w:rPr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10</w:t>
      </w:r>
      <w:r w:rsidRPr="00646768">
        <w:rPr>
          <w:rFonts w:ascii="Carlito" w:eastAsia="Times New Roman" w:hAnsi="Carlito" w:cs="Times New Roman"/>
          <w:spacing w:val="-5"/>
          <w:kern w:val="0"/>
          <w14:ligatures w14:val="none"/>
        </w:rPr>
        <w:t xml:space="preserve"> </w:t>
      </w:r>
      <w:hyperlink r:id="rId32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Decyzja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Rady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WPZiB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)</w:t>
        </w:r>
        <w:r w:rsidRPr="00646768">
          <w:rPr>
            <w:rFonts w:ascii="Carlito" w:eastAsia="Times New Roman" w:hAnsi="Carlito" w:cs="Times New Roman"/>
            <w:color w:val="0000FF"/>
            <w:spacing w:val="-7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2022/266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dnia</w:t>
        </w:r>
        <w:r w:rsidRPr="00646768">
          <w:rPr>
            <w:rFonts w:ascii="Carlito" w:eastAsia="Times New Roman" w:hAnsi="Carlito" w:cs="Times New Roman"/>
            <w:color w:val="0000FF"/>
            <w:spacing w:val="-7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23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lutego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2022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r.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sprawie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środków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>ograniczających</w:t>
        </w:r>
      </w:hyperlink>
    </w:p>
    <w:p w14:paraId="303956B8" w14:textId="77777777" w:rsidR="00646768" w:rsidRPr="00646768" w:rsidRDefault="00646768" w:rsidP="00646768">
      <w:pPr>
        <w:widowControl w:val="0"/>
        <w:autoSpaceDE w:val="0"/>
        <w:autoSpaceDN w:val="0"/>
        <w:spacing w:before="42" w:after="0" w:line="276" w:lineRule="auto"/>
        <w:ind w:left="118" w:right="1129"/>
        <w:rPr>
          <w:rFonts w:ascii="Carlito" w:eastAsia="Times New Roman" w:hAnsi="Carlito" w:cs="Times New Roman"/>
          <w:kern w:val="0"/>
          <w14:ligatures w14:val="none"/>
        </w:rPr>
      </w:pPr>
      <w:hyperlink r:id="rId33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odpowiedzi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uznanie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niekontrolowanych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przez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rząd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obszarów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ukraińskich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obwodów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donieckiego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34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i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ługańskiego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 oraz nakazanie rozmieszczenia rosyjskich sił zbrojnych na tych obszarach (Dz. Urz. UE L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35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42 z 23 lutego 2022 r., s. 109,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p w14:paraId="22C08D2A" w14:textId="77777777" w:rsidR="00646768" w:rsidRPr="00646768" w:rsidRDefault="00646768" w:rsidP="00646768">
      <w:pPr>
        <w:widowControl w:val="0"/>
        <w:autoSpaceDE w:val="0"/>
        <w:autoSpaceDN w:val="0"/>
        <w:spacing w:after="0" w:line="240" w:lineRule="auto"/>
        <w:ind w:left="118"/>
        <w:rPr>
          <w:rFonts w:ascii="Carlito" w:eastAsia="Times New Roman" w:hAnsi="Carlito" w:cs="Times New Roman"/>
          <w:kern w:val="0"/>
          <w14:ligatures w14:val="none"/>
        </w:rPr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11</w:t>
      </w:r>
      <w:r w:rsidRPr="00646768">
        <w:rPr>
          <w:rFonts w:ascii="Carlito" w:eastAsia="Times New Roman" w:hAnsi="Carlito" w:cs="Times New Roman"/>
          <w:spacing w:val="-6"/>
          <w:kern w:val="0"/>
          <w14:ligatures w14:val="none"/>
        </w:rPr>
        <w:t xml:space="preserve"> </w:t>
      </w:r>
      <w:hyperlink r:id="rId36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Decyzja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Rady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2014/512/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WPZiB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dnia</w:t>
        </w:r>
        <w:r w:rsidRPr="00646768">
          <w:rPr>
            <w:rFonts w:ascii="Carlito" w:eastAsia="Times New Roman" w:hAnsi="Carlito" w:cs="Times New Roman"/>
            <w:color w:val="0000FF"/>
            <w:spacing w:val="-7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31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lipca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2014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r.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dotycząca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środków</w:t>
        </w:r>
        <w:r w:rsidRPr="00646768">
          <w:rPr>
            <w:rFonts w:ascii="Carlito" w:eastAsia="Times New Roman" w:hAnsi="Carlito" w:cs="Times New Roman"/>
            <w:color w:val="0000FF"/>
            <w:spacing w:val="-6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>ograniczających</w:t>
        </w:r>
      </w:hyperlink>
    </w:p>
    <w:p w14:paraId="4FF44033" w14:textId="77777777" w:rsidR="00646768" w:rsidRPr="00646768" w:rsidRDefault="00646768" w:rsidP="00646768">
      <w:pPr>
        <w:widowControl w:val="0"/>
        <w:autoSpaceDE w:val="0"/>
        <w:autoSpaceDN w:val="0"/>
        <w:spacing w:before="40" w:after="0" w:line="276" w:lineRule="auto"/>
        <w:ind w:left="118" w:right="1098"/>
        <w:rPr>
          <w:rFonts w:ascii="Carlito" w:eastAsia="Times New Roman" w:hAnsi="Carlito" w:cs="Times New Roman"/>
          <w:kern w:val="0"/>
          <w14:ligatures w14:val="none"/>
        </w:rPr>
      </w:pPr>
      <w:hyperlink r:id="rId37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związku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działaniami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Rosji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destabilizującymi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sytuację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Ukrainie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(Dz.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Urz.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UE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229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5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31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lipca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2014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38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r., s. 13,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p w14:paraId="46DDEE0E" w14:textId="39DC4E00" w:rsidR="00D75023" w:rsidRDefault="00646768" w:rsidP="00646768">
      <w:pPr>
        <w:widowControl w:val="0"/>
        <w:autoSpaceDE w:val="0"/>
        <w:autoSpaceDN w:val="0"/>
        <w:spacing w:after="0" w:line="276" w:lineRule="auto"/>
        <w:ind w:left="118" w:right="1142"/>
      </w:pPr>
      <w:r w:rsidRPr="00646768">
        <w:rPr>
          <w:rFonts w:ascii="Carlito" w:eastAsia="Times New Roman" w:hAnsi="Carlito" w:cs="Times New Roman"/>
          <w:kern w:val="0"/>
          <w:vertAlign w:val="superscript"/>
          <w14:ligatures w14:val="none"/>
        </w:rPr>
        <w:t>12</w:t>
      </w:r>
      <w:r w:rsidRPr="00646768">
        <w:rPr>
          <w:rFonts w:ascii="Carlito" w:eastAsia="Times New Roman" w:hAnsi="Carlito" w:cs="Times New Roman"/>
          <w:kern w:val="0"/>
          <w14:ligatures w14:val="none"/>
        </w:rPr>
        <w:t xml:space="preserve"> </w:t>
      </w:r>
      <w:hyperlink r:id="rId39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Decyzja Rady 2012/642/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WPZiB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 z dnia 15 października 2012 r. dotycząca środków ograniczających</w:t>
        </w:r>
      </w:hyperlink>
      <w:r w:rsidRPr="00646768">
        <w:rPr>
          <w:rFonts w:ascii="Carlito" w:eastAsia="Times New Roman" w:hAnsi="Carlito" w:cs="Times New Roman"/>
          <w:color w:val="0000FF"/>
          <w:spacing w:val="40"/>
          <w:kern w:val="0"/>
          <w14:ligatures w14:val="none"/>
        </w:rPr>
        <w:t xml:space="preserve"> </w:t>
      </w:r>
      <w:hyperlink r:id="rId40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związku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z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sytuacją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na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Białorusi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i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udziałem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Białorusi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</w:t>
        </w:r>
        <w:r w:rsidRPr="00646768">
          <w:rPr>
            <w:rFonts w:ascii="Carlito" w:eastAsia="Times New Roman" w:hAnsi="Carlito" w:cs="Times New Roman"/>
            <w:color w:val="0000FF"/>
            <w:spacing w:val="-1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agresji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Rosji</w:t>
        </w:r>
        <w:r w:rsidRPr="00646768">
          <w:rPr>
            <w:rFonts w:ascii="Carlito" w:eastAsia="Times New Roman" w:hAnsi="Carlito" w:cs="Times New Roman"/>
            <w:color w:val="0000FF"/>
            <w:spacing w:val="-3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wobec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Ukrainy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(Dz.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Urz.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UE</w:t>
        </w:r>
        <w:r w:rsidRPr="00646768">
          <w:rPr>
            <w:rFonts w:ascii="Carlito" w:eastAsia="Times New Roman" w:hAnsi="Carlito" w:cs="Times New Roman"/>
            <w:color w:val="0000FF"/>
            <w:spacing w:val="-4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L</w:t>
        </w:r>
        <w:r w:rsidRPr="00646768">
          <w:rPr>
            <w:rFonts w:ascii="Carlito" w:eastAsia="Times New Roman" w:hAnsi="Carlito" w:cs="Times New Roman"/>
            <w:color w:val="0000FF"/>
            <w:spacing w:val="-2"/>
            <w:kern w:val="0"/>
            <w:u w:val="single" w:color="0000FF"/>
            <w14:ligatures w14:val="none"/>
          </w:rPr>
          <w:t xml:space="preserve"> </w:t>
        </w:r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285</w:t>
        </w:r>
      </w:hyperlink>
      <w:r w:rsidRPr="00646768">
        <w:rPr>
          <w:rFonts w:ascii="Carlito" w:eastAsia="Times New Roman" w:hAnsi="Carlito" w:cs="Times New Roman"/>
          <w:color w:val="0000FF"/>
          <w:kern w:val="0"/>
          <w14:ligatures w14:val="none"/>
        </w:rPr>
        <w:t xml:space="preserve"> </w:t>
      </w:r>
      <w:hyperlink r:id="rId41"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 xml:space="preserve">z 17 października 2012 r., s. 1, z </w:t>
        </w:r>
        <w:proofErr w:type="spellStart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późn</w:t>
        </w:r>
        <w:proofErr w:type="spellEnd"/>
        <w:r w:rsidRPr="00646768">
          <w:rPr>
            <w:rFonts w:ascii="Carlito" w:eastAsia="Times New Roman" w:hAnsi="Carlito" w:cs="Times New Roman"/>
            <w:color w:val="0000FF"/>
            <w:kern w:val="0"/>
            <w:u w:val="single" w:color="0000FF"/>
            <w14:ligatures w14:val="none"/>
          </w:rPr>
          <w:t>. zm.).</w:t>
        </w:r>
      </w:hyperlink>
    </w:p>
    <w:sectPr w:rsidR="00D75023">
      <w:head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98002" w14:textId="77777777" w:rsidR="002A4618" w:rsidRDefault="002A4618" w:rsidP="00646768">
      <w:pPr>
        <w:spacing w:after="0" w:line="240" w:lineRule="auto"/>
      </w:pPr>
      <w:r>
        <w:separator/>
      </w:r>
    </w:p>
  </w:endnote>
  <w:endnote w:type="continuationSeparator" w:id="0">
    <w:p w14:paraId="6E826E85" w14:textId="77777777" w:rsidR="002A4618" w:rsidRDefault="002A4618" w:rsidP="0064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41F38" w14:textId="77777777" w:rsidR="002A4618" w:rsidRDefault="002A4618" w:rsidP="00646768">
      <w:pPr>
        <w:spacing w:after="0" w:line="240" w:lineRule="auto"/>
      </w:pPr>
      <w:r>
        <w:separator/>
      </w:r>
    </w:p>
  </w:footnote>
  <w:footnote w:type="continuationSeparator" w:id="0">
    <w:p w14:paraId="10FAB59C" w14:textId="77777777" w:rsidR="002A4618" w:rsidRDefault="002A4618" w:rsidP="0064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9ECC6" w14:textId="637AD679" w:rsidR="00646768" w:rsidRDefault="00646768">
    <w:pPr>
      <w:pStyle w:val="Nagwek"/>
    </w:pPr>
    <w:r>
      <w:rPr>
        <w:noProof/>
      </w:rPr>
      <w:drawing>
        <wp:inline distT="0" distB="0" distL="0" distR="0" wp14:anchorId="39347F7A" wp14:editId="6F4FCD10">
          <wp:extent cx="5944235" cy="768350"/>
          <wp:effectExtent l="0" t="0" r="0" b="0"/>
          <wp:docPr id="6515469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554B" w14:textId="66E06E87" w:rsidR="00646768" w:rsidRDefault="00646768">
    <w:pPr>
      <w:pStyle w:val="Nagwek"/>
    </w:pPr>
    <w:r>
      <w:rPr>
        <w:noProof/>
      </w:rPr>
      <w:drawing>
        <wp:inline distT="0" distB="0" distL="0" distR="0" wp14:anchorId="29BD3D2C" wp14:editId="36DEC5F6">
          <wp:extent cx="5563235" cy="719102"/>
          <wp:effectExtent l="0" t="0" r="0" b="0"/>
          <wp:docPr id="20526925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7173" cy="722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0466C"/>
    <w:multiLevelType w:val="hybridMultilevel"/>
    <w:tmpl w:val="CF72FF68"/>
    <w:lvl w:ilvl="0" w:tplc="F34E9042">
      <w:start w:val="1"/>
      <w:numFmt w:val="decimal"/>
      <w:lvlText w:val="%1)"/>
      <w:lvlJc w:val="left"/>
      <w:pPr>
        <w:ind w:left="47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484A7E">
      <w:start w:val="1"/>
      <w:numFmt w:val="lowerLetter"/>
      <w:lvlText w:val="%2)"/>
      <w:lvlJc w:val="left"/>
      <w:pPr>
        <w:ind w:left="8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4CB8BAEA">
      <w:numFmt w:val="bullet"/>
      <w:lvlText w:val="•"/>
      <w:lvlJc w:val="left"/>
      <w:pPr>
        <w:ind w:left="1889" w:hanging="356"/>
      </w:pPr>
      <w:rPr>
        <w:rFonts w:hint="default"/>
        <w:lang w:val="pl-PL" w:eastAsia="en-US" w:bidi="ar-SA"/>
      </w:rPr>
    </w:lvl>
    <w:lvl w:ilvl="3" w:tplc="370E5F0E">
      <w:numFmt w:val="bullet"/>
      <w:lvlText w:val="•"/>
      <w:lvlJc w:val="left"/>
      <w:pPr>
        <w:ind w:left="2939" w:hanging="356"/>
      </w:pPr>
      <w:rPr>
        <w:rFonts w:hint="default"/>
        <w:lang w:val="pl-PL" w:eastAsia="en-US" w:bidi="ar-SA"/>
      </w:rPr>
    </w:lvl>
    <w:lvl w:ilvl="4" w:tplc="0F8A7B9C">
      <w:numFmt w:val="bullet"/>
      <w:lvlText w:val="•"/>
      <w:lvlJc w:val="left"/>
      <w:pPr>
        <w:ind w:left="3988" w:hanging="356"/>
      </w:pPr>
      <w:rPr>
        <w:rFonts w:hint="default"/>
        <w:lang w:val="pl-PL" w:eastAsia="en-US" w:bidi="ar-SA"/>
      </w:rPr>
    </w:lvl>
    <w:lvl w:ilvl="5" w:tplc="9694167C">
      <w:numFmt w:val="bullet"/>
      <w:lvlText w:val="•"/>
      <w:lvlJc w:val="left"/>
      <w:pPr>
        <w:ind w:left="5038" w:hanging="356"/>
      </w:pPr>
      <w:rPr>
        <w:rFonts w:hint="default"/>
        <w:lang w:val="pl-PL" w:eastAsia="en-US" w:bidi="ar-SA"/>
      </w:rPr>
    </w:lvl>
    <w:lvl w:ilvl="6" w:tplc="FF948820">
      <w:numFmt w:val="bullet"/>
      <w:lvlText w:val="•"/>
      <w:lvlJc w:val="left"/>
      <w:pPr>
        <w:ind w:left="6088" w:hanging="356"/>
      </w:pPr>
      <w:rPr>
        <w:rFonts w:hint="default"/>
        <w:lang w:val="pl-PL" w:eastAsia="en-US" w:bidi="ar-SA"/>
      </w:rPr>
    </w:lvl>
    <w:lvl w:ilvl="7" w:tplc="9F1800B4">
      <w:numFmt w:val="bullet"/>
      <w:lvlText w:val="•"/>
      <w:lvlJc w:val="left"/>
      <w:pPr>
        <w:ind w:left="7137" w:hanging="356"/>
      </w:pPr>
      <w:rPr>
        <w:rFonts w:hint="default"/>
        <w:lang w:val="pl-PL" w:eastAsia="en-US" w:bidi="ar-SA"/>
      </w:rPr>
    </w:lvl>
    <w:lvl w:ilvl="8" w:tplc="49EA1FE0">
      <w:numFmt w:val="bullet"/>
      <w:lvlText w:val="•"/>
      <w:lvlJc w:val="left"/>
      <w:pPr>
        <w:ind w:left="8187" w:hanging="356"/>
      </w:pPr>
      <w:rPr>
        <w:rFonts w:hint="default"/>
        <w:lang w:val="pl-PL" w:eastAsia="en-US" w:bidi="ar-SA"/>
      </w:rPr>
    </w:lvl>
  </w:abstractNum>
  <w:num w:numId="1" w16cid:durableId="146192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68"/>
    <w:rsid w:val="002A4618"/>
    <w:rsid w:val="005D473B"/>
    <w:rsid w:val="00646768"/>
    <w:rsid w:val="00684898"/>
    <w:rsid w:val="00C218C1"/>
    <w:rsid w:val="00D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FB25F"/>
  <w15:chartTrackingRefBased/>
  <w15:docId w15:val="{422C9EFE-D2D6-4601-B9DE-0AA40AA0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7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7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7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7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7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7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7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7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7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7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768"/>
  </w:style>
  <w:style w:type="paragraph" w:styleId="Stopka">
    <w:name w:val="footer"/>
    <w:basedOn w:val="Normalny"/>
    <w:link w:val="StopkaZnak"/>
    <w:uiPriority w:val="99"/>
    <w:unhideWhenUsed/>
    <w:rsid w:val="0064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06R0765-20220604" TargetMode="External"/><Relationship Id="rId13" Type="http://schemas.openxmlformats.org/officeDocument/2006/relationships/hyperlink" Target="https://eur-lex.europa.eu/legal-content/PL/TXT/PDF/?uri=CELEX%3A02014R0208-20220413&amp;from=EN" TargetMode="External"/><Relationship Id="rId18" Type="http://schemas.openxmlformats.org/officeDocument/2006/relationships/hyperlink" Target="https://eur-lex.europa.eu/legal-content/PL/TXT/PDF/?uri=CELEX%3A02014D0145-20220604&amp;from=EN" TargetMode="External"/><Relationship Id="rId26" Type="http://schemas.openxmlformats.org/officeDocument/2006/relationships/hyperlink" Target="https://eur-lex.europa.eu/legal-content/PL/TXT/PDF/?uri=CELEX%3A02022R0263-20220414&amp;from=EN%20" TargetMode="External"/><Relationship Id="rId39" Type="http://schemas.openxmlformats.org/officeDocument/2006/relationships/hyperlink" Target="https://eur-lex.europa.eu/legal-content/PL/TXT/PDF/?uri=CELEX%3A02012D0642-20220604&amp;from=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N/TXT/?uri=CELEX%3A02014R0833-20220604" TargetMode="External"/><Relationship Id="rId34" Type="http://schemas.openxmlformats.org/officeDocument/2006/relationships/hyperlink" Target="https://eur-lex.europa.eu/legal-content/PL/TXT/PDF/?uri=CELEX%3A02022D0266-20220414&amp;from=EN" TargetMode="External"/><Relationship Id="rId42" Type="http://schemas.openxmlformats.org/officeDocument/2006/relationships/header" Target="header2.xml"/><Relationship Id="rId7" Type="http://schemas.openxmlformats.org/officeDocument/2006/relationships/hyperlink" Target="https://eur-lex.europa.eu/legal-content/EN/TXT/?uri=CELEX%3A02006R0765-20220604" TargetMode="External"/><Relationship Id="rId12" Type="http://schemas.openxmlformats.org/officeDocument/2006/relationships/hyperlink" Target="https://eur-lex.europa.eu/legal-content/EN/TXT/?uri=CELEX%3A02014R0269-20220604" TargetMode="External"/><Relationship Id="rId17" Type="http://schemas.openxmlformats.org/officeDocument/2006/relationships/hyperlink" Target="https://eur-lex.europa.eu/legal-content/PL/TXT/PDF/?uri=CELEX%3A02014D0145-20220604&amp;from=EN" TargetMode="External"/><Relationship Id="rId25" Type="http://schemas.openxmlformats.org/officeDocument/2006/relationships/hyperlink" Target="https://eur-lex.europa.eu/legal-content/PL/TXT/PDF/?uri=CELEX%3A02022R0263-20220414&amp;from=EN%20" TargetMode="External"/><Relationship Id="rId33" Type="http://schemas.openxmlformats.org/officeDocument/2006/relationships/hyperlink" Target="https://eur-lex.europa.eu/legal-content/PL/TXT/PDF/?uri=CELEX%3A02022D0266-20220414&amp;from=EN" TargetMode="External"/><Relationship Id="rId38" Type="http://schemas.openxmlformats.org/officeDocument/2006/relationships/hyperlink" Target="https://eur-lex.europa.eu/legal-content/PL/TXT/PDF/?uri=CELEX%3A02014D0512-20220604&amp;from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PL/TXT/PDF/?uri=CELEX%3A02014D0145-20220604&amp;from=EN" TargetMode="External"/><Relationship Id="rId20" Type="http://schemas.openxmlformats.org/officeDocument/2006/relationships/hyperlink" Target="https://isap.sejm.gov.pl/isap.nsf/download.xsp/WDU20220000835/T/D20220835L.pdf" TargetMode="External"/><Relationship Id="rId29" Type="http://schemas.openxmlformats.org/officeDocument/2006/relationships/hyperlink" Target="https://eur-lex.europa.eu/legal-content/PL/TXT/PDF/?uri=CELEX%3A02014R0692-20141220&amp;from=EN" TargetMode="External"/><Relationship Id="rId41" Type="http://schemas.openxmlformats.org/officeDocument/2006/relationships/hyperlink" Target="https://eur-lex.europa.eu/legal-content/PL/TXT/PDF/?uri=CELEX%3A02012D0642-20220604&amp;from=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EN/TXT/?uri=CELEX%3A02014R0269-20220604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eur-lex.europa.eu/legal-content/PL/TXT/PDF/?uri=CELEX%3A02022D0266-20220414&amp;from=EN" TargetMode="External"/><Relationship Id="rId37" Type="http://schemas.openxmlformats.org/officeDocument/2006/relationships/hyperlink" Target="https://eur-lex.europa.eu/legal-content/PL/TXT/PDF/?uri=CELEX%3A02014D0512-20220604&amp;from=EN" TargetMode="External"/><Relationship Id="rId40" Type="http://schemas.openxmlformats.org/officeDocument/2006/relationships/hyperlink" Target="https://eur-lex.europa.eu/legal-content/PL/TXT/PDF/?uri=CELEX%3A02012D0642-20220604&amp;from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PL/TXT/PDF/?uri=CELEX%3A02014R0208-20220413&amp;from=EN" TargetMode="External"/><Relationship Id="rId23" Type="http://schemas.openxmlformats.org/officeDocument/2006/relationships/hyperlink" Target="https://eur-lex.europa.eu/legal-content/EN/TXT/?uri=CELEX%3A02014R0833-20220604" TargetMode="External"/><Relationship Id="rId28" Type="http://schemas.openxmlformats.org/officeDocument/2006/relationships/hyperlink" Target="https://eur-lex.europa.eu/legal-content/PL/TXT/PDF/?uri=CELEX%3A02022R0263-20220414&amp;from=EN%20" TargetMode="External"/><Relationship Id="rId36" Type="http://schemas.openxmlformats.org/officeDocument/2006/relationships/hyperlink" Target="https://eur-lex.europa.eu/legal-content/PL/TXT/PDF/?uri=CELEX%3A02014D0512-20220604&amp;from=EN" TargetMode="External"/><Relationship Id="rId10" Type="http://schemas.openxmlformats.org/officeDocument/2006/relationships/hyperlink" Target="https://eur-lex.europa.eu/legal-content/EN/TXT/?uri=CELEX%3A02014R0269-20220604" TargetMode="External"/><Relationship Id="rId19" Type="http://schemas.openxmlformats.org/officeDocument/2006/relationships/hyperlink" Target="https://isap.sejm.gov.pl/isap.nsf/download.xsp/WDU20220000835/T/D20220835L.pdf" TargetMode="External"/><Relationship Id="rId31" Type="http://schemas.openxmlformats.org/officeDocument/2006/relationships/hyperlink" Target="https://eur-lex.europa.eu/legal-content/PL/TXT/PDF/?uri=CELEX%3A02014R0692-20141220&amp;from=EN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06R0765-20220604" TargetMode="External"/><Relationship Id="rId14" Type="http://schemas.openxmlformats.org/officeDocument/2006/relationships/hyperlink" Target="https://eur-lex.europa.eu/legal-content/PL/TXT/PDF/?uri=CELEX%3A02014R0208-20220413&amp;from=EN" TargetMode="External"/><Relationship Id="rId22" Type="http://schemas.openxmlformats.org/officeDocument/2006/relationships/hyperlink" Target="https://eur-lex.europa.eu/legal-content/EN/TXT/?uri=CELEX%3A02014R0833-20220604" TargetMode="External"/><Relationship Id="rId27" Type="http://schemas.openxmlformats.org/officeDocument/2006/relationships/hyperlink" Target="https://eur-lex.europa.eu/legal-content/PL/TXT/PDF/?uri=CELEX%3A02022R0263-20220414&amp;from=EN%20" TargetMode="External"/><Relationship Id="rId30" Type="http://schemas.openxmlformats.org/officeDocument/2006/relationships/hyperlink" Target="https://eur-lex.europa.eu/legal-content/PL/TXT/PDF/?uri=CELEX%3A02014R0692-20141220&amp;from=EN" TargetMode="External"/><Relationship Id="rId35" Type="http://schemas.openxmlformats.org/officeDocument/2006/relationships/hyperlink" Target="https://eur-lex.europa.eu/legal-content/PL/TXT/PDF/?uri=CELEX%3A02022D0266-20220414&amp;from=EN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1235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Rutkowski</dc:creator>
  <cp:keywords/>
  <dc:description/>
  <cp:lastModifiedBy>Tomasz Rutkowski</cp:lastModifiedBy>
  <cp:revision>1</cp:revision>
  <dcterms:created xsi:type="dcterms:W3CDTF">2024-12-23T16:34:00Z</dcterms:created>
  <dcterms:modified xsi:type="dcterms:W3CDTF">2024-12-23T16:38:00Z</dcterms:modified>
</cp:coreProperties>
</file>