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317A6" w14:textId="2CFCE8CD" w:rsidR="009C5861" w:rsidRPr="00DE754D" w:rsidRDefault="009C5861"/>
    <w:p w14:paraId="5A2F2EB1" w14:textId="77777777" w:rsidR="009C5861" w:rsidRPr="006668B5" w:rsidRDefault="009C5861" w:rsidP="009C5861">
      <w:pPr>
        <w:jc w:val="center"/>
        <w:rPr>
          <w:rFonts w:asciiTheme="majorHAnsi" w:hAnsiTheme="majorHAnsi"/>
          <w:b/>
          <w:sz w:val="26"/>
          <w:szCs w:val="26"/>
        </w:rPr>
      </w:pPr>
      <w:r w:rsidRPr="006668B5">
        <w:rPr>
          <w:rFonts w:asciiTheme="majorHAnsi" w:hAnsiTheme="majorHAnsi"/>
          <w:b/>
          <w:sz w:val="26"/>
          <w:szCs w:val="26"/>
        </w:rPr>
        <w:t>Zapytanie ofertowe</w:t>
      </w:r>
    </w:p>
    <w:p w14:paraId="5F1F3203" w14:textId="77777777" w:rsidR="009C5861" w:rsidRPr="009C5861" w:rsidRDefault="009C5861" w:rsidP="009C5861">
      <w:pPr>
        <w:jc w:val="right"/>
        <w:rPr>
          <w:rFonts w:asciiTheme="majorHAnsi" w:hAnsiTheme="majorHAnsi"/>
          <w:sz w:val="24"/>
          <w:szCs w:val="24"/>
        </w:rPr>
      </w:pPr>
      <w:r w:rsidRPr="009C5861">
        <w:rPr>
          <w:rFonts w:asciiTheme="majorHAnsi" w:hAnsiTheme="majorHAnsi"/>
          <w:sz w:val="24"/>
          <w:szCs w:val="24"/>
        </w:rPr>
        <w:t>Miejscowość, data</w:t>
      </w:r>
    </w:p>
    <w:p w14:paraId="4ACE84A4" w14:textId="5994C7EB" w:rsidR="00306A89" w:rsidRDefault="000B712A" w:rsidP="00306A89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Stara Wieś</w:t>
      </w:r>
      <w:r w:rsidR="00194ECE">
        <w:rPr>
          <w:rFonts w:asciiTheme="majorHAnsi" w:hAnsiTheme="majorHAnsi"/>
          <w:sz w:val="24"/>
          <w:szCs w:val="24"/>
        </w:rPr>
        <w:t xml:space="preserve">, </w:t>
      </w:r>
      <w:r w:rsidR="00A31082">
        <w:rPr>
          <w:rFonts w:asciiTheme="majorHAnsi" w:hAnsiTheme="majorHAnsi"/>
          <w:sz w:val="24"/>
          <w:szCs w:val="24"/>
        </w:rPr>
        <w:t>15.11</w:t>
      </w:r>
      <w:r w:rsidR="00B82974">
        <w:rPr>
          <w:rFonts w:asciiTheme="majorHAnsi" w:hAnsiTheme="majorHAnsi"/>
          <w:sz w:val="24"/>
          <w:szCs w:val="24"/>
        </w:rPr>
        <w:t>.</w:t>
      </w:r>
      <w:r w:rsidR="009F40BA">
        <w:rPr>
          <w:rFonts w:asciiTheme="majorHAnsi" w:hAnsiTheme="majorHAnsi"/>
          <w:sz w:val="24"/>
          <w:szCs w:val="24"/>
        </w:rPr>
        <w:t>2024 r.</w:t>
      </w:r>
    </w:p>
    <w:p w14:paraId="6FC36277" w14:textId="77777777" w:rsidR="009C5861" w:rsidRPr="009C5861" w:rsidRDefault="009C5861" w:rsidP="009C5861">
      <w:pPr>
        <w:rPr>
          <w:rFonts w:asciiTheme="majorHAnsi" w:hAnsiTheme="majorHAnsi"/>
          <w:sz w:val="24"/>
          <w:szCs w:val="24"/>
        </w:rPr>
      </w:pPr>
    </w:p>
    <w:p w14:paraId="35A555BC" w14:textId="2310DB38" w:rsidR="009C5861" w:rsidRPr="009C5861" w:rsidRDefault="009C5861" w:rsidP="00506894">
      <w:pPr>
        <w:jc w:val="both"/>
        <w:rPr>
          <w:rFonts w:asciiTheme="majorHAnsi" w:hAnsiTheme="majorHAnsi" w:cs="Verdana"/>
          <w:sz w:val="24"/>
          <w:szCs w:val="24"/>
        </w:rPr>
      </w:pPr>
      <w:r w:rsidRPr="009C5861">
        <w:rPr>
          <w:rFonts w:asciiTheme="majorHAnsi" w:hAnsiTheme="majorHAnsi" w:cs="Verdana"/>
          <w:sz w:val="24"/>
          <w:szCs w:val="24"/>
        </w:rPr>
        <w:t>Zwracamy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się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uprzejmą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prośbą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przedstawienie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oferty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na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E703D7">
        <w:rPr>
          <w:rFonts w:asciiTheme="majorHAnsi" w:eastAsia="Verdana" w:hAnsiTheme="majorHAnsi" w:cs="Verdana"/>
          <w:sz w:val="24"/>
          <w:szCs w:val="24"/>
        </w:rPr>
        <w:t>z</w:t>
      </w:r>
      <w:r w:rsidR="00E703D7" w:rsidRPr="00E703D7">
        <w:rPr>
          <w:rFonts w:asciiTheme="majorHAnsi" w:eastAsia="Verdana" w:hAnsiTheme="majorHAnsi" w:cs="Verdana"/>
          <w:sz w:val="24"/>
          <w:szCs w:val="24"/>
        </w:rPr>
        <w:t>akup</w:t>
      </w:r>
      <w:r w:rsidR="00B82974" w:rsidRPr="00B82974">
        <w:rPr>
          <w:rFonts w:asciiTheme="majorHAnsi" w:eastAsia="Verdana" w:hAnsiTheme="majorHAnsi" w:cs="Verdana"/>
          <w:b/>
          <w:sz w:val="24"/>
          <w:szCs w:val="24"/>
        </w:rPr>
        <w:t xml:space="preserve"> </w:t>
      </w:r>
      <w:r w:rsidR="00A9486A" w:rsidRPr="00A9486A">
        <w:rPr>
          <w:rFonts w:asciiTheme="majorHAnsi" w:eastAsia="Verdana" w:hAnsiTheme="majorHAnsi" w:cs="Verdana"/>
          <w:b/>
          <w:sz w:val="24"/>
          <w:szCs w:val="24"/>
        </w:rPr>
        <w:t xml:space="preserve">kabiny lakierniczej z piecem </w:t>
      </w:r>
      <w:r w:rsidR="00B82974" w:rsidRPr="00B82974">
        <w:rPr>
          <w:rFonts w:asciiTheme="majorHAnsi" w:eastAsia="Verdana" w:hAnsiTheme="majorHAnsi" w:cs="Verdana"/>
          <w:b/>
          <w:sz w:val="24"/>
          <w:szCs w:val="24"/>
        </w:rPr>
        <w:t>(dostawa, montaż, uruchomienie)</w:t>
      </w:r>
      <w:r w:rsidR="006B372C" w:rsidRPr="006B372C">
        <w:rPr>
          <w:rFonts w:asciiTheme="majorHAnsi" w:eastAsia="Verdana" w:hAnsiTheme="majorHAnsi" w:cs="Verdana"/>
          <w:b/>
          <w:sz w:val="24"/>
          <w:szCs w:val="24"/>
        </w:rPr>
        <w:t xml:space="preserve"> </w:t>
      </w:r>
      <w:r w:rsidR="00672F7C" w:rsidRPr="00E703D7">
        <w:rPr>
          <w:rFonts w:asciiTheme="majorHAnsi" w:eastAsia="Verdana" w:hAnsiTheme="majorHAnsi" w:cs="Verdana"/>
          <w:b/>
          <w:sz w:val="24"/>
          <w:szCs w:val="24"/>
        </w:rPr>
        <w:t xml:space="preserve">(1 </w:t>
      </w:r>
      <w:r w:rsidR="00B22126">
        <w:rPr>
          <w:rFonts w:asciiTheme="majorHAnsi" w:eastAsia="Verdana" w:hAnsiTheme="majorHAnsi" w:cs="Verdana"/>
          <w:b/>
          <w:sz w:val="24"/>
          <w:szCs w:val="24"/>
        </w:rPr>
        <w:t>zestaw</w:t>
      </w:r>
      <w:r w:rsidR="00E703D7">
        <w:rPr>
          <w:rFonts w:asciiTheme="majorHAnsi" w:eastAsia="Verdana" w:hAnsiTheme="majorHAnsi" w:cs="Verdana"/>
          <w:b/>
          <w:sz w:val="24"/>
          <w:szCs w:val="24"/>
        </w:rPr>
        <w:t>, now</w:t>
      </w:r>
      <w:r w:rsidR="00B82974">
        <w:rPr>
          <w:rFonts w:asciiTheme="majorHAnsi" w:eastAsia="Verdana" w:hAnsiTheme="majorHAnsi" w:cs="Verdana"/>
          <w:b/>
          <w:sz w:val="24"/>
          <w:szCs w:val="24"/>
        </w:rPr>
        <w:t>y</w:t>
      </w:r>
      <w:r w:rsidR="00672F7C" w:rsidRPr="00E703D7">
        <w:rPr>
          <w:rFonts w:asciiTheme="majorHAnsi" w:eastAsia="Verdana" w:hAnsiTheme="majorHAnsi" w:cs="Verdana"/>
          <w:b/>
          <w:sz w:val="24"/>
          <w:szCs w:val="24"/>
        </w:rPr>
        <w:t>)</w:t>
      </w:r>
      <w:r w:rsidR="00672F7C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w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związku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</w:t>
      </w:r>
      <w:r w:rsidRPr="009C5861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realizacją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projektu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ze</w:t>
      </w:r>
      <w:r w:rsidRPr="009C5861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środków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unijnych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Pr="009C5861">
        <w:rPr>
          <w:rFonts w:asciiTheme="majorHAnsi" w:hAnsiTheme="majorHAnsi" w:cs="Verdana"/>
          <w:sz w:val="24"/>
          <w:szCs w:val="24"/>
        </w:rPr>
        <w:t>w</w:t>
      </w:r>
      <w:r w:rsidR="00194ECE">
        <w:rPr>
          <w:rFonts w:asciiTheme="majorHAnsi" w:eastAsia="Verdana" w:hAnsiTheme="majorHAnsi" w:cs="Verdana"/>
          <w:sz w:val="24"/>
          <w:szCs w:val="24"/>
        </w:rPr>
        <w:t> </w:t>
      </w:r>
      <w:r w:rsidRPr="009C5861">
        <w:rPr>
          <w:rFonts w:asciiTheme="majorHAnsi" w:hAnsiTheme="majorHAnsi" w:cs="Verdana"/>
          <w:sz w:val="24"/>
          <w:szCs w:val="24"/>
        </w:rPr>
        <w:t>ramach</w:t>
      </w:r>
      <w:r w:rsidR="00506894">
        <w:rPr>
          <w:rFonts w:asciiTheme="majorHAnsi" w:hAnsiTheme="majorHAnsi" w:cs="Verdana"/>
          <w:sz w:val="24"/>
          <w:szCs w:val="24"/>
        </w:rPr>
        <w:t xml:space="preserve"> Programu</w:t>
      </w:r>
      <w:r w:rsidRPr="009C5861">
        <w:rPr>
          <w:rFonts w:asciiTheme="majorHAnsi" w:eastAsia="Verdana" w:hAnsiTheme="majorHAnsi" w:cs="Verdana"/>
          <w:sz w:val="24"/>
          <w:szCs w:val="24"/>
        </w:rPr>
        <w:t xml:space="preserve"> </w:t>
      </w:r>
      <w:r w:rsidR="00506894" w:rsidRPr="00506894">
        <w:rPr>
          <w:rFonts w:asciiTheme="majorHAnsi" w:hAnsiTheme="majorHAnsi" w:cs="Verdana"/>
          <w:sz w:val="24"/>
          <w:szCs w:val="24"/>
        </w:rPr>
        <w:t>Fundusze Europejskie dla Śląskiego 2021-2027 (Fundusz na</w:t>
      </w:r>
      <w:r w:rsidR="00506894">
        <w:rPr>
          <w:rFonts w:asciiTheme="majorHAnsi" w:hAnsiTheme="majorHAnsi" w:cs="Verdana"/>
          <w:sz w:val="24"/>
          <w:szCs w:val="24"/>
        </w:rPr>
        <w:t xml:space="preserve"> </w:t>
      </w:r>
      <w:r w:rsidR="00506894" w:rsidRPr="00506894">
        <w:rPr>
          <w:rFonts w:asciiTheme="majorHAnsi" w:hAnsiTheme="majorHAnsi" w:cs="Verdana"/>
          <w:sz w:val="24"/>
          <w:szCs w:val="24"/>
        </w:rPr>
        <w:t>rzecz Sprawiedliwej Transformacji)</w:t>
      </w:r>
    </w:p>
    <w:p w14:paraId="22D6D35B" w14:textId="77777777" w:rsidR="00306A89" w:rsidRPr="00306A89" w:rsidRDefault="00306A89" w:rsidP="00306A89">
      <w:pPr>
        <w:jc w:val="both"/>
        <w:rPr>
          <w:rFonts w:asciiTheme="majorHAnsi" w:hAnsiTheme="majorHAnsi" w:cs="Verdana"/>
          <w:b/>
          <w:sz w:val="24"/>
          <w:szCs w:val="24"/>
        </w:rPr>
      </w:pPr>
      <w:r w:rsidRPr="00306A89">
        <w:rPr>
          <w:rFonts w:asciiTheme="majorHAnsi" w:hAnsiTheme="majorHAnsi" w:cs="Verdana"/>
          <w:b/>
          <w:sz w:val="24"/>
          <w:szCs w:val="24"/>
        </w:rPr>
        <w:t>I Dane zamawiającego:</w:t>
      </w:r>
    </w:p>
    <w:p w14:paraId="0CF4C7A3" w14:textId="77777777" w:rsidR="00B82974" w:rsidRDefault="00B82974" w:rsidP="0002336A">
      <w:pPr>
        <w:rPr>
          <w:rFonts w:asciiTheme="majorHAnsi" w:hAnsiTheme="majorHAnsi"/>
          <w:sz w:val="24"/>
          <w:szCs w:val="24"/>
        </w:rPr>
      </w:pPr>
      <w:r w:rsidRPr="00B82974">
        <w:rPr>
          <w:rFonts w:asciiTheme="majorHAnsi" w:hAnsiTheme="majorHAnsi"/>
          <w:sz w:val="24"/>
          <w:szCs w:val="24"/>
        </w:rPr>
        <w:t>PRZEDSIĘBIORSTWO PRODUKCYJNO-USŁUGOWE "KÓS-MET" SPÓŁKA JAWNA SŁAWOMIR, JÓZEF KÓSKA, DOROTA WOLF</w:t>
      </w:r>
    </w:p>
    <w:p w14:paraId="42B4AB38" w14:textId="138F7401" w:rsidR="0002336A" w:rsidRDefault="0002336A" w:rsidP="000233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ul. </w:t>
      </w:r>
      <w:r w:rsidR="00B82974">
        <w:rPr>
          <w:rFonts w:asciiTheme="majorHAnsi" w:hAnsiTheme="majorHAnsi"/>
          <w:sz w:val="24"/>
          <w:szCs w:val="24"/>
        </w:rPr>
        <w:t>A. Mickiewicza 11</w:t>
      </w:r>
    </w:p>
    <w:p w14:paraId="281961C1" w14:textId="64EA8650" w:rsidR="0002336A" w:rsidRPr="009C5861" w:rsidRDefault="00B82974" w:rsidP="0002336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Stara Wieś, 43-330 Wilamowice</w:t>
      </w:r>
    </w:p>
    <w:p w14:paraId="70C7FDDB" w14:textId="4C278419" w:rsidR="0002336A" w:rsidRPr="00274BF1" w:rsidRDefault="0002336A" w:rsidP="0002336A">
      <w:pPr>
        <w:rPr>
          <w:rFonts w:asciiTheme="majorHAnsi" w:hAnsiTheme="majorHAnsi"/>
          <w:b/>
          <w:sz w:val="24"/>
          <w:szCs w:val="24"/>
        </w:rPr>
      </w:pPr>
      <w:r>
        <w:rPr>
          <w:rFonts w:ascii="Tahoma" w:hAnsi="Tahoma" w:cs="Tahoma"/>
          <w:color w:val="222222"/>
          <w:sz w:val="19"/>
          <w:szCs w:val="19"/>
          <w:shd w:val="clear" w:color="auto" w:fill="FFFFFF"/>
        </w:rPr>
        <w:t>​</w:t>
      </w:r>
      <w:r w:rsidRPr="00274BF1">
        <w:rPr>
          <w:rFonts w:asciiTheme="majorHAnsi" w:hAnsiTheme="majorHAnsi"/>
          <w:sz w:val="24"/>
          <w:szCs w:val="24"/>
        </w:rPr>
        <w:t>NIP </w:t>
      </w:r>
      <w:r w:rsidR="00B82974" w:rsidRPr="00B82974">
        <w:t>9372371884</w:t>
      </w:r>
    </w:p>
    <w:p w14:paraId="4362A51B" w14:textId="77777777" w:rsidR="009C5861" w:rsidRDefault="00306A89" w:rsidP="009C5861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II </w:t>
      </w:r>
      <w:r w:rsidR="009C5861" w:rsidRPr="006668B5">
        <w:rPr>
          <w:rFonts w:asciiTheme="majorHAnsi" w:hAnsiTheme="majorHAnsi" w:cs="Verdana"/>
          <w:b/>
          <w:sz w:val="24"/>
          <w:szCs w:val="24"/>
        </w:rPr>
        <w:t>Przedmiot zamówienia</w:t>
      </w:r>
      <w:r w:rsidR="005B2A2F">
        <w:rPr>
          <w:rFonts w:asciiTheme="majorHAnsi" w:hAnsiTheme="majorHAnsi" w:cs="Verdana"/>
          <w:b/>
          <w:sz w:val="24"/>
          <w:szCs w:val="24"/>
        </w:rPr>
        <w:t xml:space="preserve"> i jego opis (</w:t>
      </w:r>
      <w:r w:rsidR="005B2A2F" w:rsidRPr="006668B5">
        <w:rPr>
          <w:rFonts w:asciiTheme="majorHAnsi" w:hAnsiTheme="majorHAnsi" w:cs="Verdana"/>
          <w:b/>
          <w:sz w:val="24"/>
          <w:szCs w:val="24"/>
        </w:rPr>
        <w:t>specyfikacja, parametry</w:t>
      </w:r>
      <w:r w:rsidR="002511E9">
        <w:rPr>
          <w:rFonts w:asciiTheme="majorHAnsi" w:hAnsiTheme="majorHAnsi" w:cs="Verdana"/>
          <w:b/>
          <w:sz w:val="24"/>
          <w:szCs w:val="24"/>
        </w:rPr>
        <w:t>, kod CPV</w:t>
      </w:r>
      <w:r w:rsidR="005B2A2F">
        <w:rPr>
          <w:rFonts w:asciiTheme="majorHAnsi" w:hAnsiTheme="majorHAnsi" w:cs="Verdana"/>
          <w:b/>
          <w:sz w:val="24"/>
          <w:szCs w:val="24"/>
        </w:rPr>
        <w:t>)</w:t>
      </w:r>
      <w:r w:rsidR="009C5861" w:rsidRPr="009C5861">
        <w:rPr>
          <w:rFonts w:asciiTheme="majorHAnsi" w:hAnsiTheme="majorHAnsi" w:cs="Verdana"/>
          <w:sz w:val="24"/>
          <w:szCs w:val="24"/>
        </w:rPr>
        <w:t>:</w:t>
      </w:r>
    </w:p>
    <w:p w14:paraId="0F11B337" w14:textId="7C1FA955" w:rsidR="00A9486A" w:rsidRDefault="0086712C" w:rsidP="00A9486A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K</w:t>
      </w:r>
      <w:r w:rsidR="00E703D7" w:rsidRPr="00E703D7">
        <w:rPr>
          <w:rFonts w:asciiTheme="majorHAnsi" w:hAnsiTheme="majorHAnsi" w:cs="Verdana"/>
          <w:sz w:val="24"/>
          <w:szCs w:val="24"/>
        </w:rPr>
        <w:t xml:space="preserve">od CPV: </w:t>
      </w:r>
      <w:hyperlink r:id="rId8" w:history="1">
        <w:r w:rsidR="00A9486A" w:rsidRPr="00A9486A">
          <w:rPr>
            <w:rStyle w:val="Hipercze"/>
            <w:rFonts w:asciiTheme="majorHAnsi" w:hAnsiTheme="majorHAnsi" w:cs="Verdana"/>
            <w:sz w:val="24"/>
            <w:szCs w:val="24"/>
          </w:rPr>
          <w:t>39236000-5</w:t>
        </w:r>
      </w:hyperlink>
      <w:r w:rsidR="00A9486A">
        <w:rPr>
          <w:rFonts w:asciiTheme="majorHAnsi" w:hAnsiTheme="majorHAnsi" w:cs="Verdana"/>
          <w:sz w:val="24"/>
          <w:szCs w:val="24"/>
        </w:rPr>
        <w:t xml:space="preserve"> </w:t>
      </w:r>
      <w:r w:rsidR="00A9486A" w:rsidRPr="00A9486A">
        <w:rPr>
          <w:rFonts w:asciiTheme="majorHAnsi" w:hAnsiTheme="majorHAnsi" w:cs="Verdana"/>
          <w:b/>
          <w:bCs/>
          <w:sz w:val="24"/>
          <w:szCs w:val="24"/>
        </w:rPr>
        <w:t>Pełna nazwa:</w:t>
      </w:r>
      <w:r w:rsidR="00A9486A"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="00A9486A" w:rsidRPr="00A9486A">
        <w:rPr>
          <w:rFonts w:asciiTheme="majorHAnsi" w:hAnsiTheme="majorHAnsi" w:cs="Verdana"/>
          <w:sz w:val="24"/>
          <w:szCs w:val="24"/>
        </w:rPr>
        <w:t>Kabiny natryskowe</w:t>
      </w:r>
    </w:p>
    <w:p w14:paraId="0F1DFBD2" w14:textId="4FEBB436" w:rsidR="00B22126" w:rsidRPr="00A9486A" w:rsidRDefault="00B22126" w:rsidP="00A9486A">
      <w:pPr>
        <w:jc w:val="both"/>
        <w:rPr>
          <w:rFonts w:asciiTheme="majorHAnsi" w:hAnsiTheme="majorHAnsi" w:cs="Verdana"/>
          <w:sz w:val="24"/>
          <w:szCs w:val="24"/>
        </w:rPr>
      </w:pPr>
      <w:hyperlink r:id="rId9" w:history="1">
        <w:r w:rsidRPr="00B22126">
          <w:rPr>
            <w:rStyle w:val="Hipercze"/>
            <w:rFonts w:asciiTheme="majorHAnsi" w:hAnsiTheme="majorHAnsi" w:cs="Verdana"/>
            <w:sz w:val="24"/>
            <w:szCs w:val="24"/>
          </w:rPr>
          <w:t>42924300-2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sz w:val="24"/>
          <w:szCs w:val="24"/>
        </w:rPr>
        <w:t>Urządzenia natryskowe</w:t>
      </w:r>
    </w:p>
    <w:p w14:paraId="2DCB1845" w14:textId="31946177" w:rsidR="00B22126" w:rsidRPr="00B22126" w:rsidRDefault="00B22126" w:rsidP="00B22126">
      <w:pPr>
        <w:jc w:val="both"/>
        <w:rPr>
          <w:rFonts w:asciiTheme="majorHAnsi" w:hAnsiTheme="majorHAnsi" w:cs="Verdana"/>
          <w:sz w:val="24"/>
          <w:szCs w:val="24"/>
        </w:rPr>
      </w:pPr>
      <w:hyperlink r:id="rId10" w:history="1">
        <w:r w:rsidRPr="00B22126">
          <w:rPr>
            <w:rStyle w:val="Hipercze"/>
            <w:rFonts w:asciiTheme="majorHAnsi" w:hAnsiTheme="majorHAnsi" w:cs="Verdana"/>
            <w:sz w:val="24"/>
            <w:szCs w:val="24"/>
          </w:rPr>
          <w:t>39715200-9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sz w:val="24"/>
          <w:szCs w:val="24"/>
        </w:rPr>
        <w:t>Urządzenia grzewcze</w:t>
      </w:r>
    </w:p>
    <w:p w14:paraId="07364A9F" w14:textId="67283AE7" w:rsidR="00B22126" w:rsidRPr="00B22126" w:rsidRDefault="00B22126" w:rsidP="00B22126">
      <w:pPr>
        <w:jc w:val="both"/>
        <w:rPr>
          <w:rFonts w:asciiTheme="majorHAnsi" w:hAnsiTheme="majorHAnsi" w:cs="Verdana"/>
          <w:sz w:val="24"/>
          <w:szCs w:val="24"/>
        </w:rPr>
      </w:pPr>
      <w:hyperlink r:id="rId11" w:history="1">
        <w:r w:rsidRPr="00B22126">
          <w:rPr>
            <w:rStyle w:val="Hipercze"/>
            <w:rFonts w:asciiTheme="majorHAnsi" w:hAnsiTheme="majorHAnsi" w:cs="Verdana"/>
            <w:sz w:val="24"/>
            <w:szCs w:val="24"/>
          </w:rPr>
          <w:t>42300000-9</w:t>
        </w:r>
      </w:hyperlink>
      <w:r>
        <w:rPr>
          <w:rFonts w:asciiTheme="majorHAnsi" w:hAnsiTheme="majorHAnsi" w:cs="Verdana"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b/>
          <w:bCs/>
          <w:sz w:val="24"/>
          <w:szCs w:val="24"/>
        </w:rPr>
        <w:t>Pełna nazwa:</w:t>
      </w:r>
      <w:r>
        <w:rPr>
          <w:rFonts w:asciiTheme="majorHAnsi" w:hAnsiTheme="majorHAnsi" w:cs="Verdana"/>
          <w:b/>
          <w:bCs/>
          <w:sz w:val="24"/>
          <w:szCs w:val="24"/>
        </w:rPr>
        <w:t xml:space="preserve"> </w:t>
      </w:r>
      <w:r w:rsidRPr="00B22126">
        <w:rPr>
          <w:rFonts w:asciiTheme="majorHAnsi" w:hAnsiTheme="majorHAnsi" w:cs="Verdana"/>
          <w:sz w:val="24"/>
          <w:szCs w:val="24"/>
        </w:rPr>
        <w:t>Piece przemysłowe lub laboratoryjne, piece do spopielania i paleniska</w:t>
      </w:r>
    </w:p>
    <w:p w14:paraId="4B405C52" w14:textId="596C48A7" w:rsidR="00E703D7" w:rsidRPr="00E703D7" w:rsidRDefault="00147538" w:rsidP="00E703D7">
      <w:p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Podstawowe parametry zestawu:</w:t>
      </w:r>
    </w:p>
    <w:p w14:paraId="1619C756" w14:textId="085EF61E" w:rsidR="00A9486A" w:rsidRPr="000F4E3E" w:rsidRDefault="00A9486A" w:rsidP="00A9486A">
      <w:pPr>
        <w:jc w:val="both"/>
        <w:rPr>
          <w:rFonts w:asciiTheme="majorHAnsi" w:eastAsia="Verdana" w:hAnsiTheme="majorHAnsi" w:cs="Verdana"/>
          <w:bCs/>
          <w:sz w:val="26"/>
          <w:szCs w:val="26"/>
        </w:rPr>
      </w:pPr>
      <w:r w:rsidRPr="000F4E3E">
        <w:rPr>
          <w:rFonts w:asciiTheme="majorHAnsi" w:eastAsia="Verdana" w:hAnsiTheme="majorHAnsi" w:cs="Verdana"/>
          <w:b/>
          <w:sz w:val="26"/>
          <w:szCs w:val="26"/>
        </w:rPr>
        <w:t>Piec komorowy olejowy</w:t>
      </w:r>
      <w:r w:rsidRPr="000F4E3E">
        <w:rPr>
          <w:rFonts w:asciiTheme="majorHAnsi" w:eastAsia="Verdana" w:hAnsiTheme="majorHAnsi" w:cs="Verdana"/>
          <w:bCs/>
          <w:sz w:val="26"/>
          <w:szCs w:val="26"/>
        </w:rPr>
        <w:t>:</w:t>
      </w:r>
    </w:p>
    <w:p w14:paraId="7205166C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Wymiary robocze pieca:  7000 dł. x 2500 wys. x 1700 szer.</w:t>
      </w:r>
    </w:p>
    <w:p w14:paraId="483A14DC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 xml:space="preserve">Wymiary zewnętrzne pieca: 7550 dł. x 3105 wys. ( + uchwyty   transportowe) </w:t>
      </w:r>
    </w:p>
    <w:p w14:paraId="773F1DDA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 xml:space="preserve">             x 3550szer. ( wraz z wymiennikiem ciepła)</w:t>
      </w:r>
    </w:p>
    <w:p w14:paraId="4B691D8B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 xml:space="preserve">Ogólna budowa: Rama komory pieca stalowa spawana, </w:t>
      </w:r>
    </w:p>
    <w:p w14:paraId="6B59960C" w14:textId="24BABE2A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lastRenderedPageBreak/>
        <w:t>Panele wewnętrzne wykonane z blachy ocynkowanej o grubości 1mm</w:t>
      </w:r>
    </w:p>
    <w:p w14:paraId="3EFF3794" w14:textId="4DB368FF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 xml:space="preserve">Panele zewnętrzne wykonane z blachy ocynkowanej malowanej proszkowo </w:t>
      </w:r>
      <w:r w:rsidR="007258FC">
        <w:rPr>
          <w:rFonts w:asciiTheme="majorHAnsi" w:eastAsia="Verdana" w:hAnsiTheme="majorHAnsi" w:cs="Verdana"/>
          <w:bCs/>
          <w:sz w:val="24"/>
          <w:szCs w:val="24"/>
        </w:rPr>
        <w:t xml:space="preserve">(kolor półmat) </w:t>
      </w:r>
      <w:r w:rsidRPr="00F15018">
        <w:rPr>
          <w:rFonts w:asciiTheme="majorHAnsi" w:eastAsia="Verdana" w:hAnsiTheme="majorHAnsi" w:cs="Verdana"/>
          <w:bCs/>
          <w:sz w:val="24"/>
          <w:szCs w:val="24"/>
        </w:rPr>
        <w:t>o grubości</w:t>
      </w:r>
      <w:r>
        <w:rPr>
          <w:rFonts w:asciiTheme="majorHAnsi" w:eastAsia="Verdana" w:hAnsiTheme="majorHAnsi" w:cs="Verdana"/>
          <w:bCs/>
          <w:sz w:val="24"/>
          <w:szCs w:val="24"/>
        </w:rPr>
        <w:t xml:space="preserve"> </w:t>
      </w:r>
      <w:r w:rsidRPr="00F15018">
        <w:rPr>
          <w:rFonts w:asciiTheme="majorHAnsi" w:eastAsia="Verdana" w:hAnsiTheme="majorHAnsi" w:cs="Verdana"/>
          <w:bCs/>
          <w:sz w:val="24"/>
          <w:szCs w:val="24"/>
        </w:rPr>
        <w:t>1mm</w:t>
      </w:r>
    </w:p>
    <w:p w14:paraId="1585BEBE" w14:textId="1A1DB856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Wymiennik ciepła boczny, wymiennik ciepła jest dokręcany do komory pieca podczas montażu</w:t>
      </w:r>
    </w:p>
    <w:p w14:paraId="3CB5E8E8" w14:textId="5EDB960C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Uszczelka na drzwiach oraz między komorą pieca, a wymiennikiem ciepła silikonowa  odporna na temperaturę do  315 o C</w:t>
      </w:r>
    </w:p>
    <w:p w14:paraId="29B4D557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Czynnik transportujący ciepło:  powietrze atmosferyczne</w:t>
      </w:r>
    </w:p>
    <w:p w14:paraId="196921E8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Zainstalowana moc elektryczna: 2,5 kW</w:t>
      </w:r>
    </w:p>
    <w:p w14:paraId="714676B4" w14:textId="73F4FF78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Wymiennik ciepła: boczny o długości 2680mm i wysokości 3105mm , 1 szt</w:t>
      </w:r>
      <w:r>
        <w:rPr>
          <w:rFonts w:asciiTheme="majorHAnsi" w:eastAsia="Verdana" w:hAnsiTheme="majorHAnsi" w:cs="Verdana"/>
          <w:bCs/>
          <w:sz w:val="24"/>
          <w:szCs w:val="24"/>
        </w:rPr>
        <w:t>.</w:t>
      </w:r>
    </w:p>
    <w:p w14:paraId="3744C4C9" w14:textId="12B4A440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Palniki: 1 palnik</w:t>
      </w:r>
    </w:p>
    <w:p w14:paraId="643E3459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Paliwo: olej opałowy</w:t>
      </w:r>
    </w:p>
    <w:p w14:paraId="416B38A9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Zbiornik na paliwo: tak, dwupłaszczowy</w:t>
      </w:r>
    </w:p>
    <w:p w14:paraId="49698EAD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Kominy odprowadzające spaliny: tak</w:t>
      </w:r>
    </w:p>
    <w:p w14:paraId="7193502C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Moc grzewcza: do 210 kW</w:t>
      </w:r>
    </w:p>
    <w:p w14:paraId="3B779335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Rozprowadzenie powietrza: dolne</w:t>
      </w:r>
    </w:p>
    <w:p w14:paraId="2D47B5CE" w14:textId="2A7C935D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Izolacja termiczna:  ściany boczne o grubości 180mm; w ścianach bocznych umieszczona jest wełna mineralna o łącznej  grubości 200 mm.</w:t>
      </w:r>
    </w:p>
    <w:p w14:paraId="7E9A66C9" w14:textId="297204CD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Podłoga oraz sufit o grubości 140mm, wewnątrz umieszczona jest wełna mineralna o</w:t>
      </w:r>
      <w:r w:rsidR="00147538">
        <w:rPr>
          <w:rFonts w:asciiTheme="majorHAnsi" w:eastAsia="Verdana" w:hAnsiTheme="majorHAnsi" w:cs="Verdana"/>
          <w:bCs/>
          <w:sz w:val="24"/>
          <w:szCs w:val="24"/>
        </w:rPr>
        <w:t> </w:t>
      </w:r>
      <w:r w:rsidRPr="00F15018">
        <w:rPr>
          <w:rFonts w:asciiTheme="majorHAnsi" w:eastAsia="Verdana" w:hAnsiTheme="majorHAnsi" w:cs="Verdana"/>
          <w:bCs/>
          <w:sz w:val="24"/>
          <w:szCs w:val="24"/>
        </w:rPr>
        <w:t>łącznej grubości 150mm</w:t>
      </w:r>
    </w:p>
    <w:p w14:paraId="04662D00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Czas nagrzewania:  20-30 min / 200 stopni C</w:t>
      </w:r>
    </w:p>
    <w:p w14:paraId="5ED915C4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Panel kontrolny:  komponenty firm SIEMENS/HAGER/EATON lub równoważne</w:t>
      </w:r>
    </w:p>
    <w:p w14:paraId="4924E5F5" w14:textId="0B27D089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Regulator temperatury komory pieca</w:t>
      </w:r>
    </w:p>
    <w:p w14:paraId="2796B51B" w14:textId="15C0A154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Regulator temperatury spalin wylotowych</w:t>
      </w:r>
    </w:p>
    <w:p w14:paraId="125D379F" w14:textId="4BE56B16" w:rsid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Regulator czasowy</w:t>
      </w:r>
    </w:p>
    <w:p w14:paraId="55B4E60E" w14:textId="04568C76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Termostat:  czujnik temperatury spalin wylotowych: termopara typu J</w:t>
      </w:r>
    </w:p>
    <w:p w14:paraId="1A977351" w14:textId="0379B604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lastRenderedPageBreak/>
        <w:t>czujnik temperatury w komorze pieca: PT100, umieszczony w</w:t>
      </w:r>
      <w:r w:rsidR="000F4E3E">
        <w:rPr>
          <w:rFonts w:asciiTheme="majorHAnsi" w:eastAsia="Verdana" w:hAnsiTheme="majorHAnsi" w:cs="Verdana"/>
          <w:bCs/>
          <w:sz w:val="24"/>
          <w:szCs w:val="24"/>
        </w:rPr>
        <w:t xml:space="preserve"> </w:t>
      </w:r>
      <w:r w:rsidRPr="00F15018">
        <w:rPr>
          <w:rFonts w:asciiTheme="majorHAnsi" w:eastAsia="Verdana" w:hAnsiTheme="majorHAnsi" w:cs="Verdana"/>
          <w:bCs/>
          <w:sz w:val="24"/>
          <w:szCs w:val="24"/>
        </w:rPr>
        <w:t>kanale zasysowym wymiennika ciepła</w:t>
      </w:r>
    </w:p>
    <w:p w14:paraId="3F2F9BE1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Wentylatory:  2 sztuki, o wydajności przepływu 4000 m^3/h</w:t>
      </w:r>
    </w:p>
    <w:p w14:paraId="207BDC15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Rodzaj pieca:  nieprzelotowy, niedzielony</w:t>
      </w:r>
    </w:p>
    <w:p w14:paraId="4AB6E732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Drzwi: dwuskrzydłowe</w:t>
      </w:r>
    </w:p>
    <w:p w14:paraId="65D053A3" w14:textId="77777777" w:rsidR="00F15018" w:rsidRPr="00F15018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Podłoga: sztywna, umożliwiająca wejście do środka komory</w:t>
      </w:r>
    </w:p>
    <w:p w14:paraId="48E1B6A2" w14:textId="1F4EF895" w:rsidR="000F4E3E" w:rsidRDefault="00F15018" w:rsidP="00F15018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F15018">
        <w:rPr>
          <w:rFonts w:asciiTheme="majorHAnsi" w:eastAsia="Verdana" w:hAnsiTheme="majorHAnsi" w:cs="Verdana"/>
          <w:bCs/>
          <w:sz w:val="24"/>
          <w:szCs w:val="24"/>
        </w:rPr>
        <w:t>Rodzaj transportu: górny: 6 szyn 70x70 o rozstawie 220mm</w:t>
      </w:r>
    </w:p>
    <w:p w14:paraId="0A98B23A" w14:textId="77777777" w:rsidR="000F4E3E" w:rsidRDefault="000F4E3E" w:rsidP="00F15018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</w:p>
    <w:p w14:paraId="2972F867" w14:textId="5F0980A2" w:rsidR="00A9486A" w:rsidRPr="000F4E3E" w:rsidRDefault="00A9486A" w:rsidP="00F15018">
      <w:pPr>
        <w:jc w:val="both"/>
        <w:rPr>
          <w:rFonts w:asciiTheme="majorHAnsi" w:eastAsia="Verdana" w:hAnsiTheme="majorHAnsi" w:cs="Verdana"/>
          <w:b/>
          <w:sz w:val="26"/>
          <w:szCs w:val="26"/>
        </w:rPr>
      </w:pPr>
      <w:r w:rsidRPr="000F4E3E">
        <w:rPr>
          <w:rFonts w:asciiTheme="majorHAnsi" w:eastAsia="Verdana" w:hAnsiTheme="majorHAnsi" w:cs="Verdana"/>
          <w:b/>
          <w:sz w:val="26"/>
          <w:szCs w:val="26"/>
        </w:rPr>
        <w:t>Kabina lakiernicza otwarta</w:t>
      </w:r>
    </w:p>
    <w:p w14:paraId="4A8602D9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Ogólna budowa:                        kabina typu ściana ssąca, kabina wykonana z blachy o grubości </w:t>
      </w:r>
    </w:p>
    <w:p w14:paraId="12281394" w14:textId="302F1C1D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1,2mm-1,5mm malowanej proszkowo</w:t>
      </w:r>
      <w:r w:rsidR="007258FC">
        <w:rPr>
          <w:rFonts w:asciiTheme="majorHAnsi" w:eastAsia="Verdana" w:hAnsiTheme="majorHAnsi" w:cs="Verdana"/>
          <w:bCs/>
          <w:sz w:val="24"/>
          <w:szCs w:val="24"/>
        </w:rPr>
        <w:t xml:space="preserve"> (połysk)</w:t>
      </w:r>
    </w:p>
    <w:p w14:paraId="2683D8F4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Wymiary robocze:             4000 dł. x 2500 wys. x 1000 szer.</w:t>
      </w:r>
    </w:p>
    <w:p w14:paraId="2B26C75B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Wymiary zewnętrzne:             4000 dł. x 2500 wys. x  1700szer. (wraz z wyciągiem)</w:t>
      </w:r>
    </w:p>
    <w:p w14:paraId="09BAC92D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Zasilanie:                           elektryczne</w:t>
      </w:r>
    </w:p>
    <w:p w14:paraId="5DC47207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Moc znamionowa:        2,2 kW</w:t>
      </w:r>
    </w:p>
    <w:p w14:paraId="5457569A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Napięcie znamionowe:             400V</w:t>
      </w:r>
    </w:p>
    <w:p w14:paraId="35A2268A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Częstotliwość:                          50-60Hz</w:t>
      </w:r>
    </w:p>
    <w:p w14:paraId="28AD58BF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Filtry:                                        poliestrowe, z automatycznym odmuchem, </w:t>
      </w:r>
    </w:p>
    <w:p w14:paraId="1D325E59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Odmuch filtrów może zostać także wymuszony ręcznie, przyciskiem </w:t>
      </w:r>
    </w:p>
    <w:p w14:paraId="305A3055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na panelu operatorskim</w:t>
      </w:r>
    </w:p>
    <w:p w14:paraId="0EFD08F8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Liczba filtrów:                           4</w:t>
      </w:r>
    </w:p>
    <w:p w14:paraId="1C4DCEA3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Montaż filtrów:                 zapięcie typu bagnet, łatwy demontaż</w:t>
      </w:r>
    </w:p>
    <w:p w14:paraId="6FFD140F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Powierzchnia filtrów:              52 m^2</w:t>
      </w:r>
    </w:p>
    <w:p w14:paraId="5AF78347" w14:textId="0250947F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System czyszczenia filtrów: pneumatyczny - Jet Venturi</w:t>
      </w:r>
    </w:p>
    <w:p w14:paraId="64741022" w14:textId="6B0D7BD1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Wyciągi:                           1 wyciąg, 2 wentylatory  o średnicy wlotu 200mm, </w:t>
      </w:r>
    </w:p>
    <w:p w14:paraId="539BE448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maksymalna temperatura przetłaczanego powietrza </w:t>
      </w:r>
    </w:p>
    <w:p w14:paraId="1E9188A2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lastRenderedPageBreak/>
        <w:t xml:space="preserve">Ilość obrotów silnika went.:     2800 obr/min                               </w:t>
      </w:r>
    </w:p>
    <w:p w14:paraId="50336699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Głośność wirnika:              75dBa</w:t>
      </w:r>
    </w:p>
    <w:p w14:paraId="5EF3DAD0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Zużycie powietrza:              2 x 2700  m^3 / h</w:t>
      </w:r>
    </w:p>
    <w:p w14:paraId="459F8311" w14:textId="7982D561" w:rsidR="00FE53AC" w:rsidRPr="00A9486A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Spręż maks. 2 x 1200 Pa</w:t>
      </w:r>
    </w:p>
    <w:p w14:paraId="12ED7387" w14:textId="04716392" w:rsidR="00A31082" w:rsidRPr="00B22126" w:rsidRDefault="00A9486A" w:rsidP="00A9486A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  <w:r w:rsidRPr="00A31082">
        <w:rPr>
          <w:rFonts w:asciiTheme="majorHAnsi" w:eastAsia="Verdana" w:hAnsiTheme="majorHAnsi" w:cs="Verdana"/>
          <w:b/>
          <w:sz w:val="24"/>
          <w:szCs w:val="24"/>
        </w:rPr>
        <w:t>APLIKATOR</w:t>
      </w:r>
      <w:r w:rsidR="00FE53AC" w:rsidRPr="00A31082">
        <w:rPr>
          <w:rFonts w:asciiTheme="majorHAnsi" w:eastAsia="Verdana" w:hAnsiTheme="majorHAnsi" w:cs="Verdana"/>
          <w:b/>
          <w:sz w:val="24"/>
          <w:szCs w:val="24"/>
        </w:rPr>
        <w:t xml:space="preserve"> elektrostatyczny – </w:t>
      </w:r>
      <w:r w:rsidR="00A31082" w:rsidRPr="007258FC">
        <w:rPr>
          <w:rFonts w:asciiTheme="majorHAnsi" w:eastAsia="Verdana" w:hAnsiTheme="majorHAnsi" w:cs="Verdana"/>
          <w:bCs/>
          <w:sz w:val="24"/>
          <w:szCs w:val="24"/>
        </w:rPr>
        <w:t>minimalne wymaganie - pobór proszku z kartonu</w:t>
      </w:r>
    </w:p>
    <w:p w14:paraId="6C41D936" w14:textId="77777777" w:rsidR="00A9486A" w:rsidRDefault="00A9486A" w:rsidP="00A9486A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  <w:r w:rsidRPr="00B22126">
        <w:rPr>
          <w:rFonts w:asciiTheme="majorHAnsi" w:eastAsia="Verdana" w:hAnsiTheme="majorHAnsi" w:cs="Verdana"/>
          <w:b/>
          <w:sz w:val="24"/>
          <w:szCs w:val="24"/>
        </w:rPr>
        <w:t>System transportu górnego dostosowany do wymiarów urządzeń</w:t>
      </w:r>
    </w:p>
    <w:p w14:paraId="795A4A01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System transportu górnego składający się z: </w:t>
      </w:r>
    </w:p>
    <w:p w14:paraId="17D6068C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1. Wózek główny 6 torowy o dł. 7,2m – 1 sztuka</w:t>
      </w:r>
    </w:p>
    <w:p w14:paraId="08C5D7D8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2. Belka transportowa o dł. 6,8m – 12 sztuk</w:t>
      </w:r>
    </w:p>
    <w:p w14:paraId="28F628AD" w14:textId="77777777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3. Pole odstawcze 6 torowe – 2 sztuki</w:t>
      </w:r>
    </w:p>
    <w:p w14:paraId="732CED1C" w14:textId="68C3AD1D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Elementy konstrukcji nośnej wykonane z IPE180. Wszystkie prowadnice wykonane z ceownika półzamkniętego 70x70x4. </w:t>
      </w:r>
    </w:p>
    <w:p w14:paraId="6AD46A4F" w14:textId="4B6C992A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 xml:space="preserve">Słupy konstrukcji wsporczej wykonane z kształtownika 100x100x3. Stopy słupów o wymiarach 215mm x 215mm. </w:t>
      </w:r>
    </w:p>
    <w:p w14:paraId="4537630C" w14:textId="71FF433F" w:rsidR="000F4E3E" w:rsidRPr="000F4E3E" w:rsidRDefault="000F4E3E" w:rsidP="000F4E3E">
      <w:pPr>
        <w:jc w:val="both"/>
        <w:rPr>
          <w:rFonts w:asciiTheme="majorHAnsi" w:eastAsia="Verdana" w:hAnsiTheme="majorHAnsi" w:cs="Verdana"/>
          <w:bCs/>
          <w:sz w:val="24"/>
          <w:szCs w:val="24"/>
        </w:rPr>
      </w:pPr>
      <w:r w:rsidRPr="000F4E3E">
        <w:rPr>
          <w:rFonts w:asciiTheme="majorHAnsi" w:eastAsia="Verdana" w:hAnsiTheme="majorHAnsi" w:cs="Verdana"/>
          <w:bCs/>
          <w:sz w:val="24"/>
          <w:szCs w:val="24"/>
        </w:rPr>
        <w:t>Montaż prowadnic do konstrukcji nośnej na blachach o wymiarach 165mm x 165mm</w:t>
      </w:r>
    </w:p>
    <w:p w14:paraId="3536F074" w14:textId="77777777" w:rsidR="00A9486A" w:rsidRPr="00B22126" w:rsidRDefault="00A9486A" w:rsidP="00A9486A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  <w:r w:rsidRPr="00B22126">
        <w:rPr>
          <w:rFonts w:asciiTheme="majorHAnsi" w:eastAsia="Verdana" w:hAnsiTheme="majorHAnsi" w:cs="Verdana"/>
          <w:b/>
          <w:sz w:val="24"/>
          <w:szCs w:val="24"/>
        </w:rPr>
        <w:t>Montaż urządzeń i systemu transportu górnego</w:t>
      </w:r>
    </w:p>
    <w:p w14:paraId="17B36FBB" w14:textId="77777777" w:rsidR="00A9486A" w:rsidRPr="00B22126" w:rsidRDefault="00A9486A" w:rsidP="00A9486A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  <w:r w:rsidRPr="00B22126">
        <w:rPr>
          <w:rFonts w:asciiTheme="majorHAnsi" w:eastAsia="Verdana" w:hAnsiTheme="majorHAnsi" w:cs="Verdana"/>
          <w:b/>
          <w:sz w:val="24"/>
          <w:szCs w:val="24"/>
        </w:rPr>
        <w:t>Projekt systemu transportowego</w:t>
      </w:r>
    </w:p>
    <w:p w14:paraId="61D319A4" w14:textId="77777777" w:rsidR="00A9486A" w:rsidRPr="00B22126" w:rsidRDefault="00A9486A" w:rsidP="00A9486A">
      <w:pPr>
        <w:jc w:val="both"/>
        <w:rPr>
          <w:rFonts w:asciiTheme="majorHAnsi" w:eastAsia="Verdana" w:hAnsiTheme="majorHAnsi" w:cs="Verdana"/>
          <w:b/>
          <w:sz w:val="24"/>
          <w:szCs w:val="24"/>
        </w:rPr>
      </w:pPr>
      <w:r w:rsidRPr="00B22126">
        <w:rPr>
          <w:rFonts w:asciiTheme="majorHAnsi" w:eastAsia="Verdana" w:hAnsiTheme="majorHAnsi" w:cs="Verdana"/>
          <w:b/>
          <w:sz w:val="24"/>
          <w:szCs w:val="24"/>
        </w:rPr>
        <w:t>Transport</w:t>
      </w:r>
    </w:p>
    <w:p w14:paraId="23E0BA6C" w14:textId="6972527B" w:rsidR="006B372C" w:rsidRDefault="00451362" w:rsidP="00A9486A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>Informacje dodatkowe:</w:t>
      </w:r>
    </w:p>
    <w:p w14:paraId="71C79245" w14:textId="49B6C865" w:rsidR="000F05D4" w:rsidRDefault="000F05D4" w:rsidP="00451362">
      <w:pPr>
        <w:jc w:val="both"/>
        <w:rPr>
          <w:rFonts w:asciiTheme="majorHAnsi" w:hAnsiTheme="majorHAnsi" w:cs="Verdana"/>
          <w:bCs/>
          <w:sz w:val="24"/>
          <w:szCs w:val="24"/>
        </w:rPr>
      </w:pPr>
      <w:r>
        <w:rPr>
          <w:rFonts w:asciiTheme="majorHAnsi" w:hAnsiTheme="majorHAnsi" w:cs="Verdana"/>
          <w:bCs/>
          <w:sz w:val="24"/>
          <w:szCs w:val="24"/>
        </w:rPr>
        <w:t>- z</w:t>
      </w:r>
      <w:r w:rsidRPr="009F40BA">
        <w:rPr>
          <w:rFonts w:asciiTheme="majorHAnsi" w:hAnsiTheme="majorHAnsi" w:cs="Verdana"/>
          <w:bCs/>
          <w:sz w:val="24"/>
          <w:szCs w:val="24"/>
        </w:rPr>
        <w:t xml:space="preserve">amówienie obejmuje </w:t>
      </w:r>
      <w:r>
        <w:rPr>
          <w:rFonts w:asciiTheme="majorHAnsi" w:hAnsiTheme="majorHAnsi" w:cs="Verdana"/>
          <w:bCs/>
          <w:sz w:val="24"/>
          <w:szCs w:val="24"/>
        </w:rPr>
        <w:t xml:space="preserve">kompletną </w:t>
      </w:r>
      <w:r w:rsidRPr="009F40BA">
        <w:rPr>
          <w:rFonts w:asciiTheme="majorHAnsi" w:hAnsiTheme="majorHAnsi" w:cs="Verdana"/>
          <w:bCs/>
          <w:sz w:val="24"/>
          <w:szCs w:val="24"/>
        </w:rPr>
        <w:t>dostawę</w:t>
      </w:r>
      <w:r w:rsidR="0097621E">
        <w:rPr>
          <w:rFonts w:asciiTheme="majorHAnsi" w:hAnsiTheme="majorHAnsi" w:cs="Verdana"/>
          <w:bCs/>
          <w:sz w:val="24"/>
          <w:szCs w:val="24"/>
        </w:rPr>
        <w:t xml:space="preserve"> elementów </w:t>
      </w:r>
      <w:r w:rsidR="001779E6">
        <w:rPr>
          <w:rFonts w:asciiTheme="majorHAnsi" w:hAnsiTheme="majorHAnsi" w:cs="Verdana"/>
          <w:bCs/>
          <w:sz w:val="24"/>
          <w:szCs w:val="24"/>
        </w:rPr>
        <w:t>niezbędnych do</w:t>
      </w:r>
      <w:r w:rsidR="0097621E">
        <w:rPr>
          <w:rFonts w:asciiTheme="majorHAnsi" w:hAnsiTheme="majorHAnsi" w:cs="Verdana"/>
          <w:bCs/>
          <w:sz w:val="24"/>
          <w:szCs w:val="24"/>
        </w:rPr>
        <w:t xml:space="preserve"> prawidłowe</w:t>
      </w:r>
      <w:r w:rsidR="001779E6">
        <w:rPr>
          <w:rFonts w:asciiTheme="majorHAnsi" w:hAnsiTheme="majorHAnsi" w:cs="Verdana"/>
          <w:bCs/>
          <w:sz w:val="24"/>
          <w:szCs w:val="24"/>
        </w:rPr>
        <w:t>go</w:t>
      </w:r>
      <w:r w:rsidR="0097621E">
        <w:rPr>
          <w:rFonts w:asciiTheme="majorHAnsi" w:hAnsiTheme="majorHAnsi" w:cs="Verdana"/>
          <w:bCs/>
          <w:sz w:val="24"/>
          <w:szCs w:val="24"/>
        </w:rPr>
        <w:t xml:space="preserve"> działani</w:t>
      </w:r>
      <w:r w:rsidR="001779E6">
        <w:rPr>
          <w:rFonts w:asciiTheme="majorHAnsi" w:hAnsiTheme="majorHAnsi" w:cs="Verdana"/>
          <w:bCs/>
          <w:sz w:val="24"/>
          <w:szCs w:val="24"/>
        </w:rPr>
        <w:t>a</w:t>
      </w:r>
      <w:r w:rsidR="0097621E">
        <w:rPr>
          <w:rFonts w:asciiTheme="majorHAnsi" w:hAnsiTheme="majorHAnsi" w:cs="Verdana"/>
          <w:bCs/>
          <w:sz w:val="24"/>
          <w:szCs w:val="24"/>
        </w:rPr>
        <w:t xml:space="preserve"> </w:t>
      </w:r>
      <w:r w:rsidR="000F4E3E">
        <w:rPr>
          <w:rFonts w:asciiTheme="majorHAnsi" w:hAnsiTheme="majorHAnsi" w:cs="Verdana"/>
          <w:bCs/>
          <w:sz w:val="24"/>
          <w:szCs w:val="24"/>
        </w:rPr>
        <w:t>przedmiotu zamówienia</w:t>
      </w:r>
      <w:r w:rsidRPr="009F40BA">
        <w:rPr>
          <w:rFonts w:asciiTheme="majorHAnsi" w:hAnsiTheme="majorHAnsi" w:cs="Verdana"/>
          <w:bCs/>
          <w:sz w:val="24"/>
          <w:szCs w:val="24"/>
        </w:rPr>
        <w:t>, montaż, uruchomienie w siedzibie zamawiającego</w:t>
      </w:r>
    </w:p>
    <w:p w14:paraId="26568F3C" w14:textId="43EBF5B8" w:rsidR="000F05D4" w:rsidRDefault="000F05D4" w:rsidP="000F4E3E">
      <w:pPr>
        <w:jc w:val="both"/>
        <w:rPr>
          <w:rFonts w:asciiTheme="majorHAnsi" w:hAnsiTheme="majorHAnsi" w:cs="Verdana"/>
          <w:bCs/>
          <w:sz w:val="24"/>
          <w:szCs w:val="24"/>
        </w:rPr>
      </w:pPr>
      <w:r>
        <w:rPr>
          <w:rFonts w:asciiTheme="majorHAnsi" w:hAnsiTheme="majorHAnsi" w:cs="Verdana"/>
          <w:bCs/>
          <w:sz w:val="24"/>
          <w:szCs w:val="24"/>
        </w:rPr>
        <w:t>- o</w:t>
      </w:r>
      <w:r w:rsidR="00451362" w:rsidRPr="009F40BA">
        <w:rPr>
          <w:rFonts w:asciiTheme="majorHAnsi" w:hAnsiTheme="majorHAnsi" w:cs="Verdana"/>
          <w:bCs/>
          <w:sz w:val="24"/>
          <w:szCs w:val="24"/>
        </w:rPr>
        <w:t>czekiwany minimalny okres gwarancji</w:t>
      </w:r>
      <w:r w:rsidR="00B978B9">
        <w:rPr>
          <w:rFonts w:asciiTheme="majorHAnsi" w:hAnsiTheme="majorHAnsi" w:cs="Verdana"/>
          <w:bCs/>
          <w:sz w:val="24"/>
          <w:szCs w:val="24"/>
        </w:rPr>
        <w:t>:</w:t>
      </w:r>
      <w:r w:rsidR="00451362" w:rsidRPr="009F40BA">
        <w:rPr>
          <w:rFonts w:asciiTheme="majorHAnsi" w:hAnsiTheme="majorHAnsi" w:cs="Verdana"/>
          <w:bCs/>
          <w:sz w:val="24"/>
          <w:szCs w:val="24"/>
        </w:rPr>
        <w:t xml:space="preserve"> </w:t>
      </w:r>
      <w:r w:rsidR="00CE7909">
        <w:rPr>
          <w:rFonts w:asciiTheme="majorHAnsi" w:hAnsiTheme="majorHAnsi" w:cs="Verdana"/>
          <w:bCs/>
          <w:sz w:val="24"/>
          <w:szCs w:val="24"/>
        </w:rPr>
        <w:t>24</w:t>
      </w:r>
      <w:r w:rsidR="000F4E3E">
        <w:rPr>
          <w:rFonts w:asciiTheme="majorHAnsi" w:hAnsiTheme="majorHAnsi" w:cs="Verdana"/>
          <w:bCs/>
          <w:sz w:val="24"/>
          <w:szCs w:val="24"/>
        </w:rPr>
        <w:t xml:space="preserve"> m-c</w:t>
      </w:r>
      <w:r w:rsidR="00496C2B">
        <w:rPr>
          <w:rFonts w:asciiTheme="majorHAnsi" w:hAnsiTheme="majorHAnsi" w:cs="Verdana"/>
          <w:bCs/>
          <w:sz w:val="24"/>
          <w:szCs w:val="24"/>
        </w:rPr>
        <w:t>e</w:t>
      </w:r>
    </w:p>
    <w:p w14:paraId="4AC65AFA" w14:textId="2B1DB45B" w:rsidR="00CE7909" w:rsidRDefault="00CE7909" w:rsidP="000F4E3E">
      <w:pPr>
        <w:jc w:val="both"/>
        <w:rPr>
          <w:rFonts w:asciiTheme="majorHAnsi" w:hAnsiTheme="majorHAnsi" w:cs="Verdana"/>
          <w:bCs/>
          <w:sz w:val="24"/>
          <w:szCs w:val="24"/>
        </w:rPr>
      </w:pPr>
      <w:r>
        <w:rPr>
          <w:rFonts w:asciiTheme="majorHAnsi" w:hAnsiTheme="majorHAnsi" w:cs="Verdana"/>
          <w:bCs/>
          <w:sz w:val="24"/>
          <w:szCs w:val="24"/>
        </w:rPr>
        <w:t>- oczekiwany czas reakcji serwisowej od zgłoszenia problemu – 12h</w:t>
      </w:r>
    </w:p>
    <w:p w14:paraId="7A042A86" w14:textId="0D045022" w:rsidR="000B1C88" w:rsidRPr="000F05D4" w:rsidRDefault="000B1C88" w:rsidP="000F4E3E">
      <w:pPr>
        <w:jc w:val="both"/>
        <w:rPr>
          <w:rFonts w:asciiTheme="majorHAnsi" w:hAnsiTheme="majorHAnsi" w:cs="Verdana"/>
          <w:bCs/>
          <w:sz w:val="24"/>
          <w:szCs w:val="24"/>
        </w:rPr>
      </w:pPr>
      <w:r w:rsidRPr="006B4231">
        <w:rPr>
          <w:rFonts w:asciiTheme="majorHAnsi" w:hAnsiTheme="majorHAnsi"/>
          <w:sz w:val="24"/>
          <w:szCs w:val="24"/>
        </w:rPr>
        <w:t>Wskazane w niniejszej dokumentacji parametry są parametrami minimalnymi wymaganymi przez Zamawiającego. Jeśli w jakiejkolwiek części dokumentacji (związanej z niniejszym postępowaniem ofertowym) występują nazwy handlowe lub wskazana jest technologia zastrzeżona dla konkretnego producenta – Zamawiający dopuszcza rozwiązanie równoważne lub lepsze</w:t>
      </w:r>
      <w:r>
        <w:rPr>
          <w:rFonts w:asciiTheme="majorHAnsi" w:hAnsiTheme="majorHAnsi"/>
          <w:sz w:val="24"/>
          <w:szCs w:val="24"/>
        </w:rPr>
        <w:t>.</w:t>
      </w:r>
    </w:p>
    <w:p w14:paraId="3CB56F87" w14:textId="756317BA" w:rsidR="00CE7909" w:rsidRPr="000B1C88" w:rsidRDefault="000F4E3E" w:rsidP="000B1C8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lastRenderedPageBreak/>
        <w:t xml:space="preserve">Lokalizacja przedsięwzięcia: </w:t>
      </w:r>
      <w:r>
        <w:rPr>
          <w:rFonts w:asciiTheme="majorHAnsi" w:hAnsiTheme="majorHAnsi"/>
          <w:sz w:val="24"/>
          <w:szCs w:val="24"/>
        </w:rPr>
        <w:t>ul. A. Mickiewicza 11, Stara Wieś, 43-330 Wilamowice</w:t>
      </w:r>
    </w:p>
    <w:p w14:paraId="2AA79790" w14:textId="6BF035EB" w:rsidR="005B2A2F" w:rsidRDefault="00306A89" w:rsidP="00E703D7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III </w:t>
      </w:r>
      <w:r w:rsidR="005B2A2F">
        <w:rPr>
          <w:rFonts w:asciiTheme="majorHAnsi" w:hAnsiTheme="majorHAnsi" w:cs="Verdana"/>
          <w:b/>
          <w:sz w:val="24"/>
          <w:szCs w:val="24"/>
        </w:rPr>
        <w:t>Sposób przygotowania oferty</w:t>
      </w:r>
    </w:p>
    <w:p w14:paraId="7A6E42EE" w14:textId="77777777" w:rsidR="009C5861" w:rsidRDefault="00A65785" w:rsidP="00A65785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Złożona oferta powinna zawierać:</w:t>
      </w:r>
    </w:p>
    <w:p w14:paraId="730A9992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nazwę i adres oferenta</w:t>
      </w:r>
    </w:p>
    <w:p w14:paraId="78B272A4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datę sporządzenia</w:t>
      </w:r>
    </w:p>
    <w:p w14:paraId="70E5007A" w14:textId="391EE764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opis nawiązujący do parametrów wyszczególnionych w zapytaniu ofertowym</w:t>
      </w:r>
      <w:r w:rsidR="00B210F0">
        <w:rPr>
          <w:rFonts w:asciiTheme="majorHAnsi" w:hAnsiTheme="majorHAnsi" w:cs="Verdana"/>
          <w:sz w:val="24"/>
          <w:szCs w:val="24"/>
        </w:rPr>
        <w:t xml:space="preserve"> w pkt. II</w:t>
      </w:r>
    </w:p>
    <w:p w14:paraId="1C502EC0" w14:textId="77777777" w:rsidR="00A65785" w:rsidRDefault="00A65785" w:rsidP="00A65785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wartość oferty (netto i brutto)</w:t>
      </w:r>
    </w:p>
    <w:p w14:paraId="7A87C535" w14:textId="4D9A218E" w:rsidR="00494D26" w:rsidRDefault="00216AAC" w:rsidP="000F4E3E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okres gwaranc</w:t>
      </w:r>
      <w:r w:rsidR="000F4E3E">
        <w:rPr>
          <w:rFonts w:asciiTheme="majorHAnsi" w:hAnsiTheme="majorHAnsi" w:cs="Verdana"/>
          <w:sz w:val="24"/>
          <w:szCs w:val="24"/>
        </w:rPr>
        <w:t>ji</w:t>
      </w:r>
    </w:p>
    <w:p w14:paraId="6A725D0A" w14:textId="5C5AA496" w:rsidR="00CE7909" w:rsidRPr="000F4E3E" w:rsidRDefault="00CE7909" w:rsidP="000F4E3E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czas reakcji serwisowej</w:t>
      </w:r>
    </w:p>
    <w:p w14:paraId="61C70191" w14:textId="28076C47" w:rsidR="00D26DD3" w:rsidRPr="009F40BA" w:rsidRDefault="00A65785" w:rsidP="00D26DD3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termin ważności oferty</w:t>
      </w:r>
      <w:r w:rsidR="00B210F0">
        <w:rPr>
          <w:rFonts w:asciiTheme="majorHAnsi" w:hAnsiTheme="majorHAnsi" w:cs="Verdana"/>
          <w:sz w:val="24"/>
          <w:szCs w:val="24"/>
        </w:rPr>
        <w:t xml:space="preserve"> </w:t>
      </w:r>
      <w:r w:rsidR="00B210F0" w:rsidRPr="009F40BA">
        <w:rPr>
          <w:rFonts w:asciiTheme="majorHAnsi" w:hAnsiTheme="majorHAnsi" w:cs="Verdana"/>
          <w:sz w:val="24"/>
          <w:szCs w:val="24"/>
        </w:rPr>
        <w:t xml:space="preserve">(minimum do dnia </w:t>
      </w:r>
      <w:r w:rsidR="00CE7909">
        <w:rPr>
          <w:rFonts w:asciiTheme="majorHAnsi" w:hAnsiTheme="majorHAnsi" w:cs="Verdana"/>
          <w:sz w:val="24"/>
          <w:szCs w:val="24"/>
        </w:rPr>
        <w:t>6</w:t>
      </w:r>
      <w:r w:rsidR="009F40BA" w:rsidRPr="009F40BA">
        <w:rPr>
          <w:rFonts w:asciiTheme="majorHAnsi" w:hAnsiTheme="majorHAnsi" w:cs="Verdana"/>
          <w:sz w:val="24"/>
          <w:szCs w:val="24"/>
        </w:rPr>
        <w:t>.</w:t>
      </w:r>
      <w:r w:rsidR="000F4E3E">
        <w:rPr>
          <w:rFonts w:asciiTheme="majorHAnsi" w:hAnsiTheme="majorHAnsi" w:cs="Verdana"/>
          <w:sz w:val="24"/>
          <w:szCs w:val="24"/>
        </w:rPr>
        <w:t>1</w:t>
      </w:r>
      <w:r w:rsidR="00CE7909">
        <w:rPr>
          <w:rFonts w:asciiTheme="majorHAnsi" w:hAnsiTheme="majorHAnsi" w:cs="Verdana"/>
          <w:sz w:val="24"/>
          <w:szCs w:val="24"/>
        </w:rPr>
        <w:t>2</w:t>
      </w:r>
      <w:r w:rsidR="009F40BA" w:rsidRPr="009F40BA">
        <w:rPr>
          <w:rFonts w:asciiTheme="majorHAnsi" w:hAnsiTheme="majorHAnsi" w:cs="Verdana"/>
          <w:sz w:val="24"/>
          <w:szCs w:val="24"/>
        </w:rPr>
        <w:t>.2024</w:t>
      </w:r>
      <w:r w:rsidR="00B210F0" w:rsidRPr="009F40BA">
        <w:rPr>
          <w:rFonts w:asciiTheme="majorHAnsi" w:hAnsiTheme="majorHAnsi" w:cs="Verdana"/>
          <w:sz w:val="24"/>
          <w:szCs w:val="24"/>
        </w:rPr>
        <w:t>)</w:t>
      </w:r>
    </w:p>
    <w:p w14:paraId="2A93FA5C" w14:textId="597397BC" w:rsidR="00EE163D" w:rsidRPr="00D26DD3" w:rsidRDefault="00D1585C" w:rsidP="00D26DD3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 w:rsidRPr="00D26DD3">
        <w:rPr>
          <w:rFonts w:asciiTheme="majorHAnsi" w:hAnsiTheme="majorHAnsi" w:cs="Verdana"/>
          <w:sz w:val="24"/>
          <w:szCs w:val="24"/>
        </w:rPr>
        <w:t>termin realizacji umowy</w:t>
      </w:r>
      <w:r w:rsidR="00955AEF">
        <w:rPr>
          <w:rFonts w:asciiTheme="majorHAnsi" w:hAnsiTheme="majorHAnsi" w:cs="Verdana"/>
          <w:sz w:val="24"/>
          <w:szCs w:val="24"/>
        </w:rPr>
        <w:t>/</w:t>
      </w:r>
      <w:r w:rsidR="005313D4">
        <w:rPr>
          <w:rFonts w:asciiTheme="majorHAnsi" w:hAnsiTheme="majorHAnsi" w:cs="Verdana"/>
          <w:sz w:val="24"/>
          <w:szCs w:val="24"/>
        </w:rPr>
        <w:t>wykonania zamówienia</w:t>
      </w:r>
    </w:p>
    <w:p w14:paraId="173C709E" w14:textId="29DD4E8D" w:rsidR="00EE163D" w:rsidRDefault="00DE754D" w:rsidP="009A2113">
      <w:pPr>
        <w:pStyle w:val="Akapitzlist"/>
        <w:numPr>
          <w:ilvl w:val="0"/>
          <w:numId w:val="2"/>
        </w:numPr>
        <w:jc w:val="both"/>
        <w:rPr>
          <w:rFonts w:asciiTheme="majorHAnsi" w:hAnsiTheme="majorHAnsi" w:cs="Verdana"/>
          <w:sz w:val="24"/>
          <w:szCs w:val="24"/>
        </w:rPr>
      </w:pPr>
      <w:r w:rsidRPr="00B82974">
        <w:rPr>
          <w:rFonts w:asciiTheme="majorHAnsi" w:hAnsiTheme="majorHAnsi" w:cs="Verdana"/>
          <w:sz w:val="24"/>
          <w:szCs w:val="24"/>
        </w:rPr>
        <w:t>podpis oferenta</w:t>
      </w:r>
      <w:r w:rsidR="00CF5CF2" w:rsidRPr="00B82974">
        <w:rPr>
          <w:rFonts w:asciiTheme="majorHAnsi" w:hAnsiTheme="majorHAnsi" w:cs="Verdana"/>
          <w:sz w:val="24"/>
          <w:szCs w:val="24"/>
        </w:rPr>
        <w:t xml:space="preserve"> </w:t>
      </w:r>
    </w:p>
    <w:p w14:paraId="6FCEC05C" w14:textId="77777777" w:rsidR="00B82974" w:rsidRPr="00B82974" w:rsidRDefault="00B82974" w:rsidP="00B82974">
      <w:pPr>
        <w:pStyle w:val="Akapitzlist"/>
        <w:ind w:left="1440"/>
        <w:jc w:val="both"/>
        <w:rPr>
          <w:rFonts w:asciiTheme="majorHAnsi" w:hAnsiTheme="majorHAnsi" w:cs="Verdana"/>
          <w:sz w:val="24"/>
          <w:szCs w:val="24"/>
        </w:rPr>
      </w:pPr>
    </w:p>
    <w:p w14:paraId="69610A54" w14:textId="3B11BD29" w:rsidR="009F40BA" w:rsidRDefault="00A65785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 w:rsidRPr="00506894">
        <w:rPr>
          <w:rFonts w:asciiTheme="majorHAnsi" w:hAnsiTheme="majorHAnsi" w:cs="Verdana"/>
          <w:sz w:val="24"/>
          <w:szCs w:val="24"/>
        </w:rPr>
        <w:t xml:space="preserve">Oferta powinna zawierać </w:t>
      </w:r>
      <w:r w:rsidR="00B82974">
        <w:rPr>
          <w:rFonts w:asciiTheme="majorHAnsi" w:hAnsiTheme="majorHAnsi" w:cs="Verdana"/>
          <w:sz w:val="24"/>
          <w:szCs w:val="24"/>
        </w:rPr>
        <w:t xml:space="preserve">podpisane </w:t>
      </w:r>
      <w:r w:rsidRPr="00506894">
        <w:rPr>
          <w:rFonts w:asciiTheme="majorHAnsi" w:hAnsiTheme="majorHAnsi" w:cs="Verdana"/>
          <w:sz w:val="24"/>
          <w:szCs w:val="24"/>
        </w:rPr>
        <w:t>Oświadczenie Wykonawcy o braku powiązań</w:t>
      </w:r>
      <w:r w:rsidR="00B97237">
        <w:rPr>
          <w:rFonts w:asciiTheme="majorHAnsi" w:hAnsiTheme="majorHAnsi" w:cs="Verdana"/>
          <w:sz w:val="24"/>
          <w:szCs w:val="24"/>
        </w:rPr>
        <w:t xml:space="preserve"> </w:t>
      </w:r>
      <w:r w:rsidR="00490FD3">
        <w:rPr>
          <w:rFonts w:asciiTheme="majorHAnsi" w:hAnsiTheme="majorHAnsi" w:cs="Verdana"/>
          <w:sz w:val="24"/>
          <w:szCs w:val="24"/>
        </w:rPr>
        <w:t xml:space="preserve">oraz spełnieniu warunków określonych poniżej w pkt. 4 </w:t>
      </w:r>
      <w:r w:rsidR="00B97237">
        <w:rPr>
          <w:rFonts w:asciiTheme="majorHAnsi" w:hAnsiTheme="majorHAnsi" w:cs="Verdana"/>
          <w:sz w:val="24"/>
          <w:szCs w:val="24"/>
        </w:rPr>
        <w:t>zgodnie z treścią we wzorze oferty</w:t>
      </w:r>
      <w:r w:rsidR="00490FD3">
        <w:rPr>
          <w:rFonts w:asciiTheme="majorHAnsi" w:hAnsiTheme="majorHAnsi" w:cs="Verdana"/>
          <w:sz w:val="24"/>
          <w:szCs w:val="24"/>
        </w:rPr>
        <w:t xml:space="preserve"> – załączniku do ogłoszenia</w:t>
      </w:r>
      <w:r w:rsidR="00955AEF">
        <w:rPr>
          <w:rFonts w:asciiTheme="majorHAnsi" w:hAnsiTheme="majorHAnsi" w:cs="Verdana"/>
          <w:sz w:val="24"/>
          <w:szCs w:val="24"/>
        </w:rPr>
        <w:t>.</w:t>
      </w:r>
    </w:p>
    <w:p w14:paraId="3E8F21E3" w14:textId="77777777" w:rsidR="00955AEF" w:rsidRDefault="00955AEF" w:rsidP="00955AEF">
      <w:pPr>
        <w:pStyle w:val="Akapitzlist"/>
        <w:jc w:val="both"/>
        <w:rPr>
          <w:rFonts w:asciiTheme="majorHAnsi" w:hAnsiTheme="majorHAnsi" w:cs="Verdana"/>
          <w:sz w:val="24"/>
          <w:szCs w:val="24"/>
        </w:rPr>
      </w:pPr>
    </w:p>
    <w:p w14:paraId="60B917C3" w14:textId="4EACBDFD" w:rsidR="00955AEF" w:rsidRDefault="00955AEF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Oferent może skorzystać z wzoru oferty dołączonego do zapytania ofertowego. </w:t>
      </w:r>
      <w:r w:rsidR="00494D26">
        <w:rPr>
          <w:rFonts w:asciiTheme="majorHAnsi" w:hAnsiTheme="majorHAnsi" w:cs="Verdana"/>
          <w:sz w:val="24"/>
          <w:szCs w:val="24"/>
        </w:rPr>
        <w:t>Prawidłowość sporządzenia oferty spoczywa na Oferencie.</w:t>
      </w:r>
    </w:p>
    <w:p w14:paraId="49EBDD01" w14:textId="77777777" w:rsidR="00B8474D" w:rsidRPr="00506894" w:rsidRDefault="00B8474D" w:rsidP="00B8474D">
      <w:pPr>
        <w:pStyle w:val="Akapitzlist"/>
        <w:jc w:val="both"/>
        <w:rPr>
          <w:rFonts w:asciiTheme="majorHAnsi" w:hAnsiTheme="majorHAnsi" w:cs="Verdana"/>
          <w:sz w:val="24"/>
          <w:szCs w:val="24"/>
        </w:rPr>
      </w:pPr>
    </w:p>
    <w:p w14:paraId="788A532A" w14:textId="56C5EB80" w:rsidR="00B8474D" w:rsidRPr="009F40BA" w:rsidRDefault="00B8474D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9F40BA">
        <w:rPr>
          <w:rFonts w:asciiTheme="majorHAnsi" w:hAnsiTheme="majorHAnsi"/>
          <w:sz w:val="24"/>
          <w:szCs w:val="24"/>
        </w:rPr>
        <w:t>O udzielenie zamówienia mogą ubiegać się Oferenci którzy:</w:t>
      </w:r>
    </w:p>
    <w:p w14:paraId="5EBFA810" w14:textId="6F588E18" w:rsidR="009F40BA" w:rsidRDefault="00B8474D" w:rsidP="00955AEF">
      <w:pPr>
        <w:jc w:val="both"/>
        <w:rPr>
          <w:rFonts w:asciiTheme="majorHAnsi" w:hAnsiTheme="majorHAnsi"/>
          <w:sz w:val="24"/>
          <w:szCs w:val="24"/>
        </w:rPr>
      </w:pPr>
      <w:r w:rsidRPr="00506894">
        <w:rPr>
          <w:rFonts w:asciiTheme="majorHAnsi" w:hAnsiTheme="majorHAnsi"/>
          <w:sz w:val="24"/>
          <w:szCs w:val="24"/>
        </w:rPr>
        <w:t xml:space="preserve">- nie są powiązani z Zamawiającym </w:t>
      </w:r>
      <w:r w:rsidR="006B1360" w:rsidRPr="00506894">
        <w:rPr>
          <w:rFonts w:asciiTheme="majorHAnsi" w:hAnsiTheme="majorHAnsi"/>
          <w:sz w:val="24"/>
          <w:szCs w:val="24"/>
        </w:rPr>
        <w:t xml:space="preserve">osobowo, kapitałowo </w:t>
      </w:r>
      <w:r w:rsidRPr="00506894">
        <w:rPr>
          <w:rFonts w:asciiTheme="majorHAnsi" w:hAnsiTheme="majorHAnsi"/>
          <w:sz w:val="24"/>
          <w:szCs w:val="24"/>
        </w:rPr>
        <w:t>(oświadczenie)</w:t>
      </w:r>
      <w:r w:rsidR="00281EC1">
        <w:rPr>
          <w:rFonts w:asciiTheme="majorHAnsi" w:hAnsiTheme="majorHAnsi"/>
          <w:sz w:val="24"/>
          <w:szCs w:val="24"/>
        </w:rPr>
        <w:t xml:space="preserve"> zgodnie z</w:t>
      </w:r>
      <w:r w:rsidR="009176FE">
        <w:rPr>
          <w:rFonts w:asciiTheme="majorHAnsi" w:hAnsiTheme="majorHAnsi"/>
          <w:sz w:val="24"/>
          <w:szCs w:val="24"/>
        </w:rPr>
        <w:t> </w:t>
      </w:r>
      <w:r w:rsidR="00281EC1">
        <w:rPr>
          <w:rFonts w:asciiTheme="majorHAnsi" w:hAnsiTheme="majorHAnsi"/>
          <w:sz w:val="24"/>
          <w:szCs w:val="24"/>
        </w:rPr>
        <w:t xml:space="preserve">dok. </w:t>
      </w:r>
      <w:r w:rsidR="00281EC1" w:rsidRPr="00281EC1">
        <w:rPr>
          <w:rFonts w:asciiTheme="majorHAnsi" w:hAnsiTheme="majorHAnsi"/>
          <w:sz w:val="24"/>
          <w:szCs w:val="24"/>
        </w:rPr>
        <w:t>Wytyczn</w:t>
      </w:r>
      <w:r w:rsidR="00281EC1">
        <w:rPr>
          <w:rFonts w:asciiTheme="majorHAnsi" w:hAnsiTheme="majorHAnsi"/>
          <w:sz w:val="24"/>
          <w:szCs w:val="24"/>
        </w:rPr>
        <w:t>e</w:t>
      </w:r>
      <w:r w:rsidR="00281EC1" w:rsidRPr="00281EC1">
        <w:rPr>
          <w:rFonts w:asciiTheme="majorHAnsi" w:hAnsiTheme="majorHAnsi"/>
          <w:sz w:val="24"/>
          <w:szCs w:val="24"/>
        </w:rPr>
        <w:t xml:space="preserve"> dotyczą</w:t>
      </w:r>
      <w:r w:rsidR="00281EC1">
        <w:rPr>
          <w:rFonts w:asciiTheme="majorHAnsi" w:hAnsiTheme="majorHAnsi"/>
          <w:sz w:val="24"/>
          <w:szCs w:val="24"/>
        </w:rPr>
        <w:t>c</w:t>
      </w:r>
      <w:r w:rsidR="00281EC1" w:rsidRPr="00281EC1">
        <w:rPr>
          <w:rFonts w:asciiTheme="majorHAnsi" w:hAnsiTheme="majorHAnsi"/>
          <w:sz w:val="24"/>
          <w:szCs w:val="24"/>
        </w:rPr>
        <w:t>e kwalifikowalności wydatków na lata 2021-2027</w:t>
      </w:r>
      <w:r w:rsidR="002F7E66">
        <w:rPr>
          <w:rFonts w:asciiTheme="majorHAnsi" w:hAnsiTheme="majorHAnsi"/>
          <w:sz w:val="24"/>
          <w:szCs w:val="24"/>
        </w:rPr>
        <w:t xml:space="preserve"> (zakaz konfliktu </w:t>
      </w:r>
      <w:r w:rsidR="005313D4">
        <w:rPr>
          <w:rFonts w:asciiTheme="majorHAnsi" w:hAnsiTheme="majorHAnsi"/>
          <w:sz w:val="24"/>
          <w:szCs w:val="24"/>
        </w:rPr>
        <w:t>interesów</w:t>
      </w:r>
      <w:r w:rsidR="002F7E66">
        <w:rPr>
          <w:rFonts w:asciiTheme="majorHAnsi" w:hAnsiTheme="majorHAnsi"/>
          <w:sz w:val="24"/>
          <w:szCs w:val="24"/>
        </w:rPr>
        <w:t>)</w:t>
      </w:r>
    </w:p>
    <w:p w14:paraId="12FA7C6E" w14:textId="77777777" w:rsidR="00C26556" w:rsidRPr="00470E6C" w:rsidRDefault="00C26556" w:rsidP="00C26556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uprawnienia do wykonywania określonej działalności lub czynności jeżeli przepisy prawa nakładają obowiązek ich posiadania, (oświadczenie)</w:t>
      </w:r>
    </w:p>
    <w:p w14:paraId="2E8447BA" w14:textId="77777777" w:rsidR="00C26556" w:rsidRPr="00470E6C" w:rsidRDefault="00C26556" w:rsidP="00C26556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wiedzę i doświadczenie w zakresie przedmiotu zamówienia, (oświadczenie)</w:t>
      </w:r>
    </w:p>
    <w:p w14:paraId="23C07427" w14:textId="77777777" w:rsidR="00C26556" w:rsidRPr="00470E6C" w:rsidRDefault="00C26556" w:rsidP="00C26556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 potencjał techniczny oraz dysponują osobami zdolnymi do wykonania zamówienia; (oświadczenie)</w:t>
      </w:r>
    </w:p>
    <w:p w14:paraId="2934BDE2" w14:textId="77777777" w:rsidR="00C26556" w:rsidRPr="00470E6C" w:rsidRDefault="00C26556" w:rsidP="00C26556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posiadają odpowiednią sytuację ekonomiczną i finansową do wykonania zamówienia (oświadczenie)</w:t>
      </w:r>
    </w:p>
    <w:p w14:paraId="6765460A" w14:textId="77777777" w:rsidR="00C26556" w:rsidRDefault="00C26556" w:rsidP="00C26556">
      <w:pPr>
        <w:jc w:val="both"/>
        <w:rPr>
          <w:rFonts w:asciiTheme="majorHAnsi" w:hAnsiTheme="majorHAnsi"/>
          <w:sz w:val="24"/>
          <w:szCs w:val="24"/>
        </w:rPr>
      </w:pPr>
      <w:r w:rsidRPr="00470E6C">
        <w:rPr>
          <w:rFonts w:asciiTheme="majorHAnsi" w:hAnsiTheme="majorHAnsi"/>
          <w:sz w:val="24"/>
          <w:szCs w:val="24"/>
        </w:rPr>
        <w:t>- zapoznali się z treścią zapytania ofertowego, a przedmiot oferty spełnia wszystkie wymagania w nich wskazane (oświadczenie)</w:t>
      </w:r>
    </w:p>
    <w:p w14:paraId="73580666" w14:textId="77777777" w:rsidR="00C26556" w:rsidRDefault="00C26556" w:rsidP="009F40BA">
      <w:pPr>
        <w:ind w:left="360"/>
        <w:jc w:val="both"/>
        <w:rPr>
          <w:rFonts w:asciiTheme="majorHAnsi" w:hAnsiTheme="majorHAnsi"/>
          <w:sz w:val="24"/>
          <w:szCs w:val="24"/>
        </w:rPr>
      </w:pPr>
    </w:p>
    <w:p w14:paraId="42AF4CE5" w14:textId="6B9700A3" w:rsidR="00B210F0" w:rsidRPr="00B97237" w:rsidRDefault="00451362" w:rsidP="00B97237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B97237">
        <w:rPr>
          <w:rFonts w:asciiTheme="majorHAnsi" w:hAnsiTheme="majorHAnsi"/>
          <w:sz w:val="24"/>
          <w:szCs w:val="24"/>
        </w:rPr>
        <w:lastRenderedPageBreak/>
        <w:t xml:space="preserve">Oferta powinna zostać </w:t>
      </w:r>
      <w:r w:rsidR="00B210F0" w:rsidRPr="00B97237">
        <w:rPr>
          <w:rFonts w:asciiTheme="majorHAnsi" w:hAnsiTheme="majorHAnsi"/>
          <w:sz w:val="24"/>
          <w:szCs w:val="24"/>
        </w:rPr>
        <w:t>sporządzona</w:t>
      </w:r>
      <w:r w:rsidRPr="00B97237">
        <w:rPr>
          <w:rFonts w:asciiTheme="majorHAnsi" w:hAnsiTheme="majorHAnsi"/>
          <w:sz w:val="24"/>
          <w:szCs w:val="24"/>
        </w:rPr>
        <w:t xml:space="preserve"> w języku polskim</w:t>
      </w:r>
      <w:r w:rsidR="005A131E" w:rsidRPr="00B97237">
        <w:rPr>
          <w:rFonts w:asciiTheme="majorHAnsi" w:hAnsiTheme="majorHAnsi"/>
          <w:sz w:val="24"/>
          <w:szCs w:val="24"/>
        </w:rPr>
        <w:t>.</w:t>
      </w:r>
    </w:p>
    <w:p w14:paraId="7ED46E3B" w14:textId="77777777" w:rsidR="00297DD8" w:rsidRDefault="00297DD8" w:rsidP="005B2A2F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3695D488" w14:textId="3E6A0AC3" w:rsidR="006668B5" w:rsidRDefault="00306A89" w:rsidP="005B2A2F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IV </w:t>
      </w:r>
      <w:r w:rsidR="009176FE">
        <w:rPr>
          <w:rFonts w:asciiTheme="majorHAnsi" w:hAnsiTheme="majorHAnsi" w:cs="Verdana"/>
          <w:b/>
          <w:sz w:val="24"/>
          <w:szCs w:val="24"/>
        </w:rPr>
        <w:t>T</w:t>
      </w:r>
      <w:r w:rsidR="00CE5E0B">
        <w:rPr>
          <w:rFonts w:asciiTheme="majorHAnsi" w:hAnsiTheme="majorHAnsi" w:cs="Verdana"/>
          <w:b/>
          <w:sz w:val="24"/>
          <w:szCs w:val="24"/>
        </w:rPr>
        <w:t xml:space="preserve">ermin </w:t>
      </w:r>
      <w:r w:rsidR="009176FE">
        <w:rPr>
          <w:rFonts w:asciiTheme="majorHAnsi" w:hAnsiTheme="majorHAnsi" w:cs="Verdana"/>
          <w:b/>
          <w:sz w:val="24"/>
          <w:szCs w:val="24"/>
        </w:rPr>
        <w:t xml:space="preserve">i sposób </w:t>
      </w:r>
      <w:r w:rsidR="00CE5E0B">
        <w:rPr>
          <w:rFonts w:asciiTheme="majorHAnsi" w:hAnsiTheme="majorHAnsi" w:cs="Verdana"/>
          <w:b/>
          <w:sz w:val="24"/>
          <w:szCs w:val="24"/>
        </w:rPr>
        <w:t>składania ofert:</w:t>
      </w:r>
    </w:p>
    <w:p w14:paraId="2D072C11" w14:textId="200471BF" w:rsidR="005B2A2F" w:rsidRPr="00D1189C" w:rsidRDefault="00CE5E0B" w:rsidP="00D1189C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 w:rsidRPr="00D1189C">
        <w:rPr>
          <w:rFonts w:asciiTheme="majorHAnsi" w:hAnsiTheme="majorHAnsi" w:cs="Verdana"/>
          <w:sz w:val="24"/>
          <w:szCs w:val="24"/>
        </w:rPr>
        <w:t xml:space="preserve">Oferta </w:t>
      </w:r>
      <w:r w:rsidR="007418D4">
        <w:rPr>
          <w:rFonts w:asciiTheme="majorHAnsi" w:hAnsiTheme="majorHAnsi" w:cs="Verdana"/>
          <w:sz w:val="24"/>
          <w:szCs w:val="24"/>
        </w:rPr>
        <w:t>musi</w:t>
      </w:r>
      <w:r w:rsidRPr="00D1189C">
        <w:rPr>
          <w:rFonts w:asciiTheme="majorHAnsi" w:hAnsiTheme="majorHAnsi" w:cs="Verdana"/>
          <w:sz w:val="24"/>
          <w:szCs w:val="24"/>
        </w:rPr>
        <w:t xml:space="preserve"> </w:t>
      </w:r>
      <w:r w:rsidR="00E766FC" w:rsidRPr="00D1189C">
        <w:rPr>
          <w:rFonts w:asciiTheme="majorHAnsi" w:hAnsiTheme="majorHAnsi" w:cs="Verdana"/>
          <w:sz w:val="24"/>
          <w:szCs w:val="24"/>
        </w:rPr>
        <w:t>zostać złożona poprzez Bazę Konkurencyjności</w:t>
      </w:r>
      <w:r w:rsidRPr="00D1189C">
        <w:rPr>
          <w:rFonts w:asciiTheme="majorHAnsi" w:hAnsiTheme="majorHAnsi" w:cs="Verdana"/>
          <w:sz w:val="24"/>
          <w:szCs w:val="24"/>
        </w:rPr>
        <w:t xml:space="preserve"> </w:t>
      </w:r>
      <w:r w:rsidR="00D1189C" w:rsidRPr="00D1189C">
        <w:rPr>
          <w:rFonts w:asciiTheme="majorHAnsi" w:hAnsiTheme="majorHAnsi" w:cs="Verdana"/>
          <w:sz w:val="24"/>
          <w:szCs w:val="24"/>
        </w:rPr>
        <w:t>(</w:t>
      </w:r>
      <w:hyperlink r:id="rId12" w:history="1">
        <w:r w:rsidR="00D1189C" w:rsidRPr="00D1189C">
          <w:rPr>
            <w:rStyle w:val="Hipercze"/>
            <w:rFonts w:asciiTheme="majorHAnsi" w:hAnsiTheme="majorHAnsi" w:cs="Verdana"/>
            <w:sz w:val="24"/>
            <w:szCs w:val="24"/>
          </w:rPr>
          <w:t>https://bazakonkurencyjnosci.funduszeeuropejskie.gov.pl</w:t>
        </w:r>
      </w:hyperlink>
      <w:r w:rsidR="00D1189C" w:rsidRPr="00D1189C">
        <w:rPr>
          <w:rFonts w:asciiTheme="majorHAnsi" w:hAnsiTheme="majorHAnsi" w:cs="Verdana"/>
          <w:sz w:val="24"/>
          <w:szCs w:val="24"/>
        </w:rPr>
        <w:t>). Komunikacja między zamawiającym a oferentem (pytania/odpowiedzi) również musi odbywać się za pośrednictwem Bazy Konkurencyjności. Pytania lub oferty, które wpłyną do Zamawiającego innym kanałem niż przez portal Baza Konkurencyjności, pozostaną bez odpowiedzi. Takie oferty podlegają odrzuceniu.</w:t>
      </w:r>
      <w:r w:rsidR="00D1189C">
        <w:rPr>
          <w:rFonts w:asciiTheme="majorHAnsi" w:hAnsiTheme="majorHAnsi" w:cs="Verdana"/>
          <w:sz w:val="24"/>
          <w:szCs w:val="24"/>
        </w:rPr>
        <w:t xml:space="preserve"> </w:t>
      </w:r>
      <w:r w:rsidR="00D1189C" w:rsidRPr="00D1189C">
        <w:rPr>
          <w:rFonts w:asciiTheme="majorHAnsi" w:hAnsiTheme="majorHAnsi" w:cs="Verdana"/>
          <w:sz w:val="24"/>
          <w:szCs w:val="24"/>
        </w:rPr>
        <w:t>Po upływie terminu składania ofert komunikacja między Wykonawcą a</w:t>
      </w:r>
      <w:r w:rsidR="00506894">
        <w:rPr>
          <w:rFonts w:asciiTheme="majorHAnsi" w:hAnsiTheme="majorHAnsi" w:cs="Verdana"/>
          <w:sz w:val="24"/>
          <w:szCs w:val="24"/>
        </w:rPr>
        <w:t> </w:t>
      </w:r>
      <w:r w:rsidR="00D1189C" w:rsidRPr="00D1189C">
        <w:rPr>
          <w:rFonts w:asciiTheme="majorHAnsi" w:hAnsiTheme="majorHAnsi" w:cs="Verdana"/>
          <w:sz w:val="24"/>
          <w:szCs w:val="24"/>
        </w:rPr>
        <w:t>Zamawiającym odbywać się będzie mailowo na adres</w:t>
      </w:r>
      <w:r w:rsidRPr="00D1189C">
        <w:rPr>
          <w:rFonts w:asciiTheme="majorHAnsi" w:hAnsiTheme="majorHAnsi" w:cs="Verdana"/>
          <w:sz w:val="24"/>
          <w:szCs w:val="24"/>
        </w:rPr>
        <w:t xml:space="preserve">: </w:t>
      </w:r>
      <w:r w:rsidR="0021464E" w:rsidRPr="0021464E">
        <w:rPr>
          <w:rFonts w:asciiTheme="majorHAnsi" w:hAnsiTheme="majorHAnsi" w:cs="Verdana"/>
          <w:sz w:val="24"/>
          <w:szCs w:val="24"/>
        </w:rPr>
        <w:t>kosmet.info@gmail.com</w:t>
      </w:r>
    </w:p>
    <w:p w14:paraId="073246AB" w14:textId="1BDB611F" w:rsidR="00F108B8" w:rsidRDefault="00F108B8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Termin składa</w:t>
      </w:r>
      <w:r w:rsidR="00E703D7">
        <w:rPr>
          <w:rFonts w:asciiTheme="majorHAnsi" w:hAnsiTheme="majorHAnsi" w:cs="Verdana"/>
          <w:sz w:val="24"/>
          <w:szCs w:val="24"/>
        </w:rPr>
        <w:t>nia ofert upływa w dniu:</w:t>
      </w:r>
      <w:r w:rsidR="0086712C">
        <w:rPr>
          <w:rFonts w:asciiTheme="majorHAnsi" w:hAnsiTheme="majorHAnsi" w:cs="Verdana"/>
          <w:sz w:val="24"/>
          <w:szCs w:val="24"/>
        </w:rPr>
        <w:t xml:space="preserve"> </w:t>
      </w:r>
      <w:r w:rsidR="00496C2B">
        <w:rPr>
          <w:rFonts w:asciiTheme="majorHAnsi" w:hAnsiTheme="majorHAnsi" w:cs="Verdana"/>
          <w:sz w:val="24"/>
          <w:szCs w:val="24"/>
        </w:rPr>
        <w:t>26.11.2024r.</w:t>
      </w:r>
      <w:r w:rsidR="00E4154D">
        <w:rPr>
          <w:rFonts w:asciiTheme="majorHAnsi" w:hAnsiTheme="majorHAnsi" w:cs="Verdana"/>
          <w:sz w:val="24"/>
          <w:szCs w:val="24"/>
        </w:rPr>
        <w:t xml:space="preserve"> o godz. 10:00</w:t>
      </w:r>
      <w:r w:rsidR="0051338A">
        <w:rPr>
          <w:rFonts w:asciiTheme="majorHAnsi" w:hAnsiTheme="majorHAnsi" w:cs="Verdana"/>
          <w:sz w:val="24"/>
          <w:szCs w:val="24"/>
        </w:rPr>
        <w:t>.</w:t>
      </w:r>
    </w:p>
    <w:p w14:paraId="2ECDD455" w14:textId="77777777" w:rsidR="00F108B8" w:rsidRDefault="00F108B8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Oferty złożone po powyższym terminie nie będą rozpatrywane.</w:t>
      </w:r>
    </w:p>
    <w:p w14:paraId="4BE7FCA5" w14:textId="6DA7ABF7" w:rsidR="007860C3" w:rsidRDefault="007860C3" w:rsidP="00CE5E0B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zastrzega, iż nie będzie odpowiadał na pytania oferentów, które wpłyną w ostatnim dniu zbierania ofert.</w:t>
      </w:r>
    </w:p>
    <w:p w14:paraId="56DAD885" w14:textId="331E6EE6" w:rsidR="001779E6" w:rsidRPr="00496C2B" w:rsidRDefault="007860C3" w:rsidP="009C5861">
      <w:pPr>
        <w:pStyle w:val="Akapitzlist"/>
        <w:numPr>
          <w:ilvl w:val="0"/>
          <w:numId w:val="5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 xml:space="preserve">Osoba do kontaktu w sprawie ogłoszenia: </w:t>
      </w:r>
      <w:r w:rsidR="0021464E">
        <w:rPr>
          <w:rFonts w:asciiTheme="majorHAnsi" w:hAnsiTheme="majorHAnsi" w:cs="Verdana"/>
          <w:sz w:val="24"/>
          <w:szCs w:val="24"/>
        </w:rPr>
        <w:t>Sławomir Kóska</w:t>
      </w:r>
      <w:r>
        <w:rPr>
          <w:rFonts w:asciiTheme="majorHAnsi" w:hAnsiTheme="majorHAnsi" w:cs="Verdana"/>
          <w:sz w:val="24"/>
          <w:szCs w:val="24"/>
        </w:rPr>
        <w:t xml:space="preserve"> tel. 60</w:t>
      </w:r>
      <w:r w:rsidR="0021464E">
        <w:rPr>
          <w:rFonts w:asciiTheme="majorHAnsi" w:hAnsiTheme="majorHAnsi" w:cs="Verdana"/>
          <w:sz w:val="24"/>
          <w:szCs w:val="24"/>
        </w:rPr>
        <w:t>4</w:t>
      </w:r>
      <w:r>
        <w:rPr>
          <w:rFonts w:asciiTheme="majorHAnsi" w:hAnsiTheme="majorHAnsi" w:cs="Verdana"/>
          <w:sz w:val="24"/>
          <w:szCs w:val="24"/>
        </w:rPr>
        <w:t> 9</w:t>
      </w:r>
      <w:r w:rsidR="0021464E">
        <w:rPr>
          <w:rFonts w:asciiTheme="majorHAnsi" w:hAnsiTheme="majorHAnsi" w:cs="Verdana"/>
          <w:sz w:val="24"/>
          <w:szCs w:val="24"/>
        </w:rPr>
        <w:t>01</w:t>
      </w:r>
      <w:r>
        <w:rPr>
          <w:rFonts w:asciiTheme="majorHAnsi" w:hAnsiTheme="majorHAnsi" w:cs="Verdana"/>
          <w:sz w:val="24"/>
          <w:szCs w:val="24"/>
        </w:rPr>
        <w:t> </w:t>
      </w:r>
      <w:r w:rsidR="0021464E">
        <w:rPr>
          <w:rFonts w:asciiTheme="majorHAnsi" w:hAnsiTheme="majorHAnsi" w:cs="Verdana"/>
          <w:sz w:val="24"/>
          <w:szCs w:val="24"/>
        </w:rPr>
        <w:t>11</w:t>
      </w:r>
      <w:r>
        <w:rPr>
          <w:rFonts w:asciiTheme="majorHAnsi" w:hAnsiTheme="majorHAnsi" w:cs="Verdana"/>
          <w:sz w:val="24"/>
          <w:szCs w:val="24"/>
        </w:rPr>
        <w:t>0.</w:t>
      </w:r>
    </w:p>
    <w:p w14:paraId="75DE1D06" w14:textId="77777777" w:rsidR="0021464E" w:rsidRDefault="0021464E" w:rsidP="009C5861">
      <w:pPr>
        <w:jc w:val="both"/>
        <w:rPr>
          <w:rFonts w:asciiTheme="majorHAnsi" w:hAnsiTheme="majorHAnsi" w:cs="Verdana"/>
          <w:b/>
          <w:sz w:val="24"/>
          <w:szCs w:val="24"/>
        </w:rPr>
      </w:pPr>
    </w:p>
    <w:p w14:paraId="1DFAC6C0" w14:textId="00B503EF" w:rsidR="006668B5" w:rsidRDefault="00306A89" w:rsidP="009C5861">
      <w:pPr>
        <w:jc w:val="both"/>
        <w:rPr>
          <w:rFonts w:asciiTheme="majorHAnsi" w:hAnsiTheme="majorHAnsi" w:cs="Verdana"/>
          <w:b/>
          <w:sz w:val="24"/>
          <w:szCs w:val="24"/>
        </w:rPr>
      </w:pPr>
      <w:r>
        <w:rPr>
          <w:rFonts w:asciiTheme="majorHAnsi" w:hAnsiTheme="majorHAnsi" w:cs="Verdana"/>
          <w:b/>
          <w:sz w:val="24"/>
          <w:szCs w:val="24"/>
        </w:rPr>
        <w:t xml:space="preserve">V </w:t>
      </w:r>
      <w:r w:rsidR="006668B5" w:rsidRPr="006668B5">
        <w:rPr>
          <w:rFonts w:asciiTheme="majorHAnsi" w:hAnsiTheme="majorHAnsi" w:cs="Verdana"/>
          <w:b/>
          <w:sz w:val="24"/>
          <w:szCs w:val="24"/>
        </w:rPr>
        <w:t>Kryteria oceny oferty, wagi procentowe</w:t>
      </w:r>
      <w:r>
        <w:rPr>
          <w:rFonts w:asciiTheme="majorHAnsi" w:hAnsiTheme="majorHAnsi" w:cs="Verdana"/>
          <w:b/>
          <w:sz w:val="24"/>
          <w:szCs w:val="24"/>
        </w:rPr>
        <w:t>, sposób oceny ofert</w:t>
      </w:r>
      <w:r w:rsidR="006668B5" w:rsidRPr="006668B5">
        <w:rPr>
          <w:rFonts w:asciiTheme="majorHAnsi" w:hAnsiTheme="majorHAnsi" w:cs="Verdana"/>
          <w:b/>
          <w:sz w:val="24"/>
          <w:szCs w:val="24"/>
        </w:rPr>
        <w:t>:</w:t>
      </w:r>
    </w:p>
    <w:p w14:paraId="38A76E92" w14:textId="77777777" w:rsidR="00DE754D" w:rsidRPr="00DE754D" w:rsidRDefault="00DE754D" w:rsidP="00DE754D">
      <w:pPr>
        <w:pStyle w:val="Akapitzlist"/>
        <w:numPr>
          <w:ilvl w:val="0"/>
          <w:numId w:val="7"/>
        </w:numPr>
        <w:jc w:val="both"/>
        <w:rPr>
          <w:rFonts w:asciiTheme="majorHAnsi" w:hAnsiTheme="majorHAnsi" w:cs="Verdana"/>
          <w:sz w:val="24"/>
          <w:szCs w:val="24"/>
        </w:rPr>
      </w:pPr>
      <w:r>
        <w:rPr>
          <w:rFonts w:asciiTheme="majorHAnsi" w:hAnsiTheme="majorHAnsi" w:cs="Verdana"/>
          <w:sz w:val="24"/>
          <w:szCs w:val="24"/>
        </w:rPr>
        <w:t>Zamawiający dokona oceny ważnych ofert na podstawie następujących kryteriów</w:t>
      </w:r>
      <w:r w:rsidR="00FA430D">
        <w:rPr>
          <w:rFonts w:asciiTheme="majorHAnsi" w:hAnsiTheme="majorHAnsi" w:cs="Verdana"/>
          <w:sz w:val="24"/>
          <w:szCs w:val="24"/>
        </w:rPr>
        <w:t xml:space="preserve"> odnoszących się do przedmiotu zamówienia wskazanego w pkt. II</w:t>
      </w:r>
      <w:r>
        <w:rPr>
          <w:rFonts w:asciiTheme="majorHAnsi" w:hAnsiTheme="majorHAnsi" w:cs="Verdana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101"/>
        <w:gridCol w:w="1275"/>
        <w:gridCol w:w="5152"/>
      </w:tblGrid>
      <w:tr w:rsidR="00216AAC" w:rsidRPr="00306A89" w14:paraId="5AB6BA88" w14:textId="77777777" w:rsidTr="000F4E3E">
        <w:tc>
          <w:tcPr>
            <w:tcW w:w="534" w:type="dxa"/>
            <w:shd w:val="clear" w:color="auto" w:fill="EEECE1" w:themeFill="background2"/>
          </w:tcPr>
          <w:p w14:paraId="0A49A112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Lp.</w:t>
            </w:r>
          </w:p>
        </w:tc>
        <w:tc>
          <w:tcPr>
            <w:tcW w:w="2101" w:type="dxa"/>
            <w:shd w:val="clear" w:color="auto" w:fill="EEECE1" w:themeFill="background2"/>
          </w:tcPr>
          <w:p w14:paraId="45B4F4B3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Nazwa</w:t>
            </w:r>
          </w:p>
        </w:tc>
        <w:tc>
          <w:tcPr>
            <w:tcW w:w="1275" w:type="dxa"/>
            <w:shd w:val="clear" w:color="auto" w:fill="EEECE1" w:themeFill="background2"/>
          </w:tcPr>
          <w:p w14:paraId="4A1C439B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Znaczenie</w:t>
            </w:r>
          </w:p>
        </w:tc>
        <w:tc>
          <w:tcPr>
            <w:tcW w:w="5152" w:type="dxa"/>
            <w:shd w:val="clear" w:color="auto" w:fill="EEECE1" w:themeFill="background2"/>
          </w:tcPr>
          <w:p w14:paraId="395A5D36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Sposób oceny oferty</w:t>
            </w:r>
          </w:p>
        </w:tc>
      </w:tr>
      <w:tr w:rsidR="00216AAC" w:rsidRPr="00306A89" w14:paraId="2D4B2562" w14:textId="77777777" w:rsidTr="000F4E3E">
        <w:tc>
          <w:tcPr>
            <w:tcW w:w="534" w:type="dxa"/>
          </w:tcPr>
          <w:p w14:paraId="2F1ECC0C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1</w:t>
            </w:r>
          </w:p>
        </w:tc>
        <w:tc>
          <w:tcPr>
            <w:tcW w:w="2101" w:type="dxa"/>
          </w:tcPr>
          <w:p w14:paraId="4B86BDA1" w14:textId="77777777" w:rsidR="00216AAC" w:rsidRPr="00306A89" w:rsidRDefault="00216AAC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Najniższa c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ena całkowita netto</w:t>
            </w:r>
          </w:p>
        </w:tc>
        <w:tc>
          <w:tcPr>
            <w:tcW w:w="1275" w:type="dxa"/>
          </w:tcPr>
          <w:p w14:paraId="0B259817" w14:textId="4EEEE6FF" w:rsidR="00216AAC" w:rsidRPr="00306A89" w:rsidRDefault="000F4E3E" w:rsidP="00AE5C33">
            <w:pPr>
              <w:spacing w:after="200" w:line="276" w:lineRule="auto"/>
              <w:jc w:val="center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>10</w:t>
            </w:r>
            <w:r w:rsidR="00216AAC" w:rsidRPr="00306A89"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</w:tc>
        <w:tc>
          <w:tcPr>
            <w:tcW w:w="5152" w:type="dxa"/>
          </w:tcPr>
          <w:p w14:paraId="3C487296" w14:textId="77777777" w:rsidR="00216AAC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Punkty w ramach kryterium „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najniższa 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>cena całkowita netto” będą przyznawane wg następującej metodologii:</w:t>
            </w:r>
          </w:p>
          <w:p w14:paraId="4260C23A" w14:textId="77777777" w:rsidR="00216AAC" w:rsidRPr="00306A89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C min</w:t>
            </w:r>
          </w:p>
          <w:p w14:paraId="15080DD4" w14:textId="3F601F3C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= </w:t>
            </w:r>
            <w:r>
              <w:rPr>
                <w:rFonts w:asciiTheme="majorHAnsi" w:hAnsiTheme="majorHAnsi" w:cs="Verdana"/>
                <w:sz w:val="24"/>
                <w:szCs w:val="24"/>
              </w:rPr>
              <w:t xml:space="preserve">------------------------ x 100 x </w:t>
            </w:r>
            <w:r w:rsidR="000F4E3E">
              <w:rPr>
                <w:rFonts w:asciiTheme="majorHAnsi" w:hAnsiTheme="majorHAnsi" w:cs="Verdana"/>
                <w:sz w:val="24"/>
                <w:szCs w:val="24"/>
              </w:rPr>
              <w:t>10</w:t>
            </w:r>
            <w:r>
              <w:rPr>
                <w:rFonts w:asciiTheme="majorHAnsi" w:hAnsiTheme="majorHAnsi" w:cs="Verdana"/>
                <w:sz w:val="24"/>
                <w:szCs w:val="24"/>
              </w:rPr>
              <w:t>0%</w:t>
            </w:r>
          </w:p>
          <w:p w14:paraId="710740ED" w14:textId="77777777" w:rsidR="00216AAC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>
              <w:rPr>
                <w:rFonts w:asciiTheme="majorHAnsi" w:hAnsiTheme="majorHAnsi" w:cs="Verdana"/>
                <w:sz w:val="24"/>
                <w:szCs w:val="24"/>
              </w:rPr>
              <w:t xml:space="preserve">                           Cr</w:t>
            </w:r>
          </w:p>
          <w:p w14:paraId="3E52A5CE" w14:textId="77777777" w:rsidR="00216AAC" w:rsidRPr="00306A89" w:rsidRDefault="00216AAC" w:rsidP="00AE5C33">
            <w:pPr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</w:p>
          <w:p w14:paraId="03AFA449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Po</w:t>
            </w:r>
            <w:r>
              <w:rPr>
                <w:rFonts w:asciiTheme="majorHAnsi" w:hAnsiTheme="majorHAnsi" w:cs="Verdana"/>
                <w:sz w:val="24"/>
                <w:szCs w:val="24"/>
              </w:rPr>
              <w:t>1</w:t>
            </w:r>
            <w:r w:rsidRPr="00306A89">
              <w:rPr>
                <w:rFonts w:asciiTheme="majorHAnsi" w:hAnsiTheme="majorHAnsi" w:cs="Verdana"/>
                <w:sz w:val="24"/>
                <w:szCs w:val="24"/>
              </w:rPr>
              <w:t xml:space="preserve"> – ilość punktów przyznana ofercie</w:t>
            </w:r>
          </w:p>
          <w:p w14:paraId="043E2CD6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 min – cena minimalna w zbiorze ofert</w:t>
            </w:r>
          </w:p>
          <w:p w14:paraId="604AB694" w14:textId="77777777" w:rsidR="00216AAC" w:rsidRPr="00306A89" w:rsidRDefault="00216AAC" w:rsidP="00AE5C33">
            <w:pPr>
              <w:spacing w:after="200" w:line="276" w:lineRule="auto"/>
              <w:jc w:val="both"/>
              <w:rPr>
                <w:rFonts w:asciiTheme="majorHAnsi" w:hAnsiTheme="majorHAnsi" w:cs="Verdana"/>
                <w:sz w:val="24"/>
                <w:szCs w:val="24"/>
              </w:rPr>
            </w:pPr>
            <w:r w:rsidRPr="00306A89">
              <w:rPr>
                <w:rFonts w:asciiTheme="majorHAnsi" w:hAnsiTheme="majorHAnsi" w:cs="Verdana"/>
                <w:sz w:val="24"/>
                <w:szCs w:val="24"/>
              </w:rPr>
              <w:t>Cr – cena oferty rozpatrywanej</w:t>
            </w:r>
          </w:p>
        </w:tc>
      </w:tr>
    </w:tbl>
    <w:p w14:paraId="18A8F721" w14:textId="77777777" w:rsidR="00306A89" w:rsidRDefault="00306A89" w:rsidP="009C5861">
      <w:pPr>
        <w:jc w:val="both"/>
        <w:rPr>
          <w:sz w:val="24"/>
          <w:szCs w:val="24"/>
        </w:rPr>
      </w:pPr>
    </w:p>
    <w:p w14:paraId="251D77D8" w14:textId="77777777" w:rsidR="00CE5E0B" w:rsidRDefault="00CE5E0B" w:rsidP="009C5861">
      <w:pPr>
        <w:jc w:val="both"/>
        <w:rPr>
          <w:rFonts w:asciiTheme="majorHAnsi" w:hAnsiTheme="majorHAnsi"/>
          <w:sz w:val="24"/>
          <w:szCs w:val="24"/>
        </w:rPr>
      </w:pPr>
      <w:r w:rsidRPr="00F108B8">
        <w:rPr>
          <w:rFonts w:asciiTheme="majorHAnsi" w:hAnsiTheme="majorHAnsi"/>
          <w:sz w:val="24"/>
          <w:szCs w:val="24"/>
        </w:rPr>
        <w:lastRenderedPageBreak/>
        <w:t>W przypadku gdy przynajmniej dwie oferty uzyskają t</w:t>
      </w:r>
      <w:r w:rsidR="00A62FA3">
        <w:rPr>
          <w:rFonts w:asciiTheme="majorHAnsi" w:hAnsiTheme="majorHAnsi"/>
          <w:sz w:val="24"/>
          <w:szCs w:val="24"/>
        </w:rPr>
        <w:t xml:space="preserve">ę samą ilość punktów </w:t>
      </w:r>
      <w:r w:rsidRPr="00F108B8">
        <w:rPr>
          <w:rFonts w:asciiTheme="majorHAnsi" w:hAnsiTheme="majorHAnsi"/>
          <w:sz w:val="24"/>
          <w:szCs w:val="24"/>
        </w:rPr>
        <w:t>zostaną przeprowadzone negocjacje cenowe z oferentami.</w:t>
      </w:r>
    </w:p>
    <w:p w14:paraId="5BB73331" w14:textId="587F4122" w:rsidR="00DE754D" w:rsidRDefault="00DE754D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Rozpatrzeniu podlegają tylko oferty spełniające wszystkie wymagania określone w pkt. </w:t>
      </w:r>
      <w:r w:rsidR="00CE0451">
        <w:rPr>
          <w:rFonts w:asciiTheme="majorHAnsi" w:hAnsiTheme="majorHAnsi"/>
          <w:sz w:val="24"/>
          <w:szCs w:val="24"/>
        </w:rPr>
        <w:t xml:space="preserve">II, </w:t>
      </w:r>
      <w:r>
        <w:rPr>
          <w:rFonts w:asciiTheme="majorHAnsi" w:hAnsiTheme="majorHAnsi"/>
          <w:sz w:val="24"/>
          <w:szCs w:val="24"/>
        </w:rPr>
        <w:t xml:space="preserve">III i IV. </w:t>
      </w:r>
    </w:p>
    <w:p w14:paraId="1E33D544" w14:textId="311BC28F" w:rsidR="00D1585C" w:rsidRPr="0086712C" w:rsidRDefault="00D1585C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Rozpatrzeniu podlegają jedynie te oferty, w których wskazany termin realizacji umowy nie przekroczy </w:t>
      </w:r>
      <w:r w:rsidRPr="0086712C">
        <w:rPr>
          <w:rFonts w:asciiTheme="majorHAnsi" w:hAnsiTheme="majorHAnsi"/>
          <w:sz w:val="24"/>
          <w:szCs w:val="24"/>
        </w:rPr>
        <w:t xml:space="preserve">terminu </w:t>
      </w:r>
      <w:r w:rsidR="00CE7909">
        <w:rPr>
          <w:rFonts w:asciiTheme="majorHAnsi" w:hAnsiTheme="majorHAnsi"/>
          <w:sz w:val="24"/>
          <w:szCs w:val="24"/>
        </w:rPr>
        <w:t>31.03.2025r.</w:t>
      </w:r>
    </w:p>
    <w:p w14:paraId="45894BD9" w14:textId="13C3F0BB" w:rsidR="0077273D" w:rsidRPr="00DE754D" w:rsidRDefault="0077273D" w:rsidP="00EA6586">
      <w:pPr>
        <w:pStyle w:val="Akapitzlist"/>
        <w:numPr>
          <w:ilvl w:val="0"/>
          <w:numId w:val="7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Termin otwarcia ofert: </w:t>
      </w:r>
      <w:r w:rsidR="00496C2B">
        <w:rPr>
          <w:rFonts w:asciiTheme="majorHAnsi" w:hAnsiTheme="majorHAnsi"/>
          <w:sz w:val="24"/>
          <w:szCs w:val="24"/>
        </w:rPr>
        <w:t>26.11.2024r.</w:t>
      </w:r>
      <w:r w:rsidR="00297DD8">
        <w:rPr>
          <w:rFonts w:asciiTheme="majorHAnsi" w:hAnsiTheme="majorHAnsi"/>
          <w:sz w:val="24"/>
          <w:szCs w:val="24"/>
        </w:rPr>
        <w:t xml:space="preserve"> godz. 1</w:t>
      </w:r>
      <w:r w:rsidR="00216AAC">
        <w:rPr>
          <w:rFonts w:asciiTheme="majorHAnsi" w:hAnsiTheme="majorHAnsi"/>
          <w:sz w:val="24"/>
          <w:szCs w:val="24"/>
        </w:rPr>
        <w:t>1</w:t>
      </w:r>
      <w:r w:rsidR="0051338A">
        <w:rPr>
          <w:rFonts w:asciiTheme="majorHAnsi" w:hAnsiTheme="majorHAnsi"/>
          <w:sz w:val="24"/>
          <w:szCs w:val="24"/>
        </w:rPr>
        <w:t>.00.</w:t>
      </w:r>
    </w:p>
    <w:p w14:paraId="3F2F9BE0" w14:textId="77777777" w:rsidR="0077273D" w:rsidRDefault="0077273D" w:rsidP="0077273D">
      <w:pPr>
        <w:pStyle w:val="Akapitzlist"/>
        <w:jc w:val="both"/>
        <w:rPr>
          <w:rFonts w:asciiTheme="majorHAnsi" w:hAnsiTheme="majorHAnsi"/>
          <w:sz w:val="24"/>
          <w:szCs w:val="24"/>
        </w:rPr>
      </w:pPr>
    </w:p>
    <w:p w14:paraId="207BA443" w14:textId="77777777" w:rsidR="00306A89" w:rsidRDefault="00A65785" w:rsidP="009C5861">
      <w:pPr>
        <w:jc w:val="both"/>
        <w:rPr>
          <w:b/>
          <w:sz w:val="24"/>
          <w:szCs w:val="24"/>
        </w:rPr>
      </w:pPr>
      <w:r w:rsidRPr="00C75F06">
        <w:rPr>
          <w:b/>
          <w:sz w:val="24"/>
          <w:szCs w:val="24"/>
        </w:rPr>
        <w:t>VI Inne</w:t>
      </w:r>
    </w:p>
    <w:p w14:paraId="4259678C" w14:textId="2B2A501A" w:rsidR="00FA14B8" w:rsidRPr="001D70C5" w:rsidRDefault="001D70C5" w:rsidP="001D70C5">
      <w:pPr>
        <w:jc w:val="both"/>
        <w:rPr>
          <w:rFonts w:asciiTheme="majorHAnsi" w:hAnsiTheme="majorHAnsi"/>
          <w:sz w:val="24"/>
          <w:szCs w:val="24"/>
        </w:rPr>
      </w:pPr>
      <w:r w:rsidRPr="001D70C5"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 xml:space="preserve"> </w:t>
      </w:r>
      <w:r w:rsidR="00281EC1" w:rsidRPr="001D70C5">
        <w:rPr>
          <w:rFonts w:asciiTheme="majorHAnsi" w:hAnsiTheme="majorHAnsi"/>
          <w:sz w:val="24"/>
          <w:szCs w:val="24"/>
        </w:rPr>
        <w:t>W celu uniknięcia konfliktu interesów, w przypadku beneficjenta, który nie jest zamawiającym w rozumieniu Pzp, zamówienia nie mogą być udzielane podmiotom powiązanym z nim osobowo lub kapitałowo</w:t>
      </w:r>
      <w:r w:rsidR="00396593" w:rsidRPr="001D70C5">
        <w:rPr>
          <w:rFonts w:asciiTheme="majorHAnsi" w:hAnsiTheme="majorHAnsi"/>
          <w:sz w:val="24"/>
          <w:szCs w:val="24"/>
        </w:rPr>
        <w:t xml:space="preserve">. </w:t>
      </w:r>
      <w:r w:rsidRPr="001D70C5">
        <w:rPr>
          <w:rFonts w:asciiTheme="majorHAnsi" w:hAnsiTheme="majorHAnsi"/>
          <w:sz w:val="24"/>
          <w:szCs w:val="24"/>
        </w:rPr>
        <w:t>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</w:t>
      </w:r>
      <w:r w:rsidR="009F40BA">
        <w:rPr>
          <w:rFonts w:asciiTheme="majorHAnsi" w:hAnsiTheme="majorHAnsi"/>
          <w:sz w:val="24"/>
          <w:szCs w:val="24"/>
        </w:rPr>
        <w:t> </w:t>
      </w:r>
      <w:r w:rsidRPr="001D70C5">
        <w:rPr>
          <w:rFonts w:asciiTheme="majorHAnsi" w:hAnsiTheme="majorHAnsi"/>
          <w:sz w:val="24"/>
          <w:szCs w:val="24"/>
        </w:rPr>
        <w:t>wykonawcą, polegające w szczególności na</w:t>
      </w:r>
      <w:r w:rsidR="00713C80" w:rsidRPr="001D70C5">
        <w:rPr>
          <w:rFonts w:asciiTheme="majorHAnsi" w:hAnsiTheme="majorHAnsi"/>
          <w:sz w:val="24"/>
          <w:szCs w:val="24"/>
        </w:rPr>
        <w:t xml:space="preserve">: </w:t>
      </w:r>
    </w:p>
    <w:p w14:paraId="03A5082F" w14:textId="77777777" w:rsidR="001D70C5" w:rsidRPr="001D70C5" w:rsidRDefault="001D70C5" w:rsidP="001D70C5">
      <w:pPr>
        <w:jc w:val="both"/>
        <w:rPr>
          <w:rFonts w:asciiTheme="majorHAnsi" w:hAnsiTheme="majorHAnsi"/>
        </w:rPr>
      </w:pPr>
      <w:r w:rsidRPr="001D70C5">
        <w:rPr>
          <w:rFonts w:asciiTheme="majorHAnsi" w:hAnsiTheme="majorHAnsi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570A4BD" w14:textId="17134CC9" w:rsidR="001D70C5" w:rsidRPr="001D70C5" w:rsidRDefault="001D70C5" w:rsidP="001D70C5">
      <w:pPr>
        <w:jc w:val="both"/>
        <w:rPr>
          <w:rFonts w:asciiTheme="majorHAnsi" w:hAnsiTheme="majorHAnsi"/>
        </w:rPr>
      </w:pPr>
      <w:r w:rsidRPr="001D70C5">
        <w:rPr>
          <w:rFonts w:asciiTheme="majorHAnsi" w:hAnsiTheme="majorHAnsi"/>
        </w:rPr>
        <w:t>b) pozostawaniu w związku małżeńskim, w stosunku pokrewieństwa lub powinowactwa w linii prostej, pokrewieństwa lub powinowactwa w linii bocznej do drugiego stopnia, lub związaniu z</w:t>
      </w:r>
      <w:r w:rsidR="009F40BA">
        <w:rPr>
          <w:rFonts w:asciiTheme="majorHAnsi" w:hAnsiTheme="majorHAnsi"/>
        </w:rPr>
        <w:t> </w:t>
      </w:r>
      <w:r w:rsidRPr="001D70C5">
        <w:rPr>
          <w:rFonts w:asciiTheme="majorHAnsi" w:hAnsiTheme="majorHAnsi"/>
        </w:rPr>
        <w:t>tytułu przysposobienia, opieki lub kurateli albo pozostawaniu we wspólnym pożyciu z</w:t>
      </w:r>
      <w:r w:rsidR="009F40BA">
        <w:rPr>
          <w:rFonts w:asciiTheme="majorHAnsi" w:hAnsiTheme="majorHAnsi"/>
        </w:rPr>
        <w:t> </w:t>
      </w:r>
      <w:r w:rsidRPr="001D70C5">
        <w:rPr>
          <w:rFonts w:asciiTheme="majorHAnsi" w:hAnsiTheme="majorHAnsi"/>
        </w:rPr>
        <w:t>wykonawcą, jego zastępcą prawnym lub członkami organów zarządzających lub organów nadzorczych wykonawców ubiegających się o udzielenie zamówienia,</w:t>
      </w:r>
    </w:p>
    <w:p w14:paraId="3F63A4F5" w14:textId="0BFFF542" w:rsidR="001D70C5" w:rsidRPr="001D70C5" w:rsidRDefault="001D70C5" w:rsidP="001D70C5">
      <w:pPr>
        <w:jc w:val="both"/>
        <w:rPr>
          <w:rFonts w:asciiTheme="majorHAnsi" w:hAnsiTheme="majorHAnsi"/>
        </w:rPr>
      </w:pPr>
      <w:r w:rsidRPr="001D70C5">
        <w:rPr>
          <w:rFonts w:asciiTheme="majorHAnsi" w:hAnsiTheme="majorHAnsi"/>
        </w:rPr>
        <w:t>c) pozostawaniu z wykonawcą w takim stosunku prawnym lub faktycznym, że istnieje uzasadniona wątpliwość co do ich bezstronności lub niezależności w związku z postępowaniem o udzielenie zamówienia.</w:t>
      </w:r>
    </w:p>
    <w:p w14:paraId="25AF3CB2" w14:textId="4F4208E4" w:rsidR="00283702" w:rsidRDefault="00713C80" w:rsidP="00FA14B8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2.</w:t>
      </w:r>
      <w:r w:rsidR="005313D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Zamawiający przewiduje możliwość dokonania zmian warunków umowy zawartej w wyniku przeprowadzonego postępowania o udzielenie zamówienia  w stosunku do treści oferty </w:t>
      </w:r>
      <w:r w:rsidR="005A5360">
        <w:rPr>
          <w:rFonts w:asciiTheme="majorHAnsi" w:hAnsiTheme="majorHAnsi"/>
          <w:sz w:val="24"/>
          <w:szCs w:val="24"/>
        </w:rPr>
        <w:t xml:space="preserve">(w zakresie terminu realizacji umowy) </w:t>
      </w:r>
      <w:r>
        <w:rPr>
          <w:rFonts w:asciiTheme="majorHAnsi" w:hAnsiTheme="majorHAnsi"/>
          <w:sz w:val="24"/>
          <w:szCs w:val="24"/>
        </w:rPr>
        <w:t>z</w:t>
      </w:r>
      <w:r w:rsidR="000338E1">
        <w:rPr>
          <w:rFonts w:asciiTheme="majorHAnsi" w:hAnsiTheme="majorHAnsi"/>
          <w:sz w:val="24"/>
          <w:szCs w:val="24"/>
        </w:rPr>
        <w:t> </w:t>
      </w:r>
      <w:r>
        <w:rPr>
          <w:rFonts w:asciiTheme="majorHAnsi" w:hAnsiTheme="majorHAnsi"/>
          <w:sz w:val="24"/>
          <w:szCs w:val="24"/>
        </w:rPr>
        <w:t>uzasadnionych przyczyn pod warunkiem, że zaszły okoliczności, których nie można było przewidzieć w chwili złożenia oferty.</w:t>
      </w:r>
    </w:p>
    <w:p w14:paraId="70089235" w14:textId="77777777" w:rsidR="005313D4" w:rsidRDefault="00FA14B8" w:rsidP="005313D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Jeżeli zamawiający uzna, że zaistniałe okoliczności nie stanowią podstawy do zmiany oferty, wykonawca zobowiązany jest do realizacji zgodnie z przedstawioną ofertą.</w:t>
      </w:r>
    </w:p>
    <w:p w14:paraId="42A860A6" w14:textId="77777777" w:rsidR="00332E08" w:rsidRDefault="005313D4" w:rsidP="00332E08">
      <w:pPr>
        <w:jc w:val="both"/>
        <w:rPr>
          <w:rFonts w:asciiTheme="majorHAnsi" w:hAnsiTheme="majorHAnsi"/>
          <w:sz w:val="24"/>
          <w:szCs w:val="24"/>
        </w:rPr>
      </w:pPr>
      <w:r w:rsidRPr="005313D4">
        <w:rPr>
          <w:rFonts w:asciiTheme="majorHAnsi" w:hAnsiTheme="majorHAnsi"/>
          <w:sz w:val="24"/>
          <w:szCs w:val="24"/>
        </w:rPr>
        <w:t>3.</w:t>
      </w:r>
      <w:r>
        <w:rPr>
          <w:rFonts w:asciiTheme="majorHAnsi" w:hAnsiTheme="majorHAnsi"/>
          <w:sz w:val="24"/>
          <w:szCs w:val="24"/>
        </w:rPr>
        <w:t xml:space="preserve"> </w:t>
      </w:r>
      <w:r w:rsidRPr="005313D4">
        <w:rPr>
          <w:rFonts w:asciiTheme="majorHAnsi" w:hAnsiTheme="majorHAnsi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</w:t>
      </w:r>
      <w:r w:rsidRPr="005313D4">
        <w:rPr>
          <w:rFonts w:asciiTheme="majorHAnsi" w:hAnsiTheme="majorHAnsi"/>
          <w:sz w:val="24"/>
          <w:szCs w:val="24"/>
        </w:rPr>
        <w:lastRenderedPageBreak/>
        <w:t xml:space="preserve">ważnych ofert niepodlegających odrzuceniu, lub budzą wątpliwości Zamawiającego </w:t>
      </w:r>
      <w:r w:rsidRPr="005313D4">
        <w:rPr>
          <w:rFonts w:asciiTheme="majorHAnsi" w:hAnsiTheme="majorHAnsi"/>
          <w:sz w:val="24"/>
          <w:szCs w:val="24"/>
        </w:rPr>
        <w:br/>
        <w:t>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z Wykonawcą i może odrzucić tę ofertę wyłącznie w</w:t>
      </w:r>
      <w:r>
        <w:rPr>
          <w:rFonts w:asciiTheme="majorHAnsi" w:hAnsiTheme="majorHAnsi"/>
          <w:sz w:val="24"/>
          <w:szCs w:val="24"/>
        </w:rPr>
        <w:t> </w:t>
      </w:r>
      <w:r w:rsidRPr="005313D4">
        <w:rPr>
          <w:rFonts w:asciiTheme="majorHAnsi" w:hAnsiTheme="majorHAnsi"/>
          <w:sz w:val="24"/>
          <w:szCs w:val="24"/>
        </w:rPr>
        <w:t>przypadku, gdy złożone wyjaśnienia wraz z dowodami nie uzasadniają podanej ceny lub kosztu w tej ofercie.</w:t>
      </w:r>
    </w:p>
    <w:p w14:paraId="0AB8DBCC" w14:textId="13750B16" w:rsidR="00D34447" w:rsidRPr="00494D26" w:rsidRDefault="00332E08" w:rsidP="00332E08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4. </w:t>
      </w:r>
      <w:r w:rsidR="00D34447" w:rsidRPr="00332E08">
        <w:rPr>
          <w:rFonts w:asciiTheme="majorHAnsi" w:hAnsiTheme="majorHAnsi"/>
          <w:sz w:val="24"/>
          <w:szCs w:val="24"/>
        </w:rPr>
        <w:t>Term</w:t>
      </w:r>
      <w:r w:rsidR="00297DD8" w:rsidRPr="00332E08">
        <w:rPr>
          <w:rFonts w:asciiTheme="majorHAnsi" w:hAnsiTheme="majorHAnsi"/>
          <w:sz w:val="24"/>
          <w:szCs w:val="24"/>
        </w:rPr>
        <w:t>in realizacji umowy:</w:t>
      </w:r>
      <w:r w:rsidR="00D34447" w:rsidRPr="00332E08">
        <w:rPr>
          <w:rFonts w:asciiTheme="majorHAnsi" w:hAnsiTheme="majorHAnsi"/>
          <w:sz w:val="24"/>
          <w:szCs w:val="24"/>
        </w:rPr>
        <w:t xml:space="preserve"> do </w:t>
      </w:r>
      <w:r w:rsidR="00D34447" w:rsidRPr="00494D26">
        <w:rPr>
          <w:rFonts w:asciiTheme="majorHAnsi" w:hAnsiTheme="majorHAnsi"/>
          <w:sz w:val="24"/>
          <w:szCs w:val="24"/>
        </w:rPr>
        <w:t xml:space="preserve">dnia </w:t>
      </w:r>
      <w:r w:rsidR="00CE7909">
        <w:rPr>
          <w:rFonts w:asciiTheme="majorHAnsi" w:hAnsiTheme="majorHAnsi"/>
          <w:sz w:val="24"/>
          <w:szCs w:val="24"/>
        </w:rPr>
        <w:t>31.03.2025r.</w:t>
      </w:r>
      <w:r w:rsidR="00672F7C" w:rsidRPr="00494D26">
        <w:rPr>
          <w:rFonts w:asciiTheme="majorHAnsi" w:hAnsiTheme="majorHAnsi"/>
          <w:sz w:val="24"/>
          <w:szCs w:val="24"/>
        </w:rPr>
        <w:t xml:space="preserve"> Umowa zostanie podpisana niezwłocznie po wyłonieniu wykonawcy.</w:t>
      </w:r>
    </w:p>
    <w:p w14:paraId="70D4E13F" w14:textId="73E5C027" w:rsidR="00D34447" w:rsidRPr="00494D26" w:rsidRDefault="00814EB9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94D26">
        <w:rPr>
          <w:rFonts w:asciiTheme="majorHAnsi" w:hAnsiTheme="majorHAnsi"/>
          <w:sz w:val="24"/>
          <w:szCs w:val="24"/>
        </w:rPr>
        <w:t>Nie przewiduje się możliwości</w:t>
      </w:r>
      <w:r w:rsidR="00D34447" w:rsidRPr="00494D26">
        <w:rPr>
          <w:rFonts w:asciiTheme="majorHAnsi" w:hAnsiTheme="majorHAnsi"/>
          <w:sz w:val="24"/>
          <w:szCs w:val="24"/>
        </w:rPr>
        <w:t xml:space="preserve"> składania ofert częściowych.</w:t>
      </w:r>
      <w:r w:rsidR="0008613E" w:rsidRPr="00494D26">
        <w:rPr>
          <w:rFonts w:asciiTheme="majorHAnsi" w:hAnsiTheme="majorHAnsi"/>
          <w:sz w:val="24"/>
          <w:szCs w:val="24"/>
        </w:rPr>
        <w:t xml:space="preserve"> </w:t>
      </w:r>
      <w:r w:rsidR="008876FE" w:rsidRPr="008876FE">
        <w:rPr>
          <w:rFonts w:asciiTheme="majorHAnsi" w:hAnsiTheme="majorHAnsi"/>
          <w:sz w:val="24"/>
          <w:szCs w:val="24"/>
        </w:rPr>
        <w:t>Zamawiający nie dokonuje podziału zamówienia na części, ponieważ nie jest to uzasadnione ze względu na specyfikę realizacji zamówienia. Ewentualny podział zamówienia na części groziłby generowaniem nadmiernych trudności technicznych i</w:t>
      </w:r>
      <w:r w:rsidR="008876FE">
        <w:rPr>
          <w:rFonts w:asciiTheme="majorHAnsi" w:hAnsiTheme="majorHAnsi"/>
          <w:sz w:val="24"/>
          <w:szCs w:val="24"/>
        </w:rPr>
        <w:t> </w:t>
      </w:r>
      <w:r w:rsidR="008876FE" w:rsidRPr="008876FE">
        <w:rPr>
          <w:rFonts w:asciiTheme="majorHAnsi" w:hAnsiTheme="majorHAnsi"/>
          <w:sz w:val="24"/>
          <w:szCs w:val="24"/>
        </w:rPr>
        <w:t xml:space="preserve">organizacyjnych np. związanych z potrzebą skoordynowania działań różnych wykonawców realizujących poszczególne części zamówienia. </w:t>
      </w:r>
      <w:r w:rsidR="0008613E" w:rsidRPr="00494D26">
        <w:rPr>
          <w:rFonts w:asciiTheme="majorHAnsi" w:hAnsiTheme="majorHAnsi"/>
          <w:sz w:val="24"/>
          <w:szCs w:val="24"/>
        </w:rPr>
        <w:t>Nie przewiduje się możliwości składania ofert wariantowych.</w:t>
      </w:r>
    </w:p>
    <w:p w14:paraId="64481C3E" w14:textId="79717D23" w:rsidR="0051338A" w:rsidRPr="00494D26" w:rsidRDefault="0051338A" w:rsidP="009F40BA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 w:rsidRPr="00494D26">
        <w:rPr>
          <w:rFonts w:asciiTheme="majorHAnsi" w:hAnsiTheme="majorHAnsi"/>
          <w:sz w:val="24"/>
          <w:szCs w:val="24"/>
        </w:rPr>
        <w:t>Zamawiający zastrzega sobie prawo do anulowania/unieważnienia ww. postępowania bez podawania przyczyny</w:t>
      </w:r>
      <w:r w:rsidR="003D1F84" w:rsidRPr="00494D26">
        <w:rPr>
          <w:rFonts w:asciiTheme="majorHAnsi" w:hAnsiTheme="majorHAnsi"/>
          <w:sz w:val="24"/>
          <w:szCs w:val="24"/>
        </w:rPr>
        <w:t xml:space="preserve"> na każdym jego etapie</w:t>
      </w:r>
      <w:r w:rsidRPr="00494D26">
        <w:rPr>
          <w:rFonts w:asciiTheme="majorHAnsi" w:hAnsiTheme="majorHAnsi"/>
          <w:sz w:val="24"/>
          <w:szCs w:val="24"/>
        </w:rPr>
        <w:t>.</w:t>
      </w:r>
    </w:p>
    <w:p w14:paraId="3D7064AB" w14:textId="77777777" w:rsidR="00F86C44" w:rsidRPr="00494D26" w:rsidRDefault="00F86C44" w:rsidP="009F40B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color w:val="222222"/>
        </w:rPr>
      </w:pPr>
      <w:r w:rsidRPr="00494D26">
        <w:rPr>
          <w:rFonts w:asciiTheme="majorHAnsi" w:hAnsiTheme="majorHAnsi"/>
          <w:sz w:val="24"/>
          <w:szCs w:val="24"/>
        </w:rPr>
        <w:t>Harmonogram realizacji zamówienia</w:t>
      </w:r>
      <w:r w:rsidR="00216AAC" w:rsidRPr="00494D26">
        <w:rPr>
          <w:rFonts w:asciiTheme="majorHAnsi" w:hAnsiTheme="majorHAnsi"/>
          <w:sz w:val="24"/>
          <w:szCs w:val="24"/>
        </w:rPr>
        <w:t>:</w:t>
      </w:r>
    </w:p>
    <w:p w14:paraId="1BD2CE6A" w14:textId="70670738" w:rsidR="00216AAC" w:rsidRPr="00494D26" w:rsidRDefault="00216AAC" w:rsidP="00216AAC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494D26">
        <w:rPr>
          <w:rFonts w:asciiTheme="majorHAnsi" w:hAnsiTheme="majorHAnsi"/>
          <w:sz w:val="24"/>
          <w:szCs w:val="24"/>
        </w:rPr>
        <w:t>- podpisanie umowy niezwłocznie po wyłonieniu dostaw</w:t>
      </w:r>
      <w:r w:rsidR="006B372C" w:rsidRPr="00494D26">
        <w:rPr>
          <w:rFonts w:asciiTheme="majorHAnsi" w:hAnsiTheme="majorHAnsi"/>
          <w:sz w:val="24"/>
          <w:szCs w:val="24"/>
        </w:rPr>
        <w:t>c</w:t>
      </w:r>
      <w:r w:rsidRPr="00494D26">
        <w:rPr>
          <w:rFonts w:asciiTheme="majorHAnsi" w:hAnsiTheme="majorHAnsi"/>
          <w:sz w:val="24"/>
          <w:szCs w:val="24"/>
        </w:rPr>
        <w:t>y</w:t>
      </w:r>
    </w:p>
    <w:p w14:paraId="01456744" w14:textId="0218272A" w:rsidR="00216AAC" w:rsidRDefault="00216AAC" w:rsidP="00216AAC">
      <w:pPr>
        <w:pStyle w:val="Akapitzlist"/>
        <w:jc w:val="both"/>
        <w:rPr>
          <w:rFonts w:asciiTheme="majorHAnsi" w:hAnsiTheme="majorHAnsi"/>
          <w:sz w:val="24"/>
          <w:szCs w:val="24"/>
        </w:rPr>
      </w:pPr>
      <w:r w:rsidRPr="00494D26">
        <w:rPr>
          <w:rFonts w:asciiTheme="majorHAnsi" w:hAnsiTheme="majorHAnsi"/>
          <w:sz w:val="24"/>
          <w:szCs w:val="24"/>
        </w:rPr>
        <w:t xml:space="preserve">- termin realizacji umowy do dnia </w:t>
      </w:r>
      <w:r w:rsidR="00CE7909">
        <w:rPr>
          <w:rFonts w:asciiTheme="majorHAnsi" w:hAnsiTheme="majorHAnsi"/>
          <w:sz w:val="24"/>
          <w:szCs w:val="24"/>
        </w:rPr>
        <w:t>31.03.2025r.</w:t>
      </w:r>
    </w:p>
    <w:p w14:paraId="45AAE378" w14:textId="77777777" w:rsidR="00A50E1A" w:rsidRPr="00A50E1A" w:rsidRDefault="00A50E1A" w:rsidP="00A50E1A">
      <w:pPr>
        <w:jc w:val="both"/>
        <w:rPr>
          <w:rFonts w:ascii="Arial" w:hAnsi="Arial" w:cs="Arial"/>
          <w:color w:val="222222"/>
        </w:rPr>
      </w:pPr>
    </w:p>
    <w:p w14:paraId="5E975C5D" w14:textId="77777777" w:rsidR="00FA14B8" w:rsidRDefault="00FA14B8" w:rsidP="00396593">
      <w:pPr>
        <w:jc w:val="both"/>
        <w:rPr>
          <w:rFonts w:asciiTheme="majorHAnsi" w:hAnsiTheme="majorHAnsi"/>
          <w:sz w:val="24"/>
          <w:szCs w:val="24"/>
        </w:rPr>
      </w:pPr>
    </w:p>
    <w:p w14:paraId="6FBF529F" w14:textId="77777777" w:rsidR="00FA14B8" w:rsidRDefault="00FA14B8" w:rsidP="00FA14B8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</w:t>
      </w:r>
    </w:p>
    <w:p w14:paraId="19D18637" w14:textId="77777777" w:rsidR="00FA14B8" w:rsidRDefault="00FA14B8" w:rsidP="00FA14B8">
      <w:pPr>
        <w:ind w:left="4248"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Podpis i pieczęć Zamawiającego</w:t>
      </w:r>
    </w:p>
    <w:p w14:paraId="7D58241B" w14:textId="0AA79BA5" w:rsidR="009017FA" w:rsidRDefault="009017FA" w:rsidP="00945578">
      <w:pPr>
        <w:jc w:val="both"/>
        <w:rPr>
          <w:rFonts w:asciiTheme="majorHAnsi" w:hAnsiTheme="majorHAnsi"/>
          <w:sz w:val="24"/>
          <w:szCs w:val="24"/>
        </w:rPr>
      </w:pPr>
    </w:p>
    <w:sectPr w:rsidR="009017FA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8BE7FB" w14:textId="77777777" w:rsidR="006A240C" w:rsidRDefault="006A240C" w:rsidP="00DE754D">
      <w:pPr>
        <w:spacing w:after="0" w:line="240" w:lineRule="auto"/>
      </w:pPr>
      <w:r>
        <w:separator/>
      </w:r>
    </w:p>
  </w:endnote>
  <w:endnote w:type="continuationSeparator" w:id="0">
    <w:p w14:paraId="003BE625" w14:textId="77777777" w:rsidR="006A240C" w:rsidRDefault="006A240C" w:rsidP="00DE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44951985"/>
      <w:docPartObj>
        <w:docPartGallery w:val="Page Numbers (Bottom of Page)"/>
        <w:docPartUnique/>
      </w:docPartObj>
    </w:sdtPr>
    <w:sdtContent>
      <w:p w14:paraId="34B81C65" w14:textId="6F52975F" w:rsidR="00611FFF" w:rsidRDefault="00611FF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E861B16" wp14:editId="42B52A68">
              <wp:extent cx="5760720" cy="608965"/>
              <wp:effectExtent l="0" t="0" r="0" b="635"/>
              <wp:docPr id="24192272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192272" name="Obraz 2419227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6089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315D77C6" w14:textId="5A34C00A" w:rsidR="00611FFF" w:rsidRDefault="00611F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665BCC" w14:textId="4C7B4D9E" w:rsidR="00DE754D" w:rsidRDefault="00DE7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4808F" w14:textId="77777777" w:rsidR="006A240C" w:rsidRDefault="006A240C" w:rsidP="00DE754D">
      <w:pPr>
        <w:spacing w:after="0" w:line="240" w:lineRule="auto"/>
      </w:pPr>
      <w:r>
        <w:separator/>
      </w:r>
    </w:p>
  </w:footnote>
  <w:footnote w:type="continuationSeparator" w:id="0">
    <w:p w14:paraId="27B8D300" w14:textId="77777777" w:rsidR="006A240C" w:rsidRDefault="006A240C" w:rsidP="00DE7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C8A"/>
    <w:multiLevelType w:val="hybridMultilevel"/>
    <w:tmpl w:val="179C2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43354"/>
    <w:multiLevelType w:val="hybridMultilevel"/>
    <w:tmpl w:val="AC5CE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C9301C"/>
    <w:multiLevelType w:val="multilevel"/>
    <w:tmpl w:val="2ECE01BA"/>
    <w:styleLink w:val="WWNum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abstractNum w:abstractNumId="3" w15:restartNumberingAfterBreak="0">
    <w:nsid w:val="22E8594E"/>
    <w:multiLevelType w:val="hybridMultilevel"/>
    <w:tmpl w:val="451A6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5453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B2727"/>
    <w:multiLevelType w:val="hybridMultilevel"/>
    <w:tmpl w:val="F9B2A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C2328"/>
    <w:multiLevelType w:val="hybridMultilevel"/>
    <w:tmpl w:val="FCF62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E34DF"/>
    <w:multiLevelType w:val="hybridMultilevel"/>
    <w:tmpl w:val="6A2CA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625AE"/>
    <w:multiLevelType w:val="hybridMultilevel"/>
    <w:tmpl w:val="66B82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FF1F94"/>
    <w:multiLevelType w:val="hybridMultilevel"/>
    <w:tmpl w:val="32CE4F62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E6F3087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39142F"/>
    <w:multiLevelType w:val="hybridMultilevel"/>
    <w:tmpl w:val="3BC8D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511C3"/>
    <w:multiLevelType w:val="hybridMultilevel"/>
    <w:tmpl w:val="17E07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A742E"/>
    <w:multiLevelType w:val="hybridMultilevel"/>
    <w:tmpl w:val="BF8E3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07739"/>
    <w:multiLevelType w:val="hybridMultilevel"/>
    <w:tmpl w:val="75C2F4B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63D5D"/>
    <w:multiLevelType w:val="hybridMultilevel"/>
    <w:tmpl w:val="1F5C5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605F4"/>
    <w:multiLevelType w:val="hybridMultilevel"/>
    <w:tmpl w:val="9DD6B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E292F"/>
    <w:multiLevelType w:val="hybridMultilevel"/>
    <w:tmpl w:val="3D8EF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B085C"/>
    <w:multiLevelType w:val="hybridMultilevel"/>
    <w:tmpl w:val="DF541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3A5CAB"/>
    <w:multiLevelType w:val="hybridMultilevel"/>
    <w:tmpl w:val="4E023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265252">
    <w:abstractNumId w:val="6"/>
  </w:num>
  <w:num w:numId="2" w16cid:durableId="1833134799">
    <w:abstractNumId w:val="1"/>
  </w:num>
  <w:num w:numId="3" w16cid:durableId="1491943447">
    <w:abstractNumId w:val="5"/>
  </w:num>
  <w:num w:numId="4" w16cid:durableId="663506636">
    <w:abstractNumId w:val="16"/>
  </w:num>
  <w:num w:numId="5" w16cid:durableId="1682315102">
    <w:abstractNumId w:val="19"/>
  </w:num>
  <w:num w:numId="6" w16cid:durableId="92241860">
    <w:abstractNumId w:val="15"/>
  </w:num>
  <w:num w:numId="7" w16cid:durableId="524290399">
    <w:abstractNumId w:val="10"/>
  </w:num>
  <w:num w:numId="8" w16cid:durableId="1283347725">
    <w:abstractNumId w:val="7"/>
  </w:num>
  <w:num w:numId="9" w16cid:durableId="1238396055">
    <w:abstractNumId w:val="8"/>
  </w:num>
  <w:num w:numId="10" w16cid:durableId="1309825315">
    <w:abstractNumId w:val="9"/>
  </w:num>
  <w:num w:numId="11" w16cid:durableId="276061555">
    <w:abstractNumId w:val="0"/>
  </w:num>
  <w:num w:numId="12" w16cid:durableId="783425406">
    <w:abstractNumId w:val="17"/>
  </w:num>
  <w:num w:numId="13" w16cid:durableId="1860198373">
    <w:abstractNumId w:val="13"/>
  </w:num>
  <w:num w:numId="14" w16cid:durableId="404037297">
    <w:abstractNumId w:val="12"/>
  </w:num>
  <w:num w:numId="15" w16cid:durableId="1451589391">
    <w:abstractNumId w:val="18"/>
  </w:num>
  <w:num w:numId="16" w16cid:durableId="2105373840">
    <w:abstractNumId w:val="11"/>
  </w:num>
  <w:num w:numId="17" w16cid:durableId="586350643">
    <w:abstractNumId w:val="4"/>
  </w:num>
  <w:num w:numId="18" w16cid:durableId="1700928440">
    <w:abstractNumId w:val="2"/>
  </w:num>
  <w:num w:numId="19" w16cid:durableId="1820880376">
    <w:abstractNumId w:val="3"/>
  </w:num>
  <w:num w:numId="20" w16cid:durableId="10202030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46"/>
    <w:rsid w:val="00020C45"/>
    <w:rsid w:val="0002336A"/>
    <w:rsid w:val="000338E1"/>
    <w:rsid w:val="0008613E"/>
    <w:rsid w:val="000879BB"/>
    <w:rsid w:val="0009281A"/>
    <w:rsid w:val="000B05D5"/>
    <w:rsid w:val="000B1C88"/>
    <w:rsid w:val="000B712A"/>
    <w:rsid w:val="000C14C5"/>
    <w:rsid w:val="000F05D4"/>
    <w:rsid w:val="000F205D"/>
    <w:rsid w:val="000F4E3E"/>
    <w:rsid w:val="00113D75"/>
    <w:rsid w:val="00147538"/>
    <w:rsid w:val="00160532"/>
    <w:rsid w:val="0016159E"/>
    <w:rsid w:val="00165F52"/>
    <w:rsid w:val="001779E6"/>
    <w:rsid w:val="001941FA"/>
    <w:rsid w:val="00194ECE"/>
    <w:rsid w:val="001A09F2"/>
    <w:rsid w:val="001B4078"/>
    <w:rsid w:val="001D70C5"/>
    <w:rsid w:val="001E38CA"/>
    <w:rsid w:val="001E6FBD"/>
    <w:rsid w:val="0021464E"/>
    <w:rsid w:val="00216AAC"/>
    <w:rsid w:val="002307D0"/>
    <w:rsid w:val="002511E9"/>
    <w:rsid w:val="002604F5"/>
    <w:rsid w:val="0027581E"/>
    <w:rsid w:val="00281EC1"/>
    <w:rsid w:val="00283702"/>
    <w:rsid w:val="0029761C"/>
    <w:rsid w:val="00297DD8"/>
    <w:rsid w:val="002D04FB"/>
    <w:rsid w:val="002F57FF"/>
    <w:rsid w:val="002F7E66"/>
    <w:rsid w:val="00306A89"/>
    <w:rsid w:val="003275B9"/>
    <w:rsid w:val="00332E08"/>
    <w:rsid w:val="00350AF0"/>
    <w:rsid w:val="00390602"/>
    <w:rsid w:val="00396593"/>
    <w:rsid w:val="003D1F84"/>
    <w:rsid w:val="00406234"/>
    <w:rsid w:val="0043368B"/>
    <w:rsid w:val="004512A8"/>
    <w:rsid w:val="00451362"/>
    <w:rsid w:val="00471A3E"/>
    <w:rsid w:val="004857FC"/>
    <w:rsid w:val="00490FD3"/>
    <w:rsid w:val="00494D26"/>
    <w:rsid w:val="00496C2B"/>
    <w:rsid w:val="004A0BFC"/>
    <w:rsid w:val="004C59F4"/>
    <w:rsid w:val="004C6EF5"/>
    <w:rsid w:val="004E5602"/>
    <w:rsid w:val="004E671E"/>
    <w:rsid w:val="00502233"/>
    <w:rsid w:val="00505C19"/>
    <w:rsid w:val="00506894"/>
    <w:rsid w:val="00511731"/>
    <w:rsid w:val="0051338A"/>
    <w:rsid w:val="005313D4"/>
    <w:rsid w:val="00587324"/>
    <w:rsid w:val="005A131E"/>
    <w:rsid w:val="005A5360"/>
    <w:rsid w:val="005B014E"/>
    <w:rsid w:val="005B2A2F"/>
    <w:rsid w:val="005D3E9B"/>
    <w:rsid w:val="005F1632"/>
    <w:rsid w:val="00606775"/>
    <w:rsid w:val="00611FFF"/>
    <w:rsid w:val="00613081"/>
    <w:rsid w:val="006133DB"/>
    <w:rsid w:val="00646A44"/>
    <w:rsid w:val="00654F5F"/>
    <w:rsid w:val="006566E5"/>
    <w:rsid w:val="006656E4"/>
    <w:rsid w:val="00665AEA"/>
    <w:rsid w:val="006668B5"/>
    <w:rsid w:val="00672D09"/>
    <w:rsid w:val="00672F7C"/>
    <w:rsid w:val="0067537A"/>
    <w:rsid w:val="0068512C"/>
    <w:rsid w:val="00694787"/>
    <w:rsid w:val="006A240C"/>
    <w:rsid w:val="006B1360"/>
    <w:rsid w:val="006B372C"/>
    <w:rsid w:val="006C3FC2"/>
    <w:rsid w:val="006C7D67"/>
    <w:rsid w:val="007031A8"/>
    <w:rsid w:val="00713C80"/>
    <w:rsid w:val="00714FA9"/>
    <w:rsid w:val="00715AB0"/>
    <w:rsid w:val="00716A3F"/>
    <w:rsid w:val="00724637"/>
    <w:rsid w:val="007258FC"/>
    <w:rsid w:val="00740E14"/>
    <w:rsid w:val="007418D4"/>
    <w:rsid w:val="00743D4D"/>
    <w:rsid w:val="007506D1"/>
    <w:rsid w:val="007534A6"/>
    <w:rsid w:val="0077273D"/>
    <w:rsid w:val="007860C3"/>
    <w:rsid w:val="00814EB9"/>
    <w:rsid w:val="0085381A"/>
    <w:rsid w:val="0086712C"/>
    <w:rsid w:val="00875E42"/>
    <w:rsid w:val="008876FE"/>
    <w:rsid w:val="008B18AE"/>
    <w:rsid w:val="008C0C39"/>
    <w:rsid w:val="008D47B6"/>
    <w:rsid w:val="009017FA"/>
    <w:rsid w:val="00904547"/>
    <w:rsid w:val="00915833"/>
    <w:rsid w:val="009176FE"/>
    <w:rsid w:val="00945578"/>
    <w:rsid w:val="00955AEF"/>
    <w:rsid w:val="0096415B"/>
    <w:rsid w:val="0097621E"/>
    <w:rsid w:val="00991920"/>
    <w:rsid w:val="009A7E16"/>
    <w:rsid w:val="009C17EC"/>
    <w:rsid w:val="009C5861"/>
    <w:rsid w:val="009C71D8"/>
    <w:rsid w:val="009E3E21"/>
    <w:rsid w:val="009F40BA"/>
    <w:rsid w:val="009F42AF"/>
    <w:rsid w:val="00A31082"/>
    <w:rsid w:val="00A349EE"/>
    <w:rsid w:val="00A50E1A"/>
    <w:rsid w:val="00A62FA3"/>
    <w:rsid w:val="00A65785"/>
    <w:rsid w:val="00A9486A"/>
    <w:rsid w:val="00AB6519"/>
    <w:rsid w:val="00AD4C12"/>
    <w:rsid w:val="00AE1F66"/>
    <w:rsid w:val="00B05346"/>
    <w:rsid w:val="00B10BFB"/>
    <w:rsid w:val="00B1651A"/>
    <w:rsid w:val="00B210F0"/>
    <w:rsid w:val="00B22126"/>
    <w:rsid w:val="00B24CF0"/>
    <w:rsid w:val="00B40EB8"/>
    <w:rsid w:val="00B4630A"/>
    <w:rsid w:val="00B73BEB"/>
    <w:rsid w:val="00B82974"/>
    <w:rsid w:val="00B8474D"/>
    <w:rsid w:val="00B87917"/>
    <w:rsid w:val="00B97237"/>
    <w:rsid w:val="00B978B9"/>
    <w:rsid w:val="00BA70D1"/>
    <w:rsid w:val="00BD57B6"/>
    <w:rsid w:val="00BE22E7"/>
    <w:rsid w:val="00C05117"/>
    <w:rsid w:val="00C26556"/>
    <w:rsid w:val="00C64000"/>
    <w:rsid w:val="00C71AA7"/>
    <w:rsid w:val="00C748FD"/>
    <w:rsid w:val="00C75F06"/>
    <w:rsid w:val="00CD59E5"/>
    <w:rsid w:val="00CD705B"/>
    <w:rsid w:val="00CE0451"/>
    <w:rsid w:val="00CE5E0B"/>
    <w:rsid w:val="00CE7909"/>
    <w:rsid w:val="00CF5CF2"/>
    <w:rsid w:val="00D1189C"/>
    <w:rsid w:val="00D1585C"/>
    <w:rsid w:val="00D21451"/>
    <w:rsid w:val="00D26DD3"/>
    <w:rsid w:val="00D34447"/>
    <w:rsid w:val="00D43662"/>
    <w:rsid w:val="00DA45AE"/>
    <w:rsid w:val="00DE754D"/>
    <w:rsid w:val="00E05189"/>
    <w:rsid w:val="00E10407"/>
    <w:rsid w:val="00E22255"/>
    <w:rsid w:val="00E30FDE"/>
    <w:rsid w:val="00E4154D"/>
    <w:rsid w:val="00E56671"/>
    <w:rsid w:val="00E703D7"/>
    <w:rsid w:val="00E7456C"/>
    <w:rsid w:val="00E766FC"/>
    <w:rsid w:val="00E77415"/>
    <w:rsid w:val="00E851C5"/>
    <w:rsid w:val="00E9291C"/>
    <w:rsid w:val="00E9422A"/>
    <w:rsid w:val="00E978F1"/>
    <w:rsid w:val="00EA6586"/>
    <w:rsid w:val="00EB6870"/>
    <w:rsid w:val="00EC119B"/>
    <w:rsid w:val="00EC75B9"/>
    <w:rsid w:val="00EE163D"/>
    <w:rsid w:val="00EF7493"/>
    <w:rsid w:val="00F108B8"/>
    <w:rsid w:val="00F15018"/>
    <w:rsid w:val="00F473A5"/>
    <w:rsid w:val="00F557FC"/>
    <w:rsid w:val="00F8369C"/>
    <w:rsid w:val="00F86C44"/>
    <w:rsid w:val="00FA14B8"/>
    <w:rsid w:val="00FA430D"/>
    <w:rsid w:val="00FB5F6F"/>
    <w:rsid w:val="00FB7CCD"/>
    <w:rsid w:val="00FD2B5D"/>
    <w:rsid w:val="00FE47F4"/>
    <w:rsid w:val="00FE53AC"/>
    <w:rsid w:val="00FF1768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F67A3"/>
  <w15:docId w15:val="{42B1EB57-9C69-462D-9AD7-5244F2EB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5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06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7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754D"/>
  </w:style>
  <w:style w:type="paragraph" w:styleId="Stopka">
    <w:name w:val="footer"/>
    <w:basedOn w:val="Normalny"/>
    <w:link w:val="StopkaZnak"/>
    <w:uiPriority w:val="99"/>
    <w:unhideWhenUsed/>
    <w:rsid w:val="00DE7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54D"/>
  </w:style>
  <w:style w:type="character" w:styleId="Hipercze">
    <w:name w:val="Hyperlink"/>
    <w:basedOn w:val="Domylnaczcionkaakapitu"/>
    <w:uiPriority w:val="99"/>
    <w:unhideWhenUsed/>
    <w:rsid w:val="00194ECE"/>
    <w:rPr>
      <w:color w:val="0000FF" w:themeColor="hyperlink"/>
      <w:u w:val="single"/>
    </w:rPr>
  </w:style>
  <w:style w:type="character" w:customStyle="1" w:styleId="m4093617384578705488tlid-translation">
    <w:name w:val="m_4093617384578705488tlid-translation"/>
    <w:basedOn w:val="Domylnaczcionkaakapitu"/>
    <w:rsid w:val="00F86C44"/>
  </w:style>
  <w:style w:type="character" w:styleId="Nierozpoznanawzmianka">
    <w:name w:val="Unresolved Mention"/>
    <w:basedOn w:val="Domylnaczcionkaakapitu"/>
    <w:uiPriority w:val="99"/>
    <w:semiHidden/>
    <w:unhideWhenUsed/>
    <w:rsid w:val="00D1189C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5313D4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kabiny-natryskowe-4824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piece-przemyslowe-lub-laboratoryjne-piece-do-spopielania-i-paleniska-531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portalzp.pl/kody-cpv/szczegoly/urzadzenia-grzewcze-50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urzadzenia-natryskowe-5557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279BC-8DCD-48D6-8374-CEFBA48B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1822</Words>
  <Characters>10937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Jaworska</cp:lastModifiedBy>
  <cp:revision>7</cp:revision>
  <dcterms:created xsi:type="dcterms:W3CDTF">2024-06-03T11:39:00Z</dcterms:created>
  <dcterms:modified xsi:type="dcterms:W3CDTF">2024-11-14T11:42:00Z</dcterms:modified>
</cp:coreProperties>
</file>