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572" w:right="579" w:hanging="0"/>
        <w:jc w:val="center"/>
        <w:rPr>
          <w:b/>
          <w:sz w:val="32"/>
          <w:lang w:val="pl-PL"/>
        </w:rPr>
      </w:pPr>
      <w:r>
        <w:rPr>
          <w:b/>
          <w:sz w:val="32"/>
          <w:lang w:val="pl-PL"/>
        </w:rPr>
      </w:r>
    </w:p>
    <w:p>
      <w:pPr>
        <w:pStyle w:val="Normal"/>
        <w:spacing w:lineRule="auto" w:line="276"/>
        <w:ind w:left="572" w:right="579" w:hanging="0"/>
        <w:jc w:val="center"/>
        <w:rPr>
          <w:b/>
          <w:sz w:val="32"/>
          <w:lang w:val="pl-PL"/>
        </w:rPr>
      </w:pPr>
      <w:r>
        <w:rPr>
          <w:b/>
          <w:sz w:val="32"/>
          <w:lang w:val="pl-PL"/>
        </w:rPr>
        <w:t>ZAPYTANIE OFERTOWE</w:t>
      </w:r>
    </w:p>
    <w:p>
      <w:pPr>
        <w:pStyle w:val="Normal"/>
        <w:spacing w:lineRule="auto" w:line="276"/>
        <w:ind w:left="570" w:right="581" w:hanging="0"/>
        <w:jc w:val="center"/>
        <w:rPr>
          <w:sz w:val="32"/>
          <w:lang w:val="pl-PL"/>
        </w:rPr>
      </w:pPr>
      <w:r>
        <w:rPr>
          <w:sz w:val="32"/>
          <w:lang w:val="pl-PL"/>
        </w:rPr>
      </w:r>
    </w:p>
    <w:p>
      <w:pPr>
        <w:pStyle w:val="Tretekstu"/>
        <w:spacing w:lineRule="auto" w:line="276"/>
        <w:ind w:left="134" w:right="141" w:hanging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Prowadzenie zajęć dodatkowych dla uczniów oraz szkoleń dla nauczycieli w ramach projektu </w:t>
      </w:r>
    </w:p>
    <w:p>
      <w:pPr>
        <w:pStyle w:val="Tretekstu"/>
        <w:spacing w:lineRule="auto" w:line="276"/>
        <w:ind w:left="134" w:right="141" w:hanging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„</w:t>
      </w:r>
      <w:r>
        <w:rPr>
          <w:sz w:val="22"/>
          <w:szCs w:val="22"/>
          <w:lang w:val="pl-PL"/>
        </w:rPr>
        <w:t>Wsparcie dla Szkoły Podstawowej im. T. Kościuszki w Czemiernikach!”</w:t>
      </w:r>
    </w:p>
    <w:p>
      <w:pPr>
        <w:pStyle w:val="Tretekstu"/>
        <w:spacing w:lineRule="auto" w:line="276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Tretekstu"/>
        <w:spacing w:lineRule="auto" w:line="276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NAZWA ORAZ ADRES ZAMAWIAJĄCEGO</w:t>
      </w:r>
    </w:p>
    <w:p>
      <w:pPr>
        <w:pStyle w:val="Style12"/>
        <w:widowControl/>
        <w:spacing w:lineRule="auto" w:line="276"/>
        <w:ind w:firstLine="13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Gmina Czemierniki</w:t>
      </w:r>
    </w:p>
    <w:p>
      <w:pPr>
        <w:pStyle w:val="Style12"/>
        <w:widowControl/>
        <w:spacing w:lineRule="auto" w:line="276"/>
        <w:ind w:firstLine="13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ul. Zamkowa 9</w:t>
      </w:r>
    </w:p>
    <w:p>
      <w:pPr>
        <w:pStyle w:val="Style12"/>
        <w:widowControl/>
        <w:spacing w:lineRule="auto" w:line="276"/>
        <w:ind w:firstLine="13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21-306 Czemierniki</w:t>
      </w:r>
    </w:p>
    <w:p>
      <w:pPr>
        <w:pStyle w:val="Style12"/>
        <w:widowControl/>
        <w:spacing w:lineRule="auto" w:line="276"/>
        <w:ind w:firstLine="13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NIP 5381850582</w:t>
      </w:r>
    </w:p>
    <w:p>
      <w:pPr>
        <w:pStyle w:val="Style12"/>
        <w:widowControl/>
        <w:spacing w:lineRule="auto" w:line="276"/>
        <w:ind w:firstLine="133"/>
        <w:rPr>
          <w:rStyle w:val="Czeinternetowe"/>
          <w:rFonts w:ascii="Arial" w:hAnsi="Arial" w:cs="Arial"/>
          <w:color w:val="auto"/>
          <w:sz w:val="22"/>
          <w:szCs w:val="22"/>
          <w:u w:val="none"/>
        </w:rPr>
      </w:pPr>
      <w:r>
        <w:rPr>
          <w:rFonts w:cs="Arial" w:ascii="Arial" w:hAnsi="Arial"/>
          <w:sz w:val="22"/>
          <w:szCs w:val="22"/>
        </w:rPr>
        <w:t xml:space="preserve">e-mail: </w:t>
      </w:r>
      <w:hyperlink r:id="rId2">
        <w:r>
          <w:rPr>
            <w:rStyle w:val="Czeinternetowe"/>
            <w:rFonts w:cs="Arial" w:ascii="Arial" w:hAnsi="Arial"/>
            <w:sz w:val="22"/>
            <w:szCs w:val="22"/>
          </w:rPr>
          <w:t>gmina@czemierniki.eu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TRYB UDZIELENIA ZAMÓWIENIA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Do niniejszego postępowania nie ma zastosowania ustawa Prawo zamówień publicznych tj. z dnia 14 lipca 2023 r. (Dz.U. z 2023 r. poz. 1605) – wyłączenie zgodnie z brzmieniem art. 2 ust. 1 pkt 1 ustawy. Postępowanie prowadzone jest zgodnie z Zasadą konkurencyjności opisaną w Podrozdziale 3.2 Wytycznych dotyczących kwalifikowalności wydatków na lata 2021-2027 wydanych przed Ministra Funduszy i Polityki Regionalnej.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OPIS PRZEDMIOTU ZAMÓWIENIA</w:t>
      </w:r>
    </w:p>
    <w:tbl>
      <w:tblPr>
        <w:tblStyle w:val="TableNormal"/>
        <w:tblW w:w="9520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88"/>
        <w:gridCol w:w="5931"/>
      </w:tblGrid>
      <w:tr>
        <w:trPr>
          <w:trHeight w:val="284" w:hRule="exact"/>
        </w:trPr>
        <w:tc>
          <w:tcPr>
            <w:tcW w:w="9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lang w:val="pl-PL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Główny kod CPV</w:t>
            </w:r>
          </w:p>
        </w:tc>
      </w:tr>
      <w:tr>
        <w:trPr>
          <w:trHeight w:val="284" w:hRule="exact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429" w:right="317" w:hanging="0"/>
              <w:jc w:val="center"/>
              <w:rPr>
                <w:b/>
                <w:lang w:val="pl-PL"/>
              </w:rPr>
            </w:pPr>
            <w:r>
              <w:rPr>
                <w:b/>
                <w:kern w:val="0"/>
                <w:sz w:val="22"/>
                <w:szCs w:val="22"/>
                <w:lang w:val="pl-PL" w:eastAsia="en-US" w:bidi="ar-SA"/>
              </w:rPr>
              <w:t>80000000-4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lang w:val="pl-PL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Usługi edukacyjne i szkoleniowe</w:t>
            </w:r>
          </w:p>
        </w:tc>
      </w:tr>
      <w:tr>
        <w:trPr>
          <w:trHeight w:val="284" w:hRule="exact"/>
        </w:trPr>
        <w:tc>
          <w:tcPr>
            <w:tcW w:w="9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lang w:val="pl-PL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Dodatkowe kody CPV</w:t>
            </w:r>
          </w:p>
        </w:tc>
      </w:tr>
      <w:tr>
        <w:trPr>
          <w:trHeight w:val="284" w:hRule="exact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429" w:right="317" w:hanging="0"/>
              <w:jc w:val="center"/>
              <w:rPr>
                <w:b/>
                <w:lang w:val="pl-PL"/>
              </w:rPr>
            </w:pPr>
            <w:r>
              <w:rPr>
                <w:b/>
                <w:kern w:val="0"/>
                <w:sz w:val="22"/>
                <w:szCs w:val="22"/>
                <w:lang w:val="pl-PL" w:eastAsia="en-US" w:bidi="ar-SA"/>
              </w:rPr>
              <w:t>80100000-5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lang w:val="pl-PL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Usługi szkolnictwa podstawowego</w:t>
            </w:r>
          </w:p>
        </w:tc>
      </w:tr>
      <w:tr>
        <w:trPr>
          <w:trHeight w:val="284" w:hRule="exact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429" w:right="317" w:hanging="0"/>
              <w:jc w:val="center"/>
              <w:rPr>
                <w:b/>
                <w:lang w:val="pl-PL"/>
              </w:rPr>
            </w:pPr>
            <w:r>
              <w:rPr>
                <w:b/>
                <w:kern w:val="0"/>
                <w:sz w:val="22"/>
                <w:szCs w:val="22"/>
                <w:lang w:val="pl-PL" w:eastAsia="en-US" w:bidi="ar-SA"/>
              </w:rPr>
              <w:t>80400000-8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lang w:val="pl-PL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Usługi edukacji osób dorosłych oraz inne</w:t>
            </w:r>
          </w:p>
        </w:tc>
      </w:tr>
    </w:tbl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lang w:val="pl-PL"/>
        </w:rPr>
        <w:t xml:space="preserve">Prowadzenie zajęć dodatkowych dla uczniów oraz szkoleń dla nauczycieli </w:t>
      </w:r>
      <w:r>
        <w:rPr>
          <w:rFonts w:eastAsia="Times New Roman"/>
          <w:lang w:val="pl-PL"/>
        </w:rPr>
        <w:t>w ramach projektu „Wsparcie dla Szkoły Podstawowej im. T. Kościuszki w Czemiernikach!” w ramach Działania 10.3 Kształcenie ogólne Fundusze Europejskie dla Lubelskiego 2021-2027.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Przedmiot zamówienia został podzielony na następujące części:</w:t>
      </w:r>
    </w:p>
    <w:p>
      <w:pPr>
        <w:pStyle w:val="ListParagraph"/>
        <w:widowControl/>
        <w:numPr>
          <w:ilvl w:val="0"/>
          <w:numId w:val="9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Część 1 – Zajęcia taneczne dla uczniów</w:t>
      </w:r>
    </w:p>
    <w:p>
      <w:pPr>
        <w:pStyle w:val="ListParagraph"/>
        <w:widowControl/>
        <w:numPr>
          <w:ilvl w:val="0"/>
          <w:numId w:val="9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Część 2 – Zajęcia filmowe dla uczniów</w:t>
      </w:r>
    </w:p>
    <w:p>
      <w:pPr>
        <w:pStyle w:val="ListParagraph"/>
        <w:widowControl/>
        <w:numPr>
          <w:ilvl w:val="0"/>
          <w:numId w:val="9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Część 3 – Szkolenia dla nauczycieli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 obejmuje dostawę następujących pozycji: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 xml:space="preserve">CZĘŚĆ I 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>Zajęcia taneczne dla uczniów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Przedmiotem zamówienia jest przeprowadzenie zajęć tanecznych, które obejmować będą: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poznanie elementów tańca w różnych stylach i opracowanie układów choreograficznych.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 xml:space="preserve">Zajęcia zostaną przeprowadzone dla uczniów </w:t>
      </w:r>
      <w:r>
        <w:rPr>
          <w:rFonts w:eastAsia="Times New Roman"/>
          <w:lang w:val="pl-PL"/>
        </w:rPr>
        <w:t>Szkoły Podstawowej im. T. Kościuszki w Czemiernikach.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Zamawiający udostępni Wykonawcy bezpłatnie sale do realizacji zajęć.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Sprzęt niezbędny do zrealizowania zajęć zapewnia Wykonawca.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Do realizacji zaplanowano 4 grupy każda po 8 osób, 15 godzin w semestrze.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b/>
          <w:bCs/>
          <w:lang w:val="pl-PL"/>
        </w:rPr>
      </w:pPr>
      <w:r>
        <w:rPr>
          <w:b/>
          <w:bCs/>
          <w:lang w:val="pl-PL"/>
        </w:rPr>
        <w:t>Łącznie do zrealizowania jest 360 godzin.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Szczegółowy harmonogram realizacji zajęć zostanie ustalony z Wykonawcą na etapie podpisywania umowy i będzie uwzględniał możliwości uczniów.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 xml:space="preserve">CZĘŚĆ II 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>Zajęcia filmowe dla uczniów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Przedmiotem zamówienia jest przeprowadzenie zajęć filmowych, które obejmować będą: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 xml:space="preserve">ćwiczenia w warunkach studia filmowego, 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obsługa sprzętu do rejestracji audio-video, kamery, sprzętu oświetleniowego, dźwiękowego,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 xml:space="preserve">warsztaty animacji poklatkowej, 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dźwięk i zabawa dźwiękiem,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podstawy montażu i postprodukcji filmowej.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 xml:space="preserve">Zajęcia zostaną przeprowadzone dla uczniów </w:t>
      </w:r>
      <w:r>
        <w:rPr>
          <w:rFonts w:eastAsia="Times New Roman"/>
          <w:lang w:val="pl-PL"/>
        </w:rPr>
        <w:t>Szkoły Podstawowej im. T. Kościuszki w Czemiernikach.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Zamawiający udostępni Wykonawcy bezpłatnie sale do realizacji zajęć.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Sprzęt niezbędny do zrealizowania zajęć zapewnia Zamawiający.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Do realizacji zaplanowano 2 grupy każda po 8 osób, 30 godzin w semestrze.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b/>
          <w:bCs/>
          <w:lang w:val="pl-PL"/>
        </w:rPr>
      </w:pPr>
      <w:r>
        <w:rPr>
          <w:b/>
          <w:bCs/>
          <w:lang w:val="pl-PL"/>
        </w:rPr>
        <w:t>Łącznie do zrealizowania jest 360 godzin.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Szczegółowy harmonogram realizacji zajęć zostanie ustalony z Wykonawcą na etapie podpisywania umowy i będzie uwzględniał możliwości uczniów.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 xml:space="preserve">CZĘŚĆ III 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>Szkolenia dla nauczycieli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 xml:space="preserve">Przedmiotem zamówienia jest przeprowadzenie niżej wymienionych szkoleń dla nauczycieli </w:t>
      </w:r>
      <w:r>
        <w:rPr>
          <w:rFonts w:eastAsia="Times New Roman"/>
          <w:lang w:val="pl-PL"/>
        </w:rPr>
        <w:t>Szkoły Podstawowej im. T. Kościuszki w Czemiernikach.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ListParagraph"/>
        <w:numPr>
          <w:ilvl w:val="5"/>
          <w:numId w:val="1"/>
        </w:numPr>
        <w:tabs>
          <w:tab w:val="clear" w:pos="720"/>
          <w:tab w:val="left" w:pos="5910" w:leader="none"/>
        </w:tabs>
        <w:spacing w:lineRule="auto" w:line="360"/>
        <w:ind w:left="284" w:hanging="360"/>
        <w:rPr>
          <w:u w:val="single"/>
          <w:lang w:val="pl-PL"/>
        </w:rPr>
      </w:pPr>
      <w:r>
        <w:rPr>
          <w:u w:val="single"/>
          <w:lang w:val="pl-PL"/>
        </w:rPr>
        <w:t>Szkolenie "Podnoszenie jakości edukacji poprzez działania uwzględniające zróżnicowane potrzeby rozwojowe i edukacyjne wszystkich uczniów" (15 nauczycieli, 4h)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Szkolenie obejmuje zakres tematyczny związany z podnoszeniem jakości edukacji poprzez działania uwzględniające zróżnicowane potrzeby rozwojowe i edukacyjne uczniów.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Zakres treści: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Podstawy prawne regulujące działania uwzględniające zróżnicowane potrzeby rozwojowe 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edukacyjne wszystkich uczniów.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Diagnoza możliwości edukacyjnych oraz zasobów technologicznych naszych uczniów.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Tworzenie wspólnej przestrzeni uczenia się oraz sposobów komunikacji z uczniami i ich rodzicami.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Dobór synchronicznych i asynchronicznych sposobów nauczania uczniów.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Dostosowanie sposobów oceniania uczniów w nauczaniu zdalnym.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Uzyskiwanie informacji zwrotnej od uczniów w środowisku online.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Przewidywane efekty szkolenia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Uczestnicy: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pogłębią wiedzę w zakresie diagnozowania możliwości i potrzeb uczniów w szkole/placówce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udoskonalą umiejętność w zakresie projektowania i realizacji skutecznych zajęć przedmiotowych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w nauczaniu zdalnym.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ListParagraph"/>
        <w:numPr>
          <w:ilvl w:val="5"/>
          <w:numId w:val="1"/>
        </w:numPr>
        <w:tabs>
          <w:tab w:val="clear" w:pos="720"/>
        </w:tabs>
        <w:spacing w:lineRule="auto" w:line="360"/>
        <w:ind w:left="284" w:hanging="360"/>
        <w:rPr>
          <w:u w:val="single"/>
          <w:lang w:val="pl-PL"/>
        </w:rPr>
      </w:pPr>
      <w:r>
        <w:rPr>
          <w:u w:val="single"/>
          <w:lang w:val="pl-PL"/>
        </w:rPr>
        <w:t>Szkolenie "Metody wspomagania komunikacji dziecka niepełnosprawnego"(15 nauczycieli, 4h)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Szkolenie obejmuje zakres tematyczny związany ze wspomaganiem komunikacji dziecka z niepełnosprawnością w relacjach z nauczycielem i rówieśnikami.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Zakres treści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Wspólne porozumiewanie się – ustalenia terminologiczne i podstawy prawne.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Przegląd alternatywnych i wspomagających metod komunikacji.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Planowanie pracy z wykorzystaniem AAC.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MAKATON jako alternatywna i wspomagająca metoda pracy z uczniami niemówiącymi.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Przewidywane efekty szkolenia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Uczestnicy: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poznają alternatywne i wspomagające metody komunikacji dla dzieci i młodzieży niemówiącej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nabędą umiejętność doboru właściwej metody dla ucznia niemówiącego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nabędą umiejętność posługiwania się w stopniu podstawowym wybraną metodą komunikacyjną.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ListParagraph"/>
        <w:numPr>
          <w:ilvl w:val="5"/>
          <w:numId w:val="1"/>
        </w:numPr>
        <w:tabs>
          <w:tab w:val="clear" w:pos="720"/>
        </w:tabs>
        <w:spacing w:lineRule="auto" w:line="360"/>
        <w:ind w:left="284" w:hanging="360"/>
        <w:rPr>
          <w:u w:val="single"/>
          <w:lang w:val="pl-PL"/>
        </w:rPr>
      </w:pPr>
      <w:r>
        <w:rPr>
          <w:u w:val="single"/>
          <w:lang w:val="pl-PL"/>
        </w:rPr>
        <w:t>Szkolenie "Zróżnicowane potrzeby rozwojowe i edukacyjne wszystkich uczniów – zapewnienie</w:t>
      </w:r>
    </w:p>
    <w:p>
      <w:pPr>
        <w:pStyle w:val="Normal"/>
        <w:spacing w:lineRule="auto" w:line="360"/>
        <w:ind w:left="284" w:hanging="0"/>
        <w:rPr>
          <w:u w:val="single"/>
          <w:lang w:val="pl-PL"/>
        </w:rPr>
      </w:pPr>
      <w:r>
        <w:rPr>
          <w:u w:val="single"/>
          <w:lang w:val="pl-PL"/>
        </w:rPr>
        <w:t>wsparcia psychologiczno-pedagogicznego, szczególnie w sytuacji kryzysowej, dodatkowej opieki i</w:t>
      </w:r>
    </w:p>
    <w:p>
      <w:pPr>
        <w:pStyle w:val="Normal"/>
        <w:spacing w:lineRule="auto" w:line="360"/>
        <w:ind w:left="284" w:hanging="0"/>
        <w:rPr>
          <w:u w:val="single"/>
          <w:lang w:val="pl-PL"/>
        </w:rPr>
      </w:pPr>
      <w:r>
        <w:rPr>
          <w:u w:val="single"/>
          <w:lang w:val="pl-PL"/>
        </w:rPr>
        <w:t>pomocy, wzmacniającej pozytywny klimat szkoły oraz poczucie bezpieczeństwa"(15 nauczycieli, 4h)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Szkolenie obejmuje zakres tematyczny związany ze wsparciem uczniów w zakresie ochrony i wzmocnienia zdrowia psychicznego (problemy psychologiczne, emocjonalne i wychowawcze).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Zakres treści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Sposoby diagnozowania zróżnicowanych potrzeb rozwojowych i edukacyjnych uczniów,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szczególnie w sytuacji kryzysowej.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Wsparcie psychologiczno-pedagogiczne w celu podniesienia jakości edukacji oraz zapewnienia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dodatkowej opieki i pomocy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Językiem szakala czy żyrafy?” – wzmacnianie pozytywnego klimatu szkoły oraz poczucia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bezpieczeństwa uczniów i ich rodziców poprzez porozumiewanie bez przemocy.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Przewidywane efekty szkolenia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Uczestnicy: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udoskonalą umiejętność diagnozowania zróżnicowanych potrzeb rozwojowych i edukacyjnych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wszystkich uczniów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udoskonalą kompetencje psychologiczno-pedagogiczne konieczne do bieżącej pracy z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dzieckiem/uczniem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poznają strategie komunikacyjne wykorzystywane w koncepcji porozumiewania bez przemocy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między nauczycielem, uczniem i rodzicem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ListParagraph"/>
        <w:numPr>
          <w:ilvl w:val="5"/>
          <w:numId w:val="1"/>
        </w:numPr>
        <w:tabs>
          <w:tab w:val="clear" w:pos="720"/>
        </w:tabs>
        <w:spacing w:lineRule="auto" w:line="360"/>
        <w:ind w:left="284" w:hanging="360"/>
        <w:rPr>
          <w:u w:val="single"/>
          <w:lang w:val="pl-PL"/>
        </w:rPr>
      </w:pPr>
      <w:r>
        <w:rPr>
          <w:u w:val="single"/>
          <w:lang w:val="pl-PL"/>
        </w:rPr>
        <w:t>Szkolenie "Jak kształtować u uczniów postawę odpowiedzialności za środowisko naturalne?"(15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u w:val="single"/>
          <w:lang w:val="pl-PL"/>
        </w:rPr>
      </w:pPr>
      <w:r>
        <w:rPr>
          <w:u w:val="single"/>
          <w:lang w:val="pl-PL"/>
        </w:rPr>
        <w:t>nauczycieli, 4h)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Szkolenie obejmuje zakres tematyczny związany z kształtowaniem u uczniów postaw odpowiedzialności za środowisko naturalne.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Zakres treści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Treści edukacji ekologicznej w podstawie programowej – możliwości działań międzyprzedmiotowych.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Przyczyny i konsekwencje zagrożeń bioróżnorodności na poziomie lokalnym i globalnym.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Idea i założenia zrównoważonego rozwoju w życiu codziennym.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Międzynarodowe programy na rzecz przywracania ekosystemów inspiracją dla działań lokalnych.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Sposoby kształtowania postaw prośrodowiskowych dzieci i młodzieży – propozycje rozwiązań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metodycznych.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Przykłady dobrych praktyk.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Przewidywane efekty szkolenia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Uczestnicy: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przeanalizują podstawę programową pod kątem możliwości realizacji treści edukacji ekologicznej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międzyprzedmiotowo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określą przyczyny i konsekwencje zagrożeń bioróżnorodności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zaproponują sposoby propagowania idei zrównoważonego rozwoju poprzez różne formy pracy z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uczniami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przeanalizują założenia międzynarodowych programów na rzecz przywracania ekosystemów pod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kątem możliwości działań lokalnych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wymienią się doświadczeniami w celu uatrakcyjnienia zajęć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ListParagraph"/>
        <w:numPr>
          <w:ilvl w:val="5"/>
          <w:numId w:val="1"/>
        </w:numPr>
        <w:tabs>
          <w:tab w:val="clear" w:pos="720"/>
        </w:tabs>
        <w:spacing w:lineRule="auto" w:line="360"/>
        <w:ind w:left="284" w:hanging="360"/>
        <w:rPr>
          <w:u w:val="single"/>
          <w:lang w:val="pl-PL"/>
        </w:rPr>
      </w:pPr>
      <w:r>
        <w:rPr>
          <w:u w:val="single"/>
          <w:lang w:val="pl-PL"/>
        </w:rPr>
        <w:t>Szkolenie "Uczeń trudny. Jak go motywować do nauki?" (15 nauczycieli, 4h)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Szkolenie obejmuje zakres tematyczny związany z motywowaniem ucznia trudnego do nauki.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Zakres treści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Motywacja – podstawowe ustalenia.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Magiczne pytania pana M. Pantalona.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Skala, jako technika pracy nad zmianą.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Wyuczona bezradność w szkolnej ławce.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Mieszanka motywacyjna – garść wskazówek, ciekawostek i porad.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Motywowanie, a temperament.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Dlaczego dzieci mają trudności w nauce – sześć ważnych powodów. Motywatory S. Reissa.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Przewidywane efekty szkolenia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Uczestnicy: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usystematyzują i poszerzą wiedzę na temat procesu motywacji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zapoznają się z technikami motywacyjnymi opartymi na przedstawionych koncepcjach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dotyczących motywacji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poznają zależności występujące między typem temperamentalnym, a sposobem skutecznego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motywowania do zmiany postawy wobec nauki.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ListParagraph"/>
        <w:numPr>
          <w:ilvl w:val="5"/>
          <w:numId w:val="1"/>
        </w:numPr>
        <w:tabs>
          <w:tab w:val="clear" w:pos="720"/>
        </w:tabs>
        <w:spacing w:lineRule="auto" w:line="360"/>
        <w:ind w:left="142" w:hanging="360"/>
        <w:rPr>
          <w:u w:val="single"/>
          <w:lang w:val="pl-PL"/>
        </w:rPr>
      </w:pPr>
      <w:r>
        <w:rPr>
          <w:u w:val="single"/>
          <w:lang w:val="pl-PL"/>
        </w:rPr>
        <w:t>Szkolenie "Nauczyciele, rodzice, uczniowie. Relacje, komunikacja, bycie razem" (15 nauczycieli, 4h)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Szkolenie obejmuje zakres tematyczny związany z kształtowaniem komunikacji i relacji na płaszczyźnie nauczyciel – rodzic – uczeń.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Zakres treści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Komunikacja interpersonalna.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Współpraca – w jedności siła.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Różnice temperamentalne, a porozumienie się.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Kodeks etyki nauczycielskiej.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Dobre (i sprawdzone) rady.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Kilka słów na temat trudnych zachowań.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Autorytet nauczyciela.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Kilka wskazówek dla nauczycieli.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Dobre praktyki – przykłady.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Przewidywane efekty szkolenia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Uczestnicy: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usystematyzują wiedzę na temat komunikacji interpersonalnej i jej przełożenia na praktykę szkolną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- pogłębią wiedzę z zakresu procesów, zjawisk i problemów rzutujących na współpracę i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funkcjonowanie wszystkich „stanów” szkolnych.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highlight w:val="yellow"/>
          <w:lang w:val="pl-PL"/>
        </w:rPr>
        <w:t>Miejsce realizacji szkoleń: Lublin, ewentualnie szkolenie on-line.</w:t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tabs>
          <w:tab w:val="clear" w:pos="720"/>
          <w:tab w:val="left" w:pos="5910" w:leader="none"/>
        </w:tabs>
        <w:spacing w:lineRule="auto" w:line="360"/>
        <w:rPr>
          <w:lang w:val="pl-PL"/>
        </w:rPr>
      </w:pPr>
      <w:r>
        <w:rPr>
          <w:lang w:val="pl-PL"/>
        </w:rPr>
        <w:t>Szczegółowy harmonogram realizacji zajęć zostanie ustalony z Wykonawcą na etapie podpisywania umowy i będzie uwzględniał możliwości uczniów.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PODZIAŁ ZAMÓWIENIA NA CZĘŚCI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Zamawiający dopuszcza składanie ofert częściowych zgodnie z podziałem określonym w rozdziale III. Zapytania ofertowego.</w:t>
      </w:r>
    </w:p>
    <w:p>
      <w:pPr>
        <w:pStyle w:val="Normal"/>
        <w:widowControl/>
        <w:spacing w:lineRule="auto" w:line="276" w:before="0" w:after="240"/>
        <w:rPr>
          <w:rFonts w:eastAsia="Times New Roman"/>
          <w:lang w:val="pl-PL"/>
        </w:rPr>
      </w:pPr>
      <w:r>
        <w:rPr>
          <w:rFonts w:eastAsia="Times New Roman"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PODWYKONAWSTWO</w:t>
      </w:r>
    </w:p>
    <w:p>
      <w:pPr>
        <w:pStyle w:val="ListParagraph"/>
        <w:widowControl/>
        <w:numPr>
          <w:ilvl w:val="0"/>
          <w:numId w:val="2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Wykonawca może powierzyć wykonanie części zamówienia podwykonawcy (podwykonawcom).</w:t>
      </w:r>
    </w:p>
    <w:p>
      <w:pPr>
        <w:pStyle w:val="ListParagraph"/>
        <w:widowControl/>
        <w:numPr>
          <w:ilvl w:val="0"/>
          <w:numId w:val="2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Zamawiający nie zastrzega obowiązku osobistego wykonania przez wykonawcę kluczowych części zamówienia.</w:t>
      </w:r>
    </w:p>
    <w:p>
      <w:pPr>
        <w:pStyle w:val="ListParagraph"/>
        <w:widowControl/>
        <w:numPr>
          <w:ilvl w:val="0"/>
          <w:numId w:val="2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TERMIN WYKONANIA ZAMÓWIENIA</w:t>
      </w:r>
    </w:p>
    <w:p>
      <w:pPr>
        <w:pStyle w:val="ListParagraph"/>
        <w:widowControl/>
        <w:numPr>
          <w:ilvl w:val="0"/>
          <w:numId w:val="3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Termin realizacji zamówienia: od podpisania umowy do 28.02.2027 r.</w:t>
      </w:r>
    </w:p>
    <w:p>
      <w:pPr>
        <w:pStyle w:val="ListParagraph"/>
        <w:widowControl/>
        <w:numPr>
          <w:ilvl w:val="0"/>
          <w:numId w:val="3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Szczegółowe zagadnienia dotyczące terminu realizacji zamówienia uregulowane są we wzorze umowy stanowiącym załącznik nr 3 do Zapytania ofertowego.</w:t>
      </w:r>
    </w:p>
    <w:p>
      <w:pPr>
        <w:pStyle w:val="Normal"/>
        <w:widowControl/>
        <w:spacing w:lineRule="auto" w:line="276" w:before="0" w:after="240"/>
        <w:rPr>
          <w:rFonts w:eastAsia="Times New Roman"/>
          <w:lang w:val="pl-PL"/>
        </w:rPr>
      </w:pPr>
      <w:r>
        <w:rPr>
          <w:rFonts w:eastAsia="Times New Roman"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INFORMACJA NA TEMAT ZAKAZU KONFLIKTU INTERESÓW</w:t>
      </w:r>
    </w:p>
    <w:p>
      <w:pPr>
        <w:pStyle w:val="ListParagraph"/>
        <w:tabs>
          <w:tab w:val="clear" w:pos="720"/>
          <w:tab w:val="left" w:pos="687" w:leader="none"/>
        </w:tabs>
        <w:spacing w:lineRule="auto" w:line="276"/>
        <w:ind w:left="227" w:hanging="276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  <w:t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>
      <w:pPr>
        <w:pStyle w:val="ListParagraph"/>
        <w:tabs>
          <w:tab w:val="clear" w:pos="720"/>
          <w:tab w:val="left" w:pos="687" w:leader="none"/>
        </w:tabs>
        <w:spacing w:lineRule="auto" w:line="276"/>
        <w:ind w:left="227" w:hanging="276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</w:r>
    </w:p>
    <w:p>
      <w:pPr>
        <w:pStyle w:val="ListParagraph"/>
        <w:tabs>
          <w:tab w:val="clear" w:pos="720"/>
          <w:tab w:val="left" w:pos="687" w:leader="none"/>
        </w:tabs>
        <w:spacing w:lineRule="auto" w:line="276"/>
        <w:ind w:left="227" w:hanging="276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  <w:t>W celu uniknięcia konfliktu interesów, w przypadku beneficjenta, który nie jest zamawiającym w rozumieniu Pzp, zamówienia nie mogą być udzielane podmiotom powiązanym z nim osobowo lub kapitałowo, z wyłączeniem zamówień sektorowych i zamówień określonych w sekcji 3.2.1 pkt 2 lit. i-k Wytycznych dotyczących kwalifikowalności wydatków na lata 2021-2027.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WARUNKI UDZIAŁU W POSTĘPOWANIU</w:t>
      </w:r>
    </w:p>
    <w:p>
      <w:pPr>
        <w:pStyle w:val="Normal"/>
        <w:widowControl/>
        <w:spacing w:lineRule="auto" w:line="276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1. O udzielenie zamówienia mogą ubiegać się wykonawcy, którzy nie podlegają wykluczeniu (na zasadach określonych w rozdziale IX Zapytania ofertowego) oraz spełniają niżej określone warunki udziału w postępowaniu:</w:t>
      </w:r>
    </w:p>
    <w:p>
      <w:pPr>
        <w:pStyle w:val="Normal"/>
        <w:widowControl/>
        <w:spacing w:lineRule="auto" w:line="276"/>
        <w:ind w:left="567" w:hanging="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1.1. zdolności do występowania w obrocie gospodarczym:</w:t>
      </w:r>
    </w:p>
    <w:p>
      <w:pPr>
        <w:pStyle w:val="Normal"/>
        <w:widowControl/>
        <w:spacing w:lineRule="auto" w:line="276"/>
        <w:ind w:left="567" w:hanging="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Zamawiający </w:t>
      </w:r>
      <w:r>
        <w:rPr>
          <w:rFonts w:eastAsia="Times New Roman"/>
          <w:b/>
          <w:bCs/>
          <w:lang w:val="pl-PL"/>
        </w:rPr>
        <w:t>nie stawia</w:t>
      </w:r>
      <w:r>
        <w:rPr>
          <w:rFonts w:eastAsia="Times New Roman"/>
          <w:lang w:val="pl-PL"/>
        </w:rPr>
        <w:t xml:space="preserve"> warunku w powyższym zakresie.</w:t>
      </w:r>
    </w:p>
    <w:p>
      <w:pPr>
        <w:pStyle w:val="Normal"/>
        <w:widowControl/>
        <w:spacing w:lineRule="auto" w:line="276"/>
        <w:ind w:left="567" w:hanging="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1.2. uprawnień do prowadzenia określonej działalności gospodarczej lub zawodowej, o ile wynika to z odrębnych przepisów:</w:t>
      </w:r>
    </w:p>
    <w:p>
      <w:pPr>
        <w:pStyle w:val="Normal"/>
        <w:widowControl/>
        <w:spacing w:lineRule="auto" w:line="276"/>
        <w:ind w:left="567" w:hanging="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Zamawiający </w:t>
      </w:r>
      <w:r>
        <w:rPr>
          <w:rFonts w:eastAsia="Times New Roman"/>
          <w:b/>
          <w:bCs/>
          <w:lang w:val="pl-PL"/>
        </w:rPr>
        <w:t>nie stawia</w:t>
      </w:r>
      <w:r>
        <w:rPr>
          <w:rFonts w:eastAsia="Times New Roman"/>
          <w:lang w:val="pl-PL"/>
        </w:rPr>
        <w:t xml:space="preserve"> warunku w powyższym zakresie.</w:t>
      </w:r>
    </w:p>
    <w:p>
      <w:pPr>
        <w:pStyle w:val="Normal"/>
        <w:widowControl/>
        <w:spacing w:lineRule="auto" w:line="276"/>
        <w:ind w:left="567" w:hanging="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1.3. sytuacji ekonomicznej lub finansowej:</w:t>
      </w:r>
    </w:p>
    <w:p>
      <w:pPr>
        <w:pStyle w:val="Normal"/>
        <w:widowControl/>
        <w:spacing w:lineRule="auto" w:line="276"/>
        <w:ind w:left="567" w:hanging="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Zamawiający </w:t>
      </w:r>
      <w:r>
        <w:rPr>
          <w:rFonts w:eastAsia="Times New Roman"/>
          <w:b/>
          <w:bCs/>
          <w:lang w:val="pl-PL"/>
        </w:rPr>
        <w:t>nie stawia</w:t>
      </w:r>
      <w:r>
        <w:rPr>
          <w:rFonts w:eastAsia="Times New Roman"/>
          <w:lang w:val="pl-PL"/>
        </w:rPr>
        <w:t xml:space="preserve"> warunku w powyższym zakresie.</w:t>
      </w:r>
    </w:p>
    <w:p>
      <w:pPr>
        <w:pStyle w:val="Normal"/>
        <w:widowControl/>
        <w:spacing w:lineRule="auto" w:line="276"/>
        <w:ind w:left="567" w:hanging="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1.4. zdolności technicznej lub zawodowej:</w:t>
      </w:r>
    </w:p>
    <w:p>
      <w:pPr>
        <w:pStyle w:val="Normal"/>
        <w:widowControl/>
        <w:spacing w:lineRule="auto" w:line="276"/>
        <w:ind w:left="567" w:hanging="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Zamawiający </w:t>
      </w:r>
      <w:r>
        <w:rPr>
          <w:rFonts w:eastAsia="Times New Roman"/>
          <w:b/>
          <w:bCs/>
          <w:lang w:val="pl-PL"/>
        </w:rPr>
        <w:t>nie stawia</w:t>
      </w:r>
      <w:r>
        <w:rPr>
          <w:rFonts w:eastAsia="Times New Roman"/>
          <w:lang w:val="pl-PL"/>
        </w:rPr>
        <w:t xml:space="preserve"> warunku w powyższym zakresie.</w:t>
      </w:r>
    </w:p>
    <w:p>
      <w:pPr>
        <w:pStyle w:val="Normal"/>
        <w:widowControl/>
        <w:spacing w:lineRule="auto" w:line="276" w:before="0" w:after="240"/>
        <w:ind w:left="567" w:hanging="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PODSTAWY WYKLUCZENIA Z POSTĘPOWANIA</w:t>
      </w:r>
    </w:p>
    <w:p>
      <w:pPr>
        <w:pStyle w:val="Normal"/>
        <w:spacing w:lineRule="auto" w:line="276"/>
        <w:jc w:val="both"/>
        <w:rPr>
          <w:rFonts w:eastAsia="Times New Roman"/>
          <w:lang w:val="pl-PL"/>
        </w:rPr>
      </w:pPr>
      <w:r>
        <w:rPr>
          <w:lang w:val="pl-PL"/>
        </w:rPr>
        <w:t>Zgodnie z art. 7 ust. 1 ustawy z dnia z dnia 13 kwietnia 2022 r. o szczególnych rozwiązaniach w zakresie przeciwdziałania wspieraniu agresji na Ukrainę oraz służących ochronie bezpieczeństwa narodowego, z postępowania o udzielenie zamówienia publicznego wyklucza się:</w:t>
      </w:r>
    </w:p>
    <w:p>
      <w:pPr>
        <w:pStyle w:val="ListParagraph"/>
        <w:widowControl/>
        <w:numPr>
          <w:ilvl w:val="0"/>
          <w:numId w:val="16"/>
        </w:numPr>
        <w:spacing w:lineRule="auto" w:line="276" w:before="0" w:after="0"/>
        <w:ind w:left="709" w:hanging="283"/>
        <w:contextualSpacing/>
        <w:jc w:val="both"/>
        <w:rPr>
          <w:lang w:val="pl-PL"/>
        </w:rPr>
      </w:pPr>
      <w:r>
        <w:rPr>
          <w:lang w:val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>
      <w:pPr>
        <w:pStyle w:val="ListParagraph"/>
        <w:widowControl/>
        <w:numPr>
          <w:ilvl w:val="0"/>
          <w:numId w:val="17"/>
        </w:numPr>
        <w:spacing w:lineRule="auto" w:line="276" w:before="0" w:after="0"/>
        <w:ind w:left="709" w:hanging="283"/>
        <w:contextualSpacing/>
        <w:jc w:val="both"/>
        <w:rPr>
          <w:lang w:val="pl-PL"/>
        </w:rPr>
      </w:pPr>
      <w:r>
        <w:rPr>
          <w:lang w:val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>
      <w:pPr>
        <w:pStyle w:val="ListParagraph"/>
        <w:widowControl/>
        <w:numPr>
          <w:ilvl w:val="0"/>
          <w:numId w:val="18"/>
        </w:numPr>
        <w:spacing w:lineRule="auto" w:line="276" w:before="0" w:after="120"/>
        <w:ind w:left="709" w:hanging="284"/>
        <w:contextualSpacing/>
        <w:jc w:val="both"/>
        <w:rPr>
          <w:lang w:val="pl-PL"/>
        </w:rPr>
      </w:pPr>
      <w:r>
        <w:rPr>
          <w:lang w:val="pl-PL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>
      <w:pPr>
        <w:pStyle w:val="Normal"/>
        <w:spacing w:lineRule="auto" w:line="276"/>
        <w:ind w:left="454" w:hanging="0"/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UWAGA: </w:t>
      </w:r>
      <w:r>
        <w:rPr>
          <w:lang w:val="pl-PL"/>
        </w:rPr>
        <w:t xml:space="preserve">Osoba lub podmiot podlegające wykluczeniu </w:t>
      </w:r>
      <w:r>
        <w:rPr>
          <w:i/>
          <w:iCs/>
          <w:lang w:val="pl-PL"/>
        </w:rPr>
        <w:t>na</w:t>
      </w:r>
      <w:r>
        <w:rPr>
          <w:lang w:val="pl-PL"/>
        </w:rPr>
        <w:t xml:space="preserve"> podstawie art. 7 ust. 1 ustawy z dnia z dnia 13 kwietnia 2022 r. o szczególnych rozwiązaniach w zakresie przeciwdziałania wspieraniu agresji na Ukrainę oraz służących ochronie bezpieczeństwa narodowego,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powyżej, nakłada Prezes Urzędu Zamówień Publicznych, w drodze decyzji, w wysokości do 20 000 000,00 zł.</w:t>
      </w:r>
    </w:p>
    <w:p>
      <w:pPr>
        <w:pStyle w:val="Normal"/>
        <w:widowControl/>
        <w:spacing w:lineRule="auto" w:line="276" w:before="0" w:after="240"/>
        <w:ind w:left="567" w:hanging="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OŚWIADCZENIA I DOKUMENTY, JAKIE ZOBOWIĄZANI SĄ DOSTARCZYĆ WYKONAWCY</w:t>
      </w:r>
    </w:p>
    <w:p>
      <w:pPr>
        <w:pStyle w:val="Normal"/>
        <w:widowControl/>
        <w:spacing w:lineRule="auto" w:line="276" w:before="0" w:after="240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1. Wykaz dokumentów składających się na ofertę:</w:t>
      </w:r>
    </w:p>
    <w:p>
      <w:pPr>
        <w:pStyle w:val="Normal"/>
        <w:widowControl/>
        <w:spacing w:lineRule="auto" w:line="276" w:before="0" w:after="240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1) </w:t>
      </w:r>
      <w:r>
        <w:rPr>
          <w:rFonts w:eastAsia="Times New Roman"/>
          <w:b/>
          <w:bCs/>
          <w:lang w:val="pl-PL"/>
        </w:rPr>
        <w:t>formularz ofertowy</w:t>
      </w:r>
      <w:r>
        <w:rPr>
          <w:rFonts w:eastAsia="Times New Roman"/>
          <w:lang w:val="pl-PL"/>
        </w:rPr>
        <w:t xml:space="preserve"> - według wzoru stanowiącego załącznik nr 1 do Zapytania ofertowego,</w:t>
      </w:r>
    </w:p>
    <w:p>
      <w:pPr>
        <w:pStyle w:val="Normal"/>
        <w:widowControl/>
        <w:spacing w:lineRule="auto" w:line="276" w:before="0" w:after="240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2) aktualne na dzień składania ofert </w:t>
      </w:r>
      <w:r>
        <w:rPr>
          <w:rFonts w:eastAsia="Times New Roman"/>
          <w:b/>
          <w:bCs/>
          <w:lang w:val="pl-PL"/>
        </w:rPr>
        <w:t>oświadczenie o braku istnienia podstaw do wykluczenia z postępowania</w:t>
      </w:r>
      <w:r>
        <w:rPr>
          <w:rFonts w:eastAsia="Times New Roman"/>
          <w:lang w:val="pl-PL"/>
        </w:rPr>
        <w:t xml:space="preserve"> - załącznik nr 2 do Zapytania ofertowego.</w:t>
      </w:r>
    </w:p>
    <w:p>
      <w:pPr>
        <w:pStyle w:val="Normal"/>
        <w:widowControl/>
        <w:spacing w:lineRule="auto" w:line="276" w:before="0" w:after="240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2. Dodatkowo do oferty należy dołączyć:</w:t>
      </w:r>
    </w:p>
    <w:p>
      <w:pPr>
        <w:pStyle w:val="Normal"/>
        <w:widowControl/>
        <w:spacing w:lineRule="auto" w:line="276" w:before="0" w:after="240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1) dokumenty, z których wynika prawo do podpisania oferty lub odpowiednie </w:t>
      </w:r>
      <w:r>
        <w:rPr>
          <w:rFonts w:eastAsia="Times New Roman"/>
          <w:b/>
          <w:bCs/>
          <w:lang w:val="pl-PL"/>
        </w:rPr>
        <w:t>pełnomocnictwo</w:t>
      </w:r>
      <w:r>
        <w:rPr>
          <w:rFonts w:eastAsia="Times New Roman"/>
          <w:lang w:val="pl-PL"/>
        </w:rPr>
        <w:t xml:space="preserve"> upoważniające do złożenia oferty, o ile ofertę podpisuje pełnomocnik (jeśli dotyczy).</w:t>
      </w:r>
    </w:p>
    <w:p>
      <w:pPr>
        <w:pStyle w:val="Normal"/>
        <w:widowControl/>
        <w:spacing w:lineRule="auto" w:line="276" w:before="0" w:after="240"/>
        <w:jc w:val="both"/>
        <w:rPr>
          <w:lang w:val="pl-PL"/>
        </w:rPr>
      </w:pPr>
      <w:r>
        <w:rPr>
          <w:lang w:val="pl-PL"/>
        </w:rPr>
        <w:t>3. Zamawiający zastrzega sobie prawo do wezwania Wykonawcy do złożenia wyjaśnień / uzupełnienia dokumentów w przypadku, gdy oferta zawiera błędy / niejasności / jest niekompletna. Powyższe należy jednak traktować jako uprawnienie a nie obowiązek Zamawiającego.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INFORMACJA DLA WYKONAWCÓW WSPÓLNIE UBIEGAJĄCYCH SIĘ O UDZIELENIE ZAMÓWIENIA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lang w:val="pl-PL"/>
        </w:rPr>
        <w:t>Wykonawcy mogą wspólnie ubiegać się o udzielenie zamówienia. W takim przypadku wykonawcy ustanawiają pełnomocnika do reprezentowania ich w postępowaniu albo do reprezentowania i zawarcia umowy w sprawie zamówienia publicznego. Pełnomocnictwo winno być załączone do oferty.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OBOWIĄZEK BADANIA RAŻĄCO NISKIEJ CENY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SPOSÓB KOMUNIKACJI W POSTĘPOWANIU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</w:t>
      </w:r>
      <w:r>
        <w:rPr>
          <w:rStyle w:val="Zakotwiczenieprzypisudolnego"/>
          <w:rFonts w:eastAsia="Times New Roman"/>
          <w:lang w:val="pl-PL"/>
        </w:rPr>
        <w:footnoteReference w:id="2"/>
      </w:r>
      <w:r>
        <w:rPr>
          <w:rFonts w:eastAsia="Times New Roman"/>
          <w:lang w:val="pl-PL"/>
        </w:rPr>
        <w:t>.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>Powyższe oznacza, że Wykonawcy zobowiązani są do składania ofert oraz zadawania pytań dotyczących treści niniejszego zapytania jedynie za pomocą BK2021, nie dopuszcza się formy e-mail.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Szczegółowa instrukcja korzystania z BK2021 dla oferentów znajduje się pod adresem: </w:t>
      </w:r>
      <w:hyperlink r:id="rId3">
        <w:r>
          <w:rPr>
            <w:rStyle w:val="Czeinternetowe"/>
            <w:rFonts w:eastAsia="Times New Roman"/>
            <w:lang w:val="pl-PL"/>
          </w:rPr>
          <w:t>https://archiwum-bazakonkurencyjnosci.funduszeeuropejskie.gov.pl/info/web_instruction</w:t>
        </w:r>
      </w:hyperlink>
      <w:r>
        <w:rPr>
          <w:rFonts w:eastAsia="Times New Roman"/>
          <w:lang w:val="pl-PL"/>
        </w:rPr>
        <w:t xml:space="preserve">. </w:t>
      </w:r>
    </w:p>
    <w:p>
      <w:pPr>
        <w:pStyle w:val="Normal"/>
        <w:widowControl/>
        <w:spacing w:lineRule="auto" w:line="276" w:before="0" w:after="240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Wsparcie techniczne BK2021: </w:t>
      </w:r>
      <w:hyperlink r:id="rId4">
        <w:r>
          <w:rPr>
            <w:rStyle w:val="Czeinternetowe"/>
            <w:rFonts w:eastAsia="Times New Roman"/>
            <w:lang w:val="pl-PL"/>
          </w:rPr>
          <w:t>konkurencyjnosc@mfipr.gov.pl</w:t>
        </w:r>
      </w:hyperlink>
      <w:r>
        <w:rPr>
          <w:rFonts w:eastAsia="Times New Roman"/>
          <w:lang w:val="pl-PL"/>
        </w:rPr>
        <w:t>.</w:t>
      </w:r>
    </w:p>
    <w:p>
      <w:pPr>
        <w:pStyle w:val="Normal"/>
        <w:widowControl/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UWAGA: Zgodnie z informacją zamieszczoną w sekcji pytań i odpowiedzi w BK2021 „Baza nie powiadamia ogłoszeniodawcy o wpłynięciu pytania do prowadzonego postępowania”. Ponadto „zgodnie z technicznymi uwarunkowaniami BK2021, informujemy że: Komunikacja poprzez BK ma miejsce od publikacji ogłoszenia do upływu terminu składania ofert. „Oświadczenia” lub „dokumenty”, o których mowa w wytycznych dotyczą etapu składania ofert (funkcjonalność BK pozwala załączyć „dokumenty” lub „oświadczenia” do oferty) i ewentualnego wyjaśniania treści ogłoszenia, nie dotyczą zaś wyjaśniania treści ofert (lub potwierdzania warunków udziału w postępowaniu). Po upłynięciu terminu składania ofert, komunikacja przez BK nie jest wymagana, można zatem kontaktować się z wykonawcami np. za pomocą danych kontaktowych dostępnych w sekcji „Osoby do kontaktu” w ogłoszeniu”.</w:t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OPIS SPOSOBU PRZYGOTOWANIA OFERT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Wykonawca może złożyć tylko jedną ofertę. W przypadku dopuszczenia przez Zamawiającego złożenia oferty częściowej niniejszy wymóg należy rozumieć jako złożenie jednej oferty w danej części zamówienia. Złożenie większej ilości ofert spowoduje odrzucenie wszystkich ofert złożonych przez danego wykonawcę. Oferta może być złożona tylko do upływu terminu składania ofert.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Oferta musi być sporządzona w języku polskim, w formie elektronicznej lub postaci elektronicznej opatrzonej podpisem zaufanym lub podpisem osobistym, przy wykorzystaniu ogólnie dostępnych formatów danych, w szczególności w formacie danych: pdf, .doc, .docx, .xlsx, .xml, .rtf, .xps, .odt.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240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lang w:val="pl-PL"/>
        </w:rPr>
        <w:t xml:space="preserve">Składanie ofert odbywa się pisemnie za pomocą BK2021. </w:t>
      </w:r>
      <w:r>
        <w:rPr>
          <w:rFonts w:eastAsia="Times New Roman"/>
          <w:b/>
          <w:bCs/>
          <w:lang w:val="pl-PL"/>
        </w:rPr>
        <w:t>Powyższe oznacza, że Wykonawcy zobowiązani są do składania ofert jedynie za pomocą BK2021, nie dopuszcza się formy e-mail.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24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Zamawiający dopuszcza również złożenie oferty w formie tzw. „skanu”, tj. sporządzonej papierowo i podpisanej odręcznie przez osobę umocowaną do tej czynności a następnie zeskanowanej.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SPOSÓB OBLICZANIA CENY OFERTY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Wykonawca podaje cenę za realizację przedmiotu zamówienia zgodnie ze wzorem Formularza Ofertowego, stanowiącego Załącznik nr 1 do Zapytania ofertowego.</w:t>
      </w:r>
      <w:r>
        <w:rPr>
          <w:b/>
          <w:bCs/>
          <w:lang w:val="pl-PL"/>
        </w:rPr>
        <w:t xml:space="preserve"> 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Cena ma charakter wynagrodzenia ryczałtowego i nie podlega zmianie.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Cena oferty powinna być wyrażona w złotych polskich (PLN) z dokładnością do dwóch miejsc po przecinku (przy czym Zamawiający przyjmuje arytmetyczny sposób zaokrąglania cen) oraz z uwzględnieniem obowiązującego podatku od towarów i usług VAT.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 xml:space="preserve">Cena ofertowa/ceny jednostkowe muszą obejmować wszystkie koszty związane </w:t>
        <w:br/>
        <w:t>z realizacją przedmiotu zamówienia, wszystkie inne koszty oraz ewentualne upusty i rabaty a także wszystkie potencjalne ryzyka ekonomiczne, jakie mogą wystąpić przy realizacji przedmiotu umowy, wynikające z okoliczności, których nie można było przewidzieć w chwili zawierania umowy.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Wykonawcy ponoszą wszelkie koszty związane z przygotowaniem i złożeniem oferty.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Prawidłowe ustalenie stawki podatku VAT leży po stronie Wykonawcy. Należy przyjąć obowiązującą stawkę podatku VAT zgodnie z ustawą z dnia 11 marca 2004 r. o podatku od towarów i usług (t.j. Dz. U. z 2022 r. poz. 931 z późn. zm.).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 xml:space="preserve">Rozliczenia między Zamawiającym a wykonawcą prowadzone będą w walucie polskiej (złoty polski). Zamawiający nie przewiduje rozliczenia w walutach obcych. 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Wskazana cena oferty brutto służyć będzie do porównania złożonych ofert.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Jeżeli została złożona oferta, której wybór prowadziłby do powstania u Zamawiającego obowiązku podatkowego zgodnie z ustawą z dnia 11 marca 2004 r. o podatku od towarów i usług</w:t>
      </w:r>
      <w:r>
        <w:rPr>
          <w:color w:val="FF0000"/>
          <w:lang w:val="pl-PL"/>
        </w:rPr>
        <w:t xml:space="preserve"> </w:t>
      </w:r>
      <w:r>
        <w:rPr>
          <w:lang w:val="pl-PL"/>
        </w:rPr>
        <w:t xml:space="preserve">dla celów zastosowania kryterium ceny lub kosztu Zamawiający dolicza do przedstawionej w tej ofercie ceny kwotę podatku od towarów i usług, którą miałby obowiązek rozliczyć. </w:t>
      </w:r>
      <w:r>
        <w:rPr>
          <w:b/>
          <w:bCs/>
          <w:u w:val="single"/>
          <w:lang w:val="pl-PL"/>
        </w:rPr>
        <w:t>W takim wypadku, wykonawca składając ofertę ma obowiązek:</w:t>
      </w:r>
    </w:p>
    <w:p>
      <w:pPr>
        <w:pStyle w:val="ListParagraph"/>
        <w:widowControl/>
        <w:numPr>
          <w:ilvl w:val="0"/>
          <w:numId w:val="7"/>
        </w:numPr>
        <w:spacing w:lineRule="auto" w:line="276"/>
        <w:ind w:left="851" w:hanging="360"/>
        <w:jc w:val="both"/>
        <w:rPr>
          <w:b/>
          <w:bCs/>
          <w:lang w:val="pl-PL"/>
        </w:rPr>
      </w:pPr>
      <w:r>
        <w:rPr>
          <w:lang w:val="pl-PL"/>
        </w:rPr>
        <w:t>poinformowania Zamawiającego, że wybór jego oferty będzie prowadził do powstania u Zamawiającego obowiązku podatkowego;</w:t>
      </w:r>
    </w:p>
    <w:p>
      <w:pPr>
        <w:pStyle w:val="ListParagraph"/>
        <w:widowControl/>
        <w:numPr>
          <w:ilvl w:val="0"/>
          <w:numId w:val="7"/>
        </w:numPr>
        <w:spacing w:lineRule="auto" w:line="276"/>
        <w:ind w:left="851" w:hanging="360"/>
        <w:jc w:val="both"/>
        <w:rPr>
          <w:b/>
          <w:bCs/>
          <w:lang w:val="pl-PL"/>
        </w:rPr>
      </w:pPr>
      <w:r>
        <w:rPr>
          <w:lang w:val="pl-PL"/>
        </w:rPr>
        <w:t>wskazania nazwy (rodzaju) towaru lub usługi, których dostawa lub świadczenie będą prowadziły do powstania obowiązku podatkowego;</w:t>
      </w:r>
    </w:p>
    <w:p>
      <w:pPr>
        <w:pStyle w:val="ListParagraph"/>
        <w:widowControl/>
        <w:numPr>
          <w:ilvl w:val="0"/>
          <w:numId w:val="7"/>
        </w:numPr>
        <w:spacing w:lineRule="auto" w:line="276"/>
        <w:ind w:left="851" w:hanging="360"/>
        <w:jc w:val="both"/>
        <w:rPr>
          <w:b/>
          <w:bCs/>
          <w:lang w:val="pl-PL"/>
        </w:rPr>
      </w:pPr>
      <w:r>
        <w:rPr>
          <w:lang w:val="pl-PL"/>
        </w:rPr>
        <w:t>wskazania wartości towaru lub usługi objętego obowiązkiem podatkowym Zamawiającego, bez kwoty podatku;</w:t>
      </w:r>
    </w:p>
    <w:p>
      <w:pPr>
        <w:pStyle w:val="ListParagraph"/>
        <w:widowControl/>
        <w:numPr>
          <w:ilvl w:val="0"/>
          <w:numId w:val="7"/>
        </w:numPr>
        <w:spacing w:lineRule="auto" w:line="276"/>
        <w:ind w:left="851" w:hanging="360"/>
        <w:jc w:val="both"/>
        <w:rPr>
          <w:b/>
          <w:bCs/>
          <w:lang w:val="pl-PL"/>
        </w:rPr>
      </w:pPr>
      <w:r>
        <w:rPr>
          <w:lang w:val="pl-PL"/>
        </w:rPr>
        <w:t>wskazania stawki podatku od towarów i usług, która zgodnie z wiedzą wykonawcy, będzie miała zastosowanie.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SPOSÓB I TERMIN SKŁADANIA OFERT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1. Ofertę wraz z załącznikami należy przygotować i złożyć zgodnie z wytycznymi opisanymi w rozdziale XIV Zapytania ofertowego za pomocą BK2021. Zamawiający nie dopuszcza formy e-mail.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Ofertę należy złożyć w nieprzekraczalnym terminie do dnia </w:t>
      </w:r>
      <w:r>
        <w:rPr>
          <w:b/>
          <w:bCs/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listopada 2024 r. godz. 15:00.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4. O terminie złożenia oferty decyduje data oraz dokładny czas przekazania oferty za pomocą BK 2021.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Oferent ma możliwość wycofania oferty. Możliwość wycofania ofert istnieje do momentu upłynięcia terminu składania ofert. 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OPIS KRYTERIÓW OCENY OFERT, WRAZ Z PODANIEM WAG TYCH KRYTERIÓW I SPOSOBU OCENY OFERT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Przy wyborze najkorzystniejszej oferty Zamawiający będzie się kierował następującymi kryteriami oceny ofert:</w:t>
      </w:r>
    </w:p>
    <w:p>
      <w:pPr>
        <w:pStyle w:val="Normal"/>
        <w:spacing w:lineRule="auto" w:line="276"/>
        <w:ind w:left="426" w:hanging="0"/>
        <w:jc w:val="both"/>
        <w:rPr>
          <w:b/>
          <w:bCs/>
          <w:lang w:val="pl-PL"/>
        </w:rPr>
      </w:pPr>
      <w:r>
        <w:rPr>
          <w:b/>
          <w:bCs/>
          <w:lang w:val="pl-PL"/>
        </w:rPr>
        <w:t>Kryterium 1: Cena – waga kryterium 90%</w:t>
      </w:r>
    </w:p>
    <w:p>
      <w:pPr>
        <w:pStyle w:val="Normal"/>
        <w:spacing w:lineRule="auto" w:line="276"/>
        <w:ind w:left="426" w:hanging="0"/>
        <w:jc w:val="both"/>
        <w:rPr>
          <w:b/>
          <w:bCs/>
          <w:lang w:val="pl-PL"/>
        </w:rPr>
      </w:pPr>
      <w:r>
        <w:rPr>
          <w:b/>
          <w:bCs/>
          <w:lang w:val="pl-PL"/>
        </w:rPr>
        <w:t>Kryterium 3: Zatrudnienie osoby bezrobotnej – waga kryterium 10%</w:t>
      </w:r>
    </w:p>
    <w:p>
      <w:pPr>
        <w:pStyle w:val="Normal"/>
        <w:spacing w:lineRule="auto" w:line="276"/>
        <w:ind w:left="426" w:hanging="0"/>
        <w:jc w:val="both"/>
        <w:rPr>
          <w:b/>
          <w:bCs/>
          <w:lang w:val="pl-PL"/>
        </w:rPr>
      </w:pPr>
      <w:r>
        <w:rPr>
          <w:lang w:val="pl-PL"/>
        </w:rPr>
        <w:t>Zamawiający dokona oceny ofert przyznając punkty w ramach powyższych kryteriów oceny ofert przyjmując zasadę, że 1% = 1 punkt.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Zasady oceny ofert w poszczególnych kryteriach:</w:t>
      </w:r>
    </w:p>
    <w:p>
      <w:pPr>
        <w:pStyle w:val="ListParagraph"/>
        <w:widowControl/>
        <w:numPr>
          <w:ilvl w:val="3"/>
          <w:numId w:val="1"/>
        </w:numPr>
        <w:spacing w:lineRule="auto" w:line="276"/>
        <w:ind w:left="1134" w:hanging="454"/>
        <w:jc w:val="both"/>
        <w:rPr>
          <w:b/>
          <w:bCs/>
          <w:lang w:val="pl-PL"/>
        </w:rPr>
      </w:pPr>
      <w:r>
        <w:rPr>
          <w:lang w:val="pl-PL"/>
        </w:rPr>
        <w:t>Kryterium „</w:t>
      </w:r>
      <w:r>
        <w:rPr>
          <w:b/>
          <w:bCs/>
          <w:lang w:val="pl-PL"/>
        </w:rPr>
        <w:t>Cena</w:t>
      </w:r>
      <w:r>
        <w:rPr>
          <w:lang w:val="pl-PL"/>
        </w:rPr>
        <w:t xml:space="preserve">” będzie rozpatrywane na podstawie ceny brutto za wykonanie przedmiotu zamówienia, podanej przez wykonawcę w formularzu ofertowym. Zamawiający ofercie o najniższej cenie przyzna </w:t>
      </w:r>
      <w:r>
        <w:rPr>
          <w:b/>
          <w:bCs/>
          <w:lang w:val="pl-PL"/>
        </w:rPr>
        <w:t>90 punktów</w:t>
      </w:r>
      <w:r>
        <w:rPr>
          <w:lang w:val="pl-PL"/>
        </w:rPr>
        <w:t xml:space="preserve"> (wartość punktowa obliczona z dokładnością do dwóch miejsc po przecinku), a każdej następnej zostanie przyporządkowana liczba punktów proporcjonalnie mniejsza, według wzoru:</w:t>
      </w:r>
    </w:p>
    <w:p>
      <w:pPr>
        <w:pStyle w:val="Normal"/>
        <w:spacing w:lineRule="auto" w:line="276" w:before="0" w:after="120"/>
        <w:ind w:left="680" w:hanging="0"/>
        <w:jc w:val="center"/>
        <w:rPr>
          <w:lang w:val="pl-PL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C</m:t>
          </m:r>
          <m:r>
            <w:rPr>
              <w:rFonts w:ascii="Cambria Math" w:hAnsi="Cambria Math"/>
            </w:rPr>
            <m:t xml:space="preserve">=</m:t>
          </m:r>
          <m:d>
            <m:dPr>
              <m:begChr m:val="("/>
              <m:endChr m:val=")"/>
            </m:dPr>
            <m:e>
              <m:f>
                <m:num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min</m:t>
                      </m:r>
                    </m:sub>
                  </m:sSub>
                </m:num>
                <m:den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bad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 xml:space="preserve">∗</m:t>
          </m:r>
          <m:r>
            <w:rPr>
              <w:rFonts w:ascii="Cambria Math" w:hAnsi="Cambria Math"/>
            </w:rPr>
            <m:t xml:space="preserve">90</m:t>
          </m:r>
          <m:r>
            <w:rPr>
              <w:rFonts w:ascii="Cambria Math" w:hAnsi="Cambria Math"/>
            </w:rPr>
            <m:t xml:space="preserve">pkt</m:t>
          </m:r>
        </m:oMath>
      </m:oMathPara>
    </w:p>
    <w:p>
      <w:pPr>
        <w:pStyle w:val="Normal"/>
        <w:spacing w:lineRule="auto" w:line="276"/>
        <w:ind w:left="709" w:hanging="0"/>
        <w:jc w:val="both"/>
        <w:rPr>
          <w:b/>
          <w:bCs/>
          <w:lang w:val="pl-PL"/>
        </w:rPr>
      </w:pPr>
      <w:r>
        <w:rPr>
          <w:lang w:val="pl-PL"/>
        </w:rPr>
        <w:t>gdzie:</w:t>
      </w:r>
    </w:p>
    <w:p>
      <w:pPr>
        <w:pStyle w:val="Normal"/>
        <w:spacing w:lineRule="auto" w:line="276"/>
        <w:ind w:left="680" w:hanging="0"/>
        <w:rPr>
          <w:b/>
          <w:bCs/>
          <w:lang w:val="pl-PL"/>
        </w:rPr>
      </w:pPr>
      <w:r>
        <w:rPr>
          <w:lang w:val="pl-PL"/>
        </w:rPr>
        <w:t>C – ilość punktów oferty badanej w kryterium cena</w:t>
      </w:r>
    </w:p>
    <w:p>
      <w:pPr>
        <w:pStyle w:val="Normal"/>
        <w:spacing w:lineRule="auto" w:line="276"/>
        <w:ind w:left="680" w:hanging="0"/>
        <w:rPr>
          <w:b/>
          <w:bCs/>
          <w:lang w:val="pl-PL"/>
        </w:rPr>
      </w:pPr>
      <w:r>
        <w:rPr>
          <w:lang w:val="pl-PL"/>
        </w:rPr>
        <w:t>C</w:t>
      </w:r>
      <w:r>
        <w:rPr>
          <w:vertAlign w:val="subscript"/>
          <w:lang w:val="pl-PL"/>
        </w:rPr>
        <w:t>min</w:t>
      </w:r>
      <w:r>
        <w:rPr>
          <w:lang w:val="pl-PL"/>
        </w:rPr>
        <w:t xml:space="preserve"> – najniższa oferowana cena brutto (zł) spośród ofert niepodlegających odrzuceniu</w:t>
      </w:r>
    </w:p>
    <w:p>
      <w:pPr>
        <w:pStyle w:val="Normal"/>
        <w:spacing w:lineRule="auto" w:line="276"/>
        <w:ind w:left="680" w:hanging="0"/>
        <w:rPr>
          <w:b/>
          <w:bCs/>
          <w:lang w:val="pl-PL"/>
        </w:rPr>
      </w:pPr>
      <w:r>
        <w:rPr>
          <w:lang w:val="pl-PL"/>
        </w:rPr>
        <w:t>C</w:t>
      </w:r>
      <w:r>
        <w:rPr>
          <w:vertAlign w:val="subscript"/>
          <w:lang w:val="pl-PL"/>
        </w:rPr>
        <w:t>bad</w:t>
      </w:r>
      <w:r>
        <w:rPr>
          <w:lang w:val="pl-PL"/>
        </w:rPr>
        <w:t xml:space="preserve"> – cena badanej oferty brutto (zł)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ListParagraph"/>
        <w:widowControl/>
        <w:numPr>
          <w:ilvl w:val="3"/>
          <w:numId w:val="1"/>
        </w:numPr>
        <w:spacing w:lineRule="auto" w:line="276"/>
        <w:jc w:val="both"/>
        <w:rPr>
          <w:b/>
          <w:bCs/>
          <w:lang w:val="pl-PL"/>
        </w:rPr>
      </w:pPr>
      <w:r>
        <w:rPr>
          <w:lang w:val="pl-PL"/>
        </w:rPr>
        <w:t>Kryterium „</w:t>
      </w:r>
      <w:r>
        <w:rPr>
          <w:b/>
          <w:bCs/>
          <w:lang w:val="pl-PL"/>
        </w:rPr>
        <w:t>Zatrudnienie osoby bezrobotnej</w:t>
      </w:r>
      <w:r>
        <w:rPr>
          <w:lang w:val="pl-PL"/>
        </w:rPr>
        <w:t>” będzie rozpatrywane na podstawie oświadczenia Wykonawcy zawartego w formularzu oferty, że do realizacji zamówienia skieruje min. 1 osobę bezrobotną w rozumieniu ustawy z dnia 20 kwietnia 2004 roku o promocji zatrudnienia i instytucjach rynku pracy zatrudnioną w wymiarze co najmniej ½ etatu i osoba ta będzie faktycznie realizowała te czynności.</w:t>
      </w:r>
    </w:p>
    <w:p>
      <w:pPr>
        <w:pStyle w:val="ListParagraph"/>
        <w:widowControl/>
        <w:spacing w:lineRule="auto" w:line="276"/>
        <w:ind w:left="907" w:hanging="0"/>
        <w:jc w:val="both"/>
        <w:rPr>
          <w:lang w:val="pl-PL"/>
        </w:rPr>
      </w:pPr>
      <w:r>
        <w:rPr>
          <w:lang w:val="pl-PL"/>
        </w:rPr>
        <w:t>Jeżeli Wykonawca, pomimo dochowania należytej staranności, nie zatrudni osoby bezrobotnej i będzie to potwierdzone odpowiednimi dokumentami z powiatowego urzędu pracy wówczas Zamawiający uzna, że niezatrudnienie osoby bezrobotnej nastąpiło z przyczyn nie leżących po stronie Wykonawcy. Jednakże przez cały okres trwania umowy, nie rzadziej niż jeden raz w miesiącu, Wykonawca ma obowiązek zgłaszać do powiatowego urzędu pracy ofertę pracy i przedkładać dokumenty z tej procedury Zamawiającemu.</w:t>
      </w:r>
    </w:p>
    <w:p>
      <w:pPr>
        <w:pStyle w:val="ListParagraph"/>
        <w:widowControl/>
        <w:spacing w:lineRule="auto" w:line="276"/>
        <w:ind w:left="907" w:hanging="0"/>
        <w:jc w:val="both"/>
        <w:rPr>
          <w:lang w:val="pl-PL"/>
        </w:rPr>
      </w:pPr>
      <w:r>
        <w:rPr>
          <w:lang w:val="pl-PL"/>
        </w:rPr>
        <w:t>Ocena ofert w odniesieniu do podanego powyżej kryterium dokonana zostanie na podstawie oświadczenia Wykonawcy zawartego w formularzu oferty, stanowiącym Załącznik nr 1 do Zapytania ofertowego.</w:t>
      </w:r>
    </w:p>
    <w:p>
      <w:pPr>
        <w:pStyle w:val="ListParagraph"/>
        <w:widowControl/>
        <w:spacing w:lineRule="auto" w:line="276"/>
        <w:ind w:left="907" w:hanging="0"/>
        <w:jc w:val="both"/>
        <w:rPr>
          <w:u w:val="single"/>
          <w:lang w:val="pl-PL"/>
        </w:rPr>
      </w:pPr>
      <w:r>
        <w:rPr>
          <w:u w:val="single"/>
          <w:lang w:val="pl-PL"/>
        </w:rPr>
        <w:t>W niniejszym kryterium Wykonawca może otrzymać maksymalnie 10 pkt.</w:t>
      </w:r>
      <w:r>
        <w:rPr>
          <w:lang w:val="pl-PL"/>
        </w:rPr>
        <w:br/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 xml:space="preserve">Zamawiający dokona oceny ofert i wyboru najkorzystniejszej oferty jedynie spośród ofert niepodlegających odrzuceniu. 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Punktacja przyznawana ofertom w poszczególnych kryteriach oceny ofert będzie liczona z dokładnością do dwóch miejsc po przecinku, zgodnie z zasadami arytmetyki. Maksymalna ilość punktów, jaką może uzyskać oferta po uwzględnieniu kryteriów wynosi 100 pkt.</w:t>
      </w:r>
    </w:p>
    <w:p>
      <w:pPr>
        <w:pStyle w:val="Normal"/>
        <w:widowControl/>
        <w:numPr>
          <w:ilvl w:val="1"/>
          <w:numId w:val="1"/>
        </w:numPr>
        <w:spacing w:lineRule="auto" w:line="276"/>
        <w:ind w:left="426" w:hanging="426"/>
        <w:jc w:val="both"/>
        <w:rPr>
          <w:b/>
          <w:bCs/>
          <w:lang w:val="pl-PL"/>
        </w:rPr>
      </w:pPr>
      <w:r>
        <w:rPr>
          <w:lang w:val="pl-PL"/>
        </w:rPr>
        <w:t>Za ofertę najkorzystniejszą uznana zostanie oferta, która uzyska najwyższą liczbę punktów wyliczoną jako sumę punktów uzyskanych w ww. kryteriach.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INFORMACJA O TREŚCI ZAWIERANEJ UMOWY ORAZ MOŻLIWOŚCI JEJ ZMIANY</w:t>
      </w:r>
    </w:p>
    <w:p>
      <w:pPr>
        <w:pStyle w:val="Default"/>
        <w:spacing w:lineRule="auto" w:line="276" w:before="0" w:after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Wybrany wykonawca jest zobowiązany do zawarcia umowy w sprawie zamówienia publicznego na warunkach określonych we wzorze umowy stanowiącym załącznik nr 3 do Zapytania ofertowego. </w:t>
      </w:r>
    </w:p>
    <w:p>
      <w:pPr>
        <w:pStyle w:val="Default"/>
        <w:spacing w:lineRule="auto" w:line="276" w:before="0" w:after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Zakres świadczenia wykonawcy wynikający z umowy jest tożsamy z jego zobowiązaniem zawartym w ofercie. </w:t>
      </w:r>
    </w:p>
    <w:p>
      <w:pPr>
        <w:pStyle w:val="Default"/>
        <w:spacing w:lineRule="auto" w:line="276" w:before="0" w:after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Zamawiający przewiduje możliwość zmiany zawartej umowy w stosunku do treści wybranej oferty w zakresie wskazanym we wzorze umowy stanowiącym załącznik nr 3 do Zapytania ofertowego. 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4. Zmiana umowy wymaga dla swej ważności, pod rygorem nieważności, zachowania formy pisemnej.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INFORMACJA O FORMALNOŚCIACH, JAKIE MUSZĄ ZOSTAĆ DOPEŁNIONE PO WYBORZE OFERTY W CELU ZAWARCIA UMOWY W SPRAWIE ZAMÓWIENIA PUBLICZNEGO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Zamawiający poinformuje wykonawcę, któremu zostanie udzielone zamówienie, o miejscu i terminie zawarcia umowy. Wykonawca winien stawić się celem podpisania umowy w miejscu i terminie wskazanym przez Zamawiającego. 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2. Wykonawca przed zawarciem umowy poda wszelkie informacje niezbędne do wypełnienia treści umowy na wezwanie Zamawiającego.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Jeżeli zostanie wybrana oferta wykonawców wspólnie ubiegających się o udzielenie zamówienia, Zamawiający będzie żądał przed zawarciem umowy w sprawie zamówienia publicznego kopii umowy regulującej współpracę tych wykonawców, w której zostanie określony pełnomocnik uprawniony do kontaktów z Zamawiającym oraz do wystawiania dokumentów związanych z płatnościami, przy czym termin, na jaki została zawarta umowa, nie może być krótszy niż termin realizacji zamówienia. 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4. Niedopełnienie powyższych formalności przez wybranego wykonawcę będzie potraktowane przez Zamawiającego jako niemożność zawarcia umowy w sprawie zamówienia publicznego z przyczyn leżących po stronie wykonawcy.</w:t>
      </w:r>
    </w:p>
    <w:p>
      <w:pPr>
        <w:pStyle w:val="Default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5. W przypadku gdy wybrany wykonawca odstąpi od zawarcia umowy w sprawie zamówienia, zamawiający może zawrzeć umowę z wykonawcą, który uzyskał kolejną najwyższą liczbę punktów.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INFORMACJA DOTYCZĄCA OFERT WARIANTOWYCH</w:t>
      </w:r>
    </w:p>
    <w:p>
      <w:pPr>
        <w:pStyle w:val="Normal"/>
        <w:widowControl/>
        <w:spacing w:lineRule="auto" w:line="276" w:before="0" w:after="240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Zamawiający </w:t>
      </w:r>
      <w:r>
        <w:rPr>
          <w:rFonts w:eastAsia="Times New Roman"/>
          <w:b/>
          <w:bCs/>
          <w:lang w:val="pl-PL"/>
        </w:rPr>
        <w:t>nie dopuszcza</w:t>
      </w:r>
      <w:r>
        <w:rPr>
          <w:rFonts w:eastAsia="Times New Roman"/>
          <w:lang w:val="pl-PL"/>
        </w:rPr>
        <w:t xml:space="preserve"> składania ofert wariantowych.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PRZESŁANKI UNIEWAŻNIENIA POSTĘPOWANIA</w:t>
      </w:r>
    </w:p>
    <w:p>
      <w:pPr>
        <w:pStyle w:val="Normal"/>
        <w:widowControl/>
        <w:spacing w:lineRule="auto" w:line="276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Zamawiający zastrzega sobie prawo do unieważnienia postępowania w niżej wymienionych przypadkach:</w:t>
      </w:r>
    </w:p>
    <w:p>
      <w:pPr>
        <w:pStyle w:val="ListParagraph"/>
        <w:widowControl/>
        <w:numPr>
          <w:ilvl w:val="0"/>
          <w:numId w:val="8"/>
        </w:numPr>
        <w:spacing w:lineRule="auto" w:line="276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Gdy w postępowaniu nie wpłynie żadna oferta;</w:t>
      </w:r>
    </w:p>
    <w:p>
      <w:pPr>
        <w:pStyle w:val="ListParagraph"/>
        <w:widowControl/>
        <w:numPr>
          <w:ilvl w:val="0"/>
          <w:numId w:val="8"/>
        </w:numPr>
        <w:spacing w:lineRule="auto" w:line="276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Gdy wszystkie oferty złożone w postępowaniu będą podlegały odrzuceniu;</w:t>
      </w:r>
    </w:p>
    <w:p>
      <w:pPr>
        <w:pStyle w:val="ListParagraph"/>
        <w:widowControl/>
        <w:numPr>
          <w:ilvl w:val="0"/>
          <w:numId w:val="8"/>
        </w:numPr>
        <w:spacing w:lineRule="auto" w:line="276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Jeżeli środki publiczne, które zamawiający zamierzał przeznaczyć na sfinansowanie całości lub części zamówienia, nie zostaną mu przyznane;</w:t>
      </w:r>
    </w:p>
    <w:p>
      <w:pPr>
        <w:pStyle w:val="ListParagraph"/>
        <w:widowControl/>
        <w:numPr>
          <w:ilvl w:val="0"/>
          <w:numId w:val="8"/>
        </w:numPr>
        <w:spacing w:lineRule="auto" w:line="276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Jeżeli cena najkorzystniejszej oferty przekracza budżet zaplanowany na sfinansowanie zamówienia;</w:t>
      </w:r>
    </w:p>
    <w:p>
      <w:pPr>
        <w:pStyle w:val="Normal"/>
        <w:widowControl/>
        <w:spacing w:lineRule="auto" w:line="276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Ponadto zapytanie ofertowe może być także unieważnione w każdym momencie przez Zamawiającego bez podania przyczyny (bez podania uzasadnienia).</w:t>
      </w:r>
    </w:p>
    <w:p>
      <w:pPr>
        <w:pStyle w:val="Normal"/>
        <w:widowControl/>
        <w:spacing w:lineRule="auto" w:line="276" w:before="0" w:after="240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OCHRONA DANYCH OSOBOWYCH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W związku z realizacją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danych), zwanym dalej „RODO” informuję, że: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Administrator Danych Osobowych: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Administratorem Pani/Pana danych osobowych jest Wójt Gminy Czemierniki.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Inspektor Danych Osobowych: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W sprawach związanych z ochroną danych osobowych przetwarzanych w Urzędzie Gminy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Czemierniki może się Pani/Pan kontaktować z Inspektorem Danych Osobowych - Joanną Marczuk-Domińską w następujący sposób: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 xml:space="preserve">drogą elektroniczną: </w:t>
      </w:r>
      <w:hyperlink r:id="rId5">
        <w:r>
          <w:rPr>
            <w:rStyle w:val="Czeinternetowe"/>
            <w:lang w:val="pl-PL"/>
          </w:rPr>
          <w:t>inspektor@cbi24.pl</w:t>
        </w:r>
      </w:hyperlink>
      <w:r>
        <w:rPr>
          <w:lang w:val="pl-PL"/>
        </w:rPr>
        <w:t xml:space="preserve"> 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pisemnie: na adres siedziby Administratora danych.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Podstawa prawna i zakres przetwarzania danych osobowych: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Podstawą przetwarzania Pani/Pana danych osobowych są obowiązujące przepisy prawa, zawarte umowy lub udzielona przez Pana/Panią zgoda.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Pani/Pana dane osobowe są przetwarzane w celu/celach: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jc w:val="both"/>
        <w:rPr>
          <w:lang w:val="pl-PL"/>
        </w:rPr>
      </w:pPr>
      <w:r>
        <w:rPr>
          <w:lang w:val="pl-PL"/>
        </w:rPr>
        <w:t>wypełnienia obowiązku prawnego ciążącego na administratorze (art. 6 ust. 1 lit. c RODO),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jc w:val="both"/>
        <w:rPr>
          <w:lang w:val="pl-PL"/>
        </w:rPr>
      </w:pPr>
      <w:r>
        <w:rPr>
          <w:lang w:val="pl-PL"/>
        </w:rPr>
        <w:t>wykonania zadania realizowanego w interesie publicznym lub w ramach sprawowania władzy publicznej powierzonej administratorowi (art. 6 ust. 1 lit. e RODO), wykonania umowy, której stroną jest osoba, której dane dotyczą, lub do podjęcia działań na żądanie osoby, której dane dotyczą, przed zawarciem umowy (art. 6 ust. 1 lit. b RODO).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jc w:val="both"/>
        <w:rPr>
          <w:lang w:val="pl-PL"/>
        </w:rPr>
      </w:pPr>
      <w:r>
        <w:rPr>
          <w:lang w:val="pl-PL"/>
        </w:rPr>
        <w:t>w pozostałych przypadkach Pani/Pana dane osobowe będą przetwarzane wyłącznie na podstawie wcześniej udzielonej zgody w zakresie i celu określonym w treści zgody (art. 6 ust. 1 lit. a RODO).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Odbiorcy danych osobowych: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Odbiorcami Pani/Pana danych osobowych będą wyłącznie podmioty uprawnione do uzyskania danych osobowych na podstawie przepisów prawa oraz w celu realizacji zadań, o których mowa w pkt. 3.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Okres przechowywania danych osobowych: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Pani/Pana dane osobowe będą przechowywane przez okres niezbędny do realizacji celów, do których zostały zebrane, a po tym czasie przez okres oraz w zakresie wymaganym przez przepisy powszechnie obowiązującego prawa.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Prawa osób, których dane dotyczą: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W związku z przetwarzaniem Pani/Pana danych osobowych przysługuje Pani/Panu prawo: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dostępu do treści swoich danych osobowych, w tym do uzyskania kopii tych danych,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- sprostowania/poprawienia swoich danych osobowych,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- usunięcia swoich danych osobowych,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- ograniczenia przetwarzania swoich danych osobowych,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- przenoszenia swoich danych osobowych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- wniesienia sprzeciwu wobec przetwarzania swoich danych.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Prawo do cofnięcia zgody: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Jeżeli przetwarzanie danych osobowych odbywa się na podstawie zgody, ma Pan/Pani prawo do jej cofnięcia w dowolnym momencie. Wycofanie zgody nie ma wpływu na zgodność przetwarzania, którego dokonano na podstawie zgody przed jej cofnięciem.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Prawo wniesienia skargi do organu nadzorczego: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Gdy przetwarzanie Pani/Pana danych osobowych narusza przepisy o ochronie danych osobowych, przysługuje Pani/Panu prawo do wniesienia skargi do organu nadzorczego, którym jest Prezes Urzędu Ochrony Danych Osobowych.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Informacja o wymogu / dobrowolności podania danych oraz konsekwencjach niepodania danych osobowych: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W sytuacji, gdy przetwarzanie danych osobowych odbywa się na podstawie udzielonej zgody, podanie przez Pana/Panią danych osobowych Administratorowi ma charakter dobrowolny. Podanie przez Pana/Panią danych osobowych jest obowiązkowe, w sytuacji, gdy przesłankę przetwarzania danych osobowych stanowi przepis prawa lub zawarta między stronami umowa. W przypadku nie podania przez Pan/Panią danych osobowych wymaganych przepisami prawa, nie będziemy mogli zrealizować zadania ustawowego, co może skutkować pozostawieniem sprawy bez rozpatrzenia lub nie będzie możliwe zawarcie umowy.</w:t>
      </w:r>
    </w:p>
    <w:p>
      <w:pPr>
        <w:pStyle w:val="Normal"/>
        <w:spacing w:lineRule="auto" w:line="276"/>
        <w:jc w:val="both"/>
        <w:rPr>
          <w:b/>
          <w:bCs/>
          <w:lang w:val="pl-PL"/>
        </w:rPr>
      </w:pPr>
      <w:r>
        <w:rPr>
          <w:b/>
          <w:bCs/>
          <w:lang w:val="pl-PL"/>
        </w:rPr>
        <w:t>Zautomatyzowane podejmowanie decyzji, profilowanie:</w:t>
      </w:r>
    </w:p>
    <w:p>
      <w:pPr>
        <w:pStyle w:val="Normal"/>
        <w:spacing w:lineRule="auto" w:line="276"/>
        <w:jc w:val="both"/>
        <w:rPr>
          <w:lang w:val="pl-PL"/>
        </w:rPr>
      </w:pPr>
      <w:r>
        <w:rPr>
          <w:lang w:val="pl-PL"/>
        </w:rPr>
        <w:t>Pani/Pana dane osobowe nie będą podlegały zautomatyzowanemu podejmowaniu decyzji i nie będą profilowane.</w:t>
      </w:r>
    </w:p>
    <w:p>
      <w:pPr>
        <w:pStyle w:val="Normal"/>
        <w:widowControl/>
        <w:spacing w:lineRule="auto" w:line="276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</w:r>
    </w:p>
    <w:p>
      <w:pPr>
        <w:pStyle w:val="Normal"/>
        <w:widowControl/>
        <w:numPr>
          <w:ilvl w:val="0"/>
          <w:numId w:val="1"/>
        </w:numPr>
        <w:spacing w:lineRule="auto" w:line="276" w:before="0" w:after="240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WYKAZ ZAŁĄCZNIKÓW DO ZAPYTANIA OFERTOWEGO</w:t>
      </w:r>
    </w:p>
    <w:p>
      <w:pPr>
        <w:pStyle w:val="ListParagraph"/>
        <w:widowControl/>
        <w:numPr>
          <w:ilvl w:val="0"/>
          <w:numId w:val="4"/>
        </w:numPr>
        <w:spacing w:lineRule="auto" w:line="276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Formularz oferty – załącznik nr 1,</w:t>
      </w:r>
    </w:p>
    <w:p>
      <w:pPr>
        <w:pStyle w:val="ListParagraph"/>
        <w:widowControl/>
        <w:numPr>
          <w:ilvl w:val="0"/>
          <w:numId w:val="4"/>
        </w:numPr>
        <w:spacing w:lineRule="auto" w:line="276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Oświadczenie o braku istnienia podstaw do wykluczenia – załącznik nr 2,</w:t>
      </w:r>
    </w:p>
    <w:p>
      <w:pPr>
        <w:pStyle w:val="ListParagraph"/>
        <w:widowControl/>
        <w:numPr>
          <w:ilvl w:val="0"/>
          <w:numId w:val="4"/>
        </w:numPr>
        <w:spacing w:lineRule="auto" w:line="276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Wzór umowy – załącznik nr 3.</w:t>
      </w:r>
    </w:p>
    <w:sectPr>
      <w:headerReference w:type="default" r:id="rId6"/>
      <w:footnotePr>
        <w:numFmt w:val="decimal"/>
      </w:footnotePr>
      <w:type w:val="nextPage"/>
      <w:pgSz w:w="11906" w:h="16838"/>
      <w:pgMar w:left="1080" w:right="940" w:gutter="0" w:header="426" w:top="1843" w:footer="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MS UI Gothic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>
          <w:lang w:val="pl-PL"/>
        </w:rPr>
      </w:pPr>
      <w:r>
        <w:rPr>
          <w:rStyle w:val="Znakiprzypiswdolnych"/>
        </w:rPr>
        <w:footnoteRef/>
      </w:r>
      <w:r>
        <w:rPr>
          <w:lang w:val="pl-PL"/>
        </w:rPr>
        <w:t xml:space="preserve"> </w:t>
      </w:r>
      <w:r>
        <w:rPr>
          <w:b/>
          <w:bCs/>
          <w:lang w:val="pl-PL"/>
        </w:rPr>
        <w:t>Baza Konkurencyjności (BK2021)</w:t>
      </w:r>
      <w:r>
        <w:rPr>
          <w:lang w:val="pl-PL"/>
        </w:rPr>
        <w:t xml:space="preserve"> – strona internetowa prowadzona przez ministra właściwego do spraw rozwoju regionalnego przeznaczona do zamieszczania zapytań ofertowych zgodnie z zasadą konkurencyjności określoną w podrozdziale 3.2 Wytycznych dotyczących kwalifikowalności wydatków na lata 2021-2027 (</w:t>
      </w:r>
      <w:hyperlink r:id="rId1">
        <w:r>
          <w:rPr>
            <w:rStyle w:val="Czeinternetowe"/>
            <w:lang w:val="pl-PL"/>
          </w:rPr>
          <w:t>https://bazakonkurencyjnosci.funduszeeuropejskie.gov.pl/</w:t>
        </w:r>
      </w:hyperlink>
      <w:r>
        <w:rPr>
          <w:lang w:val="pl-PL"/>
        </w:rPr>
        <w:t xml:space="preserve">)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/>
    </w:pPr>
    <w:r>
      <w:rPr/>
      <w:drawing>
        <wp:anchor behindDoc="1" distT="0" distB="0" distL="114300" distR="114300" simplePos="0" locked="0" layoutInCell="0" allowOverlap="1" relativeHeight="16">
          <wp:simplePos x="0" y="0"/>
          <wp:positionH relativeFrom="margin">
            <wp:align>center</wp:align>
          </wp:positionH>
          <wp:positionV relativeFrom="paragraph">
            <wp:posOffset>105410</wp:posOffset>
          </wp:positionV>
          <wp:extent cx="5760720" cy="612140"/>
          <wp:effectExtent l="0" t="0" r="0" b="0"/>
          <wp:wrapSquare wrapText="bothSides"/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227" w:hanging="227"/>
      </w:pPr>
      <w:rPr>
        <w:i w:val="false"/>
        <w:rFonts w:ascii="Arial" w:hAnsi="Arial" w:eastAsia="Times New Roman" w:cs="Arial"/>
      </w:rPr>
    </w:lvl>
    <w:lvl w:ilvl="1">
      <w:start w:val="1"/>
      <w:numFmt w:val="ordinal"/>
      <w:lvlText w:val="%2"/>
      <w:lvlJc w:val="left"/>
      <w:pPr>
        <w:tabs>
          <w:tab w:val="num" w:pos="0"/>
        </w:tabs>
        <w:ind w:left="454" w:hanging="227"/>
      </w:pPr>
      <w:rPr>
        <w:b w:val="false"/>
        <w:bCs w:val="false"/>
      </w:rPr>
    </w:lvl>
    <w:lvl w:ilvl="2">
      <w:start w:val="1"/>
      <w:numFmt w:val="ordinal"/>
      <w:lvlText w:val="1.%3"/>
      <w:lvlJc w:val="left"/>
      <w:pPr>
        <w:tabs>
          <w:tab w:val="num" w:pos="0"/>
        </w:tabs>
        <w:ind w:left="814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07" w:hanging="227"/>
      </w:pPr>
      <w:rPr>
        <w:b w:val="false"/>
        <w:bCs w:val="false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i w:val="false"/>
      </w:rPr>
    </w:lvl>
    <w:lvl w:ilvl="1">
      <w:start w:val="1"/>
      <w:numFmt w:val="ordinal"/>
      <w:lvlText w:val="%2"/>
      <w:lvlJc w:val="left"/>
      <w:pPr>
        <w:tabs>
          <w:tab w:val="num" w:pos="0"/>
        </w:tabs>
        <w:ind w:left="454" w:hanging="227"/>
      </w:pPr>
      <w:rPr>
        <w:b w:val="false"/>
        <w:bCs w:val="false"/>
      </w:rPr>
    </w:lvl>
    <w:lvl w:ilvl="2">
      <w:start w:val="1"/>
      <w:numFmt w:val="ordinal"/>
      <w:lvlText w:val="1.%3"/>
      <w:lvlJc w:val="left"/>
      <w:pPr>
        <w:tabs>
          <w:tab w:val="num" w:pos="0"/>
        </w:tabs>
        <w:ind w:left="814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07" w:hanging="227"/>
      </w:pPr>
      <w:rPr>
        <w:b w:val="false"/>
        <w:bCs w:val="false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i w:val="false"/>
      </w:rPr>
    </w:lvl>
    <w:lvl w:ilvl="1">
      <w:start w:val="1"/>
      <w:numFmt w:val="ordinal"/>
      <w:lvlText w:val="%2"/>
      <w:lvlJc w:val="left"/>
      <w:pPr>
        <w:tabs>
          <w:tab w:val="num" w:pos="0"/>
        </w:tabs>
        <w:ind w:left="454" w:hanging="227"/>
      </w:pPr>
      <w:rPr>
        <w:b w:val="false"/>
        <w:bCs w:val="false"/>
      </w:rPr>
    </w:lvl>
    <w:lvl w:ilvl="2">
      <w:start w:val="1"/>
      <w:numFmt w:val="ordinal"/>
      <w:lvlText w:val="1.%3"/>
      <w:lvlJc w:val="left"/>
      <w:pPr>
        <w:tabs>
          <w:tab w:val="num" w:pos="0"/>
        </w:tabs>
        <w:ind w:left="814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07" w:hanging="227"/>
      </w:pPr>
      <w:rPr>
        <w:b w:val="false"/>
        <w:bCs w:val="false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i w:val="false"/>
      </w:rPr>
    </w:lvl>
    <w:lvl w:ilvl="1">
      <w:start w:val="1"/>
      <w:numFmt w:val="ordinal"/>
      <w:lvlText w:val="%2"/>
      <w:lvlJc w:val="left"/>
      <w:pPr>
        <w:tabs>
          <w:tab w:val="num" w:pos="0"/>
        </w:tabs>
        <w:ind w:left="454" w:hanging="227"/>
      </w:pPr>
      <w:rPr>
        <w:b w:val="false"/>
        <w:bCs w:val="false"/>
      </w:rPr>
    </w:lvl>
    <w:lvl w:ilvl="2">
      <w:start w:val="1"/>
      <w:numFmt w:val="ordinal"/>
      <w:lvlText w:val="1.%3"/>
      <w:lvlJc w:val="left"/>
      <w:pPr>
        <w:tabs>
          <w:tab w:val="num" w:pos="0"/>
        </w:tabs>
        <w:ind w:left="814" w:hanging="360"/>
      </w:pPr>
      <w:rPr>
        <w:b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07" w:hanging="227"/>
      </w:pPr>
      <w:rPr>
        <w:b w:val="false"/>
        <w:bCs w:val="false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S UI Gothic" w:hAnsi="MS UI Gothic" w:cs="MS UI Gothic" w:hint="default"/>
        <w:sz w:val="21"/>
        <w:szCs w:val="21"/>
        <w:w w:val="10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S UI Gothic" w:hAnsi="MS UI Gothic" w:cs="MS UI Gothic" w:hint="default"/>
        <w:sz w:val="21"/>
        <w:szCs w:val="21"/>
        <w:w w:val="10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1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4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11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4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11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4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2"/>
    <w:lvlOverride w:ilvl="0">
      <w:startOverride w:val="1"/>
    </w:lvlOverride>
  </w:num>
  <w:num w:numId="17">
    <w:abstractNumId w:val="12"/>
  </w:num>
  <w:num w:numId="18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ind w:left="134" w:hanging="0"/>
      <w:outlineLvl w:val="0"/>
    </w:pPr>
    <w:rPr>
      <w:b/>
      <w:bCs/>
      <w:sz w:val="21"/>
      <w:szCs w:val="21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6b3f5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5a070b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a50c02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uiPriority w:val="99"/>
    <w:qFormat/>
    <w:rsid w:val="00a50c02"/>
    <w:rPr>
      <w:rFonts w:ascii="Arial" w:hAnsi="Arial" w:eastAsia="Arial" w:cs="Aria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90cd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890cd1"/>
    <w:rPr>
      <w:rFonts w:ascii="Arial" w:hAnsi="Arial" w:eastAsia="Arial" w:cs="Arial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890cd1"/>
    <w:rPr>
      <w:rFonts w:ascii="Arial" w:hAnsi="Arial" w:eastAsia="Arial" w:cs="Arial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90cd1"/>
    <w:rPr>
      <w:rFonts w:ascii="Segoe UI" w:hAnsi="Segoe UI" w:eastAsia="Arial" w:cs="Segoe UI"/>
      <w:sz w:val="18"/>
      <w:szCs w:val="18"/>
    </w:rPr>
  </w:style>
  <w:style w:type="character" w:styleId="Font321" w:customStyle="1">
    <w:name w:val="font321"/>
    <w:basedOn w:val="DefaultParagraphFont"/>
    <w:qFormat/>
    <w:rsid w:val="00f06fbf"/>
    <w:rPr>
      <w:rFonts w:ascii="Calibri" w:hAnsi="Calibri"/>
      <w:b/>
      <w:bCs/>
      <w:i w:val="false"/>
      <w:iCs w:val="false"/>
      <w:strike w:val="false"/>
      <w:dstrike w:val="false"/>
      <w:color w:val="000000"/>
      <w:sz w:val="22"/>
      <w:szCs w:val="22"/>
      <w:u w:val="none"/>
      <w:effect w:val="none"/>
    </w:rPr>
  </w:style>
  <w:style w:type="character" w:styleId="Font311" w:customStyle="1">
    <w:name w:val="font311"/>
    <w:basedOn w:val="DefaultParagraphFont"/>
    <w:qFormat/>
    <w:rsid w:val="00f06fbf"/>
    <w:rPr>
      <w:rFonts w:ascii="Calibri" w:hAnsi="Calibri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  <w:effect w:val="none"/>
    </w:rPr>
  </w:style>
  <w:style w:type="character" w:styleId="Czeinternetowe">
    <w:name w:val="Hyperlink"/>
    <w:basedOn w:val="DefaultParagraphFont"/>
    <w:uiPriority w:val="99"/>
    <w:unhideWhenUsed/>
    <w:rsid w:val="00cb34d4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cb34d4"/>
    <w:rPr>
      <w:color w:val="808080"/>
      <w:shd w:fill="E6E6E6" w:val="clear"/>
    </w:rPr>
  </w:style>
  <w:style w:type="character" w:styleId="Nagwek3Znak" w:customStyle="1">
    <w:name w:val="Nagłówek 3 Znak"/>
    <w:basedOn w:val="DefaultParagraphFont"/>
    <w:uiPriority w:val="9"/>
    <w:semiHidden/>
    <w:qFormat/>
    <w:rsid w:val="005a070b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e97989"/>
    <w:rPr>
      <w:rFonts w:ascii="Arial" w:hAnsi="Arial" w:eastAsia="Arial" w:cs="Arial"/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e97989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Nagwek2Znak" w:customStyle="1">
    <w:name w:val="Nagłówek 2 Znak"/>
    <w:basedOn w:val="DefaultParagraphFont"/>
    <w:uiPriority w:val="9"/>
    <w:semiHidden/>
    <w:qFormat/>
    <w:rsid w:val="006b3f5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FontStyle24" w:customStyle="1">
    <w:name w:val="Font Style24"/>
    <w:basedOn w:val="DefaultParagraphFont"/>
    <w:uiPriority w:val="99"/>
    <w:qFormat/>
    <w:rsid w:val="00ab540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kapitzlistZnak" w:customStyle="1">
    <w:name w:val="Akapit z listą Znak"/>
    <w:link w:val="ListParagraph"/>
    <w:uiPriority w:val="34"/>
    <w:qFormat/>
    <w:locked/>
    <w:rsid w:val="00ee52ea"/>
    <w:rPr>
      <w:rFonts w:ascii="Arial" w:hAnsi="Arial" w:eastAsia="Arial" w:cs="Aria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e52e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val="pl-PL" w:eastAsia="ar-SA"/>
    </w:rPr>
  </w:style>
  <w:style w:type="character" w:styleId="TekstpodstawowyZnak" w:customStyle="1">
    <w:name w:val="Tekst podstawowy Znak"/>
    <w:basedOn w:val="DefaultParagraphFont"/>
    <w:uiPriority w:val="1"/>
    <w:qFormat/>
    <w:rsid w:val="00da3f73"/>
    <w:rPr>
      <w:rFonts w:ascii="Arial" w:hAnsi="Arial" w:eastAsia="Arial" w:cs="Arial"/>
      <w:sz w:val="21"/>
      <w:szCs w:val="21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a2723"/>
    <w:rPr>
      <w:rFonts w:ascii="Arial" w:hAnsi="Arial" w:eastAsia="Arial" w:cs="Arial"/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3a2723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a2723"/>
    <w:rPr>
      <w:color w:val="605E5C"/>
      <w:shd w:fill="E1DFDD" w:val="clear"/>
    </w:rPr>
  </w:style>
  <w:style w:type="character" w:styleId="Odwiedzoneczeinternetowe">
    <w:name w:val="FollowedHyperlink"/>
    <w:basedOn w:val="DefaultParagraphFont"/>
    <w:uiPriority w:val="99"/>
    <w:semiHidden/>
    <w:unhideWhenUsed/>
    <w:rsid w:val="00f7653e"/>
    <w:rPr>
      <w:color w:val="800080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pPr/>
    <w:rPr>
      <w:sz w:val="21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pPr>
      <w:ind w:left="410" w:hanging="276"/>
    </w:pPr>
    <w:rPr/>
  </w:style>
  <w:style w:type="paragraph" w:styleId="TableParagraph" w:customStyle="1">
    <w:name w:val="Table Paragraph"/>
    <w:basedOn w:val="Normal"/>
    <w:uiPriority w:val="1"/>
    <w:qFormat/>
    <w:pPr>
      <w:spacing w:before="134" w:after="0"/>
      <w:ind w:left="62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50c0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50c0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sma" w:customStyle="1">
    <w:name w:val="Pisma"/>
    <w:basedOn w:val="Normal"/>
    <w:qFormat/>
    <w:rsid w:val="00982c37"/>
    <w:pPr>
      <w:widowControl/>
      <w:jc w:val="both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890cd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90cd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90cd1"/>
    <w:pPr/>
    <w:rPr>
      <w:rFonts w:ascii="Segoe UI" w:hAnsi="Segoe UI" w:cs="Segoe UI"/>
      <w:sz w:val="18"/>
      <w:szCs w:val="18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e97989"/>
    <w:pPr/>
    <w:rPr>
      <w:sz w:val="20"/>
      <w:szCs w:val="20"/>
    </w:rPr>
  </w:style>
  <w:style w:type="paragraph" w:styleId="Style12" w:customStyle="1">
    <w:name w:val="Style12"/>
    <w:basedOn w:val="Normal"/>
    <w:uiPriority w:val="99"/>
    <w:qFormat/>
    <w:rsid w:val="00d80fa5"/>
    <w:pPr>
      <w:spacing w:lineRule="exact" w:line="256"/>
      <w:jc w:val="both"/>
    </w:pPr>
    <w:rPr>
      <w:rFonts w:ascii="Times New Roman" w:hAnsi="Times New Roman" w:eastAsia="" w:cs="Times New Roman" w:eastAsiaTheme="minorEastAsia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qFormat/>
    <w:rsid w:val="00e1438a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e52ea"/>
    <w:pPr>
      <w:widowControl/>
      <w:pBdr>
        <w:top w:val="single" w:sz="4" w:space="10" w:color="4F81BD"/>
        <w:bottom w:val="single" w:sz="4" w:space="10" w:color="4F81BD"/>
      </w:pBdr>
      <w:suppressAutoHyphens w:val="true"/>
      <w:spacing w:before="360" w:after="360"/>
      <w:ind w:left="864" w:right="864" w:hanging="0"/>
      <w:jc w:val="center"/>
    </w:pPr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val="pl-PL" w:eastAsia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a2723"/>
    <w:pPr/>
    <w:rPr>
      <w:sz w:val="20"/>
      <w:szCs w:val="20"/>
    </w:rPr>
  </w:style>
  <w:style w:type="paragraph" w:styleId="Default" w:customStyle="1">
    <w:name w:val="Default"/>
    <w:qFormat/>
    <w:rsid w:val="00537a7c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a35e3"/>
    <w:rPr>
      <w:lang w:val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mina@czemierniki.eu" TargetMode="External"/><Relationship Id="rId3" Type="http://schemas.openxmlformats.org/officeDocument/2006/relationships/hyperlink" Target="https://archiwum-bazakonkurencyjnosci.funduszeeuropejskie.gov.pl/info/web_instruction" TargetMode="External"/><Relationship Id="rId4" Type="http://schemas.openxmlformats.org/officeDocument/2006/relationships/hyperlink" Target="mailto:konkurencyjnosc@mfipr.gov.pl" TargetMode="External"/><Relationship Id="rId5" Type="http://schemas.openxmlformats.org/officeDocument/2006/relationships/hyperlink" Target="mailto:inspektor@cbi24.pl" TargetMode="External"/><Relationship Id="rId6" Type="http://schemas.openxmlformats.org/officeDocument/2006/relationships/header" Target="header1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bazakonkurencyjnosci.funduszeeuropejskie.gov.pl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6540ACB6FF543A2A789FE733787BE" ma:contentTypeVersion="20" ma:contentTypeDescription="Utwórz nowy dokument." ma:contentTypeScope="" ma:versionID="1987e9bda7a7b8f0217c8978c4900efe">
  <xsd:schema xmlns:xsd="http://www.w3.org/2001/XMLSchema" xmlns:xs="http://www.w3.org/2001/XMLSchema" xmlns:p="http://schemas.microsoft.com/office/2006/metadata/properties" xmlns:ns2="5693c908-9e4a-4332-a4f0-30963ad3cc0b" xmlns:ns3="51577be6-f562-446c-89b8-693c306e441f" targetNamespace="http://schemas.microsoft.com/office/2006/metadata/properties" ma:root="true" ma:fieldsID="d206cfd1d1ca87b98e7484279d354be4" ns2:_="" ns3:_="">
    <xsd:import namespace="5693c908-9e4a-4332-a4f0-30963ad3cc0b"/>
    <xsd:import namespace="51577be6-f562-446c-89b8-693c306e4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Rodzajdokumentu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3c908-9e4a-4332-a4f0-30963ad3c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odzajdokumentu" ma:index="25" nillable="true" ma:displayName="Rodzaj dokumentu" ma:format="Dropdown" ma:internalName="Rodzajdokumentu">
      <xsd:simpleType>
        <xsd:restriction base="dms:Choice">
          <xsd:enumeration value="Zamówienia"/>
          <xsd:enumeration value="kwalifikowalność"/>
          <xsd:enumeration value="uczestnicy"/>
          <xsd:enumeration value="wnioski o płatność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7be6-f562-446c-89b8-693c306e4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9ffc8b-77f9-40f5-9d00-bbbde62bf202}" ma:internalName="TaxCatchAll" ma:showField="CatchAllData" ma:web="51577be6-f562-446c-89b8-693c306e4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3c908-9e4a-4332-a4f0-30963ad3cc0b">
      <Terms xmlns="http://schemas.microsoft.com/office/infopath/2007/PartnerControls"/>
    </lcf76f155ced4ddcb4097134ff3c332f>
    <TaxCatchAll xmlns="51577be6-f562-446c-89b8-693c306e441f" xsi:nil="true"/>
    <Rodzajdokumentu xmlns="5693c908-9e4a-4332-a4f0-30963ad3cc0b" xsi:nil="true"/>
  </documentManagement>
</p:properties>
</file>

<file path=customXml/itemProps1.xml><?xml version="1.0" encoding="utf-8"?>
<ds:datastoreItem xmlns:ds="http://schemas.openxmlformats.org/officeDocument/2006/customXml" ds:itemID="{47297888-E603-42A6-B630-9FA9B11E3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1660D-9227-4068-B6D2-15CC78294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8045-BF14-477C-86DA-6368D75F3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3c908-9e4a-4332-a4f0-30963ad3cc0b"/>
    <ds:schemaRef ds:uri="51577be6-f562-446c-89b8-693c306e4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AB6B5F-3514-4DDD-8882-6D8012C1D963}">
  <ds:schemaRefs>
    <ds:schemaRef ds:uri="http://schemas.microsoft.com/office/2006/metadata/properties"/>
    <ds:schemaRef ds:uri="http://schemas.microsoft.com/office/infopath/2007/PartnerControls"/>
    <ds:schemaRef ds:uri="5693c908-9e4a-4332-a4f0-30963ad3cc0b"/>
    <ds:schemaRef ds:uri="51577be6-f562-446c-89b8-693c306e4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Application>LibreOffice/7.5.3.2$Windows_X86_64 LibreOffice_project/9f56dff12ba03b9acd7730a5a481eea045e468f3</Application>
  <AppVersion>15.0000</AppVersion>
  <Pages>17</Pages>
  <Words>4119</Words>
  <Characters>27290</Characters>
  <CharactersWithSpaces>31099</CharactersWithSpaces>
  <Paragraphs>305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2022-10-04T07:14:00Z</dcterms:created>
  <dc:creator>Kasia</dc:creator>
  <dc:description/>
  <dc:language>pl-PL</dc:language>
  <cp:lastModifiedBy/>
  <cp:lastPrinted>2022-10-04T09:07:00Z</cp:lastPrinted>
  <dcterms:modified xsi:type="dcterms:W3CDTF">2024-11-07T12:40:40Z</dcterms:modified>
  <cp:revision>206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0x0101002A46540ACB6FF543A2A789FE733787BE</vt:lpwstr>
  </property>
  <property fmtid="{D5CDD505-2E9C-101B-9397-08002B2CF9AE}" pid="3" name="Created">
    <vt:filetime>2012-02-17T00:00:00Z</vt:filetime>
  </property>
  <property fmtid="{D5CDD505-2E9C-101B-9397-08002B2CF9AE}" pid="4" name="Creator">
    <vt:lpwstr>PDFCreator Version 0.9.5</vt:lpwstr>
  </property>
  <property fmtid="{D5CDD505-2E9C-101B-9397-08002B2CF9AE}" pid="5" name="LastSaved">
    <vt:filetime>2016-11-07T00:00:00Z</vt:filetime>
  </property>
  <property fmtid="{D5CDD505-2E9C-101B-9397-08002B2CF9AE}" pid="6" name="MediaServiceImageTags">
    <vt:lpwstr/>
  </property>
</Properties>
</file>