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05437" w14:textId="77777777" w:rsidR="00AA24A6" w:rsidRPr="00EB7016" w:rsidRDefault="003227FA" w:rsidP="00C2409C">
      <w:pPr>
        <w:pStyle w:val="Default"/>
        <w:spacing w:before="120"/>
        <w:rPr>
          <w:rFonts w:ascii="Arial Narrow" w:hAnsi="Arial Narrow"/>
          <w:sz w:val="22"/>
          <w:szCs w:val="22"/>
        </w:rPr>
      </w:pPr>
      <w:r w:rsidRPr="00EB7016">
        <w:rPr>
          <w:rFonts w:ascii="Arial Narrow" w:hAnsi="Arial Narrow"/>
          <w:noProof/>
          <w:sz w:val="22"/>
          <w:szCs w:val="22"/>
          <w:lang w:eastAsia="pl-PL"/>
        </w:rPr>
        <w:drawing>
          <wp:inline distT="0" distB="0" distL="0" distR="0" wp14:anchorId="04DB5503" wp14:editId="6D58F475">
            <wp:extent cx="5760720" cy="553085"/>
            <wp:effectExtent l="19050" t="0" r="0" b="0"/>
            <wp:docPr id="43" name="Obraz 42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Obraz 42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926AE" w14:textId="38936BBF" w:rsidR="00AE1296" w:rsidRPr="00EB7016" w:rsidRDefault="00AE1296" w:rsidP="00C2409C">
      <w:pPr>
        <w:pStyle w:val="Default"/>
        <w:spacing w:before="120"/>
        <w:jc w:val="right"/>
        <w:rPr>
          <w:rFonts w:ascii="Arial Narrow" w:hAnsi="Arial Narrow"/>
          <w:sz w:val="22"/>
          <w:szCs w:val="22"/>
        </w:rPr>
      </w:pPr>
      <w:r w:rsidRPr="00EB7016">
        <w:rPr>
          <w:rFonts w:ascii="Arial Narrow" w:hAnsi="Arial Narrow"/>
          <w:sz w:val="22"/>
          <w:szCs w:val="22"/>
        </w:rPr>
        <w:t xml:space="preserve">Warszawa, dnia  </w:t>
      </w:r>
      <w:r w:rsidR="00347C9C" w:rsidRPr="00EB7016">
        <w:rPr>
          <w:rFonts w:ascii="Arial Narrow" w:hAnsi="Arial Narrow"/>
          <w:sz w:val="22"/>
          <w:szCs w:val="22"/>
        </w:rPr>
        <w:t>2</w:t>
      </w:r>
      <w:r w:rsidR="003D566E" w:rsidRPr="00EB7016">
        <w:rPr>
          <w:rFonts w:ascii="Arial Narrow" w:hAnsi="Arial Narrow"/>
          <w:sz w:val="22"/>
          <w:szCs w:val="22"/>
        </w:rPr>
        <w:t>9</w:t>
      </w:r>
      <w:r w:rsidRPr="00EB7016">
        <w:rPr>
          <w:rFonts w:ascii="Arial Narrow" w:hAnsi="Arial Narrow"/>
          <w:sz w:val="22"/>
          <w:szCs w:val="22"/>
        </w:rPr>
        <w:t>.</w:t>
      </w:r>
      <w:r w:rsidR="00241B93" w:rsidRPr="00EB7016">
        <w:rPr>
          <w:rFonts w:ascii="Arial Narrow" w:hAnsi="Arial Narrow"/>
          <w:sz w:val="22"/>
          <w:szCs w:val="22"/>
        </w:rPr>
        <w:t>01</w:t>
      </w:r>
      <w:r w:rsidRPr="00EB7016">
        <w:rPr>
          <w:rFonts w:ascii="Arial Narrow" w:hAnsi="Arial Narrow"/>
          <w:sz w:val="22"/>
          <w:szCs w:val="22"/>
        </w:rPr>
        <w:t>.202</w:t>
      </w:r>
      <w:r w:rsidR="00241B93" w:rsidRPr="00EB7016">
        <w:rPr>
          <w:rFonts w:ascii="Arial Narrow" w:hAnsi="Arial Narrow"/>
          <w:sz w:val="22"/>
          <w:szCs w:val="22"/>
        </w:rPr>
        <w:t>1</w:t>
      </w:r>
      <w:r w:rsidRPr="00EB7016">
        <w:rPr>
          <w:rFonts w:ascii="Arial Narrow" w:hAnsi="Arial Narrow"/>
          <w:sz w:val="22"/>
          <w:szCs w:val="22"/>
        </w:rPr>
        <w:t xml:space="preserve"> r.</w:t>
      </w:r>
    </w:p>
    <w:p w14:paraId="1CEDDB7F" w14:textId="77777777" w:rsidR="00A60214" w:rsidRPr="00EB7016" w:rsidRDefault="00A60214" w:rsidP="00C2409C">
      <w:pPr>
        <w:pStyle w:val="Default"/>
        <w:spacing w:before="120"/>
        <w:jc w:val="right"/>
        <w:rPr>
          <w:rFonts w:ascii="Arial Narrow" w:hAnsi="Arial Narrow"/>
          <w:sz w:val="22"/>
          <w:szCs w:val="22"/>
        </w:rPr>
      </w:pPr>
    </w:p>
    <w:p w14:paraId="6C0A5B65" w14:textId="77777777" w:rsidR="006A1F1E" w:rsidRPr="00EB7016" w:rsidRDefault="006A1F1E" w:rsidP="00C2409C">
      <w:pPr>
        <w:pStyle w:val="Default"/>
        <w:spacing w:before="120" w:after="240"/>
        <w:jc w:val="center"/>
        <w:rPr>
          <w:rFonts w:ascii="Arial Narrow" w:hAnsi="Arial Narrow"/>
          <w:sz w:val="22"/>
          <w:szCs w:val="22"/>
        </w:rPr>
      </w:pPr>
      <w:r w:rsidRPr="00EB7016">
        <w:rPr>
          <w:rFonts w:ascii="Arial Narrow" w:hAnsi="Arial Narrow"/>
          <w:b/>
          <w:bCs/>
          <w:sz w:val="22"/>
          <w:szCs w:val="22"/>
        </w:rPr>
        <w:t>ZAPYTANIE OFERTOWE</w:t>
      </w:r>
    </w:p>
    <w:p w14:paraId="64611DBC" w14:textId="77777777" w:rsidR="00347C9C" w:rsidRPr="00EB7016" w:rsidRDefault="00347C9C" w:rsidP="00C2409C">
      <w:pPr>
        <w:spacing w:before="120"/>
        <w:jc w:val="center"/>
        <w:rPr>
          <w:rFonts w:ascii="Arial Narrow" w:hAnsi="Arial Narrow" w:cstheme="minorHAnsi"/>
          <w:b/>
          <w:kern w:val="1"/>
          <w:sz w:val="22"/>
          <w:szCs w:val="22"/>
        </w:rPr>
      </w:pPr>
      <w:r w:rsidRPr="00EB7016">
        <w:rPr>
          <w:rFonts w:ascii="Arial Narrow" w:hAnsi="Arial Narrow" w:cstheme="minorHAnsi"/>
          <w:b/>
          <w:kern w:val="1"/>
          <w:sz w:val="22"/>
          <w:szCs w:val="22"/>
        </w:rPr>
        <w:t xml:space="preserve">Szczegółowa analiza i zaprojektowanie usługi w zakresie zaspokajania potrzeb MSP </w:t>
      </w:r>
      <w:r w:rsidRPr="00EB7016">
        <w:rPr>
          <w:rFonts w:ascii="Arial Narrow" w:hAnsi="Arial Narrow" w:cstheme="minorHAnsi"/>
          <w:b/>
          <w:kern w:val="1"/>
          <w:sz w:val="22"/>
          <w:szCs w:val="22"/>
        </w:rPr>
        <w:br/>
        <w:t>w obszarze monitorowania i prognozowania rynku w sektorze elektronicznym</w:t>
      </w:r>
    </w:p>
    <w:p w14:paraId="7CBEB2CC" w14:textId="77777777" w:rsidR="00B1414C" w:rsidRPr="00EB7016" w:rsidRDefault="00B1414C" w:rsidP="00C2409C">
      <w:pPr>
        <w:pStyle w:val="Default"/>
        <w:spacing w:before="120"/>
        <w:jc w:val="center"/>
        <w:rPr>
          <w:rFonts w:ascii="Arial Narrow" w:hAnsi="Arial Narrow" w:cstheme="minorHAnsi"/>
          <w:b/>
          <w:bCs/>
          <w:sz w:val="22"/>
          <w:szCs w:val="22"/>
        </w:rPr>
      </w:pPr>
    </w:p>
    <w:p w14:paraId="657D3F8A" w14:textId="6867AB68" w:rsidR="001D18E5" w:rsidRPr="00EB7016" w:rsidRDefault="00347C9C" w:rsidP="00A65897">
      <w:pPr>
        <w:spacing w:before="120"/>
        <w:jc w:val="both"/>
        <w:rPr>
          <w:rFonts w:ascii="Arial Narrow" w:hAnsi="Arial Narrow" w:cstheme="minorHAnsi"/>
          <w:bCs/>
          <w:sz w:val="22"/>
          <w:szCs w:val="22"/>
        </w:rPr>
      </w:pPr>
      <w:r w:rsidRPr="00EB7016">
        <w:rPr>
          <w:rFonts w:ascii="Arial Narrow" w:hAnsi="Arial Narrow" w:cstheme="minorHAnsi"/>
          <w:kern w:val="1"/>
          <w:sz w:val="22"/>
          <w:szCs w:val="22"/>
        </w:rPr>
        <w:t xml:space="preserve">W związku z realizowanym przez Krajową Izbę Gospodarczą Elektroniki i Telekomunikacji (KIGEiT). projektem pn. </w:t>
      </w:r>
      <w:r w:rsidRPr="00EB7016">
        <w:rPr>
          <w:rFonts w:ascii="Arial Narrow" w:hAnsi="Arial Narrow" w:cstheme="minorHAnsi"/>
          <w:sz w:val="22"/>
          <w:szCs w:val="22"/>
        </w:rPr>
        <w:t>„Profesjonalizacja proinnowacyjnych usług doradczych partnerstwa Instytucji Otoczenia Biznesu Mazowsza” – wsparcie eksperckie</w:t>
      </w:r>
      <w:r w:rsidR="00EB7016">
        <w:rPr>
          <w:rFonts w:ascii="Arial Narrow" w:hAnsi="Arial Narrow" w:cstheme="minorHAnsi"/>
          <w:sz w:val="22"/>
          <w:szCs w:val="22"/>
        </w:rPr>
        <w:t xml:space="preserve"> </w:t>
      </w:r>
      <w:r w:rsidR="001D18E5" w:rsidRPr="00EB7016">
        <w:rPr>
          <w:rFonts w:ascii="Arial Narrow" w:hAnsi="Arial Narrow" w:cstheme="minorHAnsi"/>
          <w:bCs/>
          <w:sz w:val="22"/>
          <w:szCs w:val="22"/>
        </w:rPr>
        <w:t>zapraszamy do złożenia oferty na</w:t>
      </w:r>
      <w:r w:rsidR="003D566E" w:rsidRPr="00EB7016">
        <w:rPr>
          <w:rFonts w:ascii="Arial Narrow" w:hAnsi="Arial Narrow" w:cstheme="minorHAnsi"/>
          <w:bCs/>
          <w:sz w:val="22"/>
          <w:szCs w:val="22"/>
        </w:rPr>
        <w:t>:</w:t>
      </w:r>
      <w:r w:rsidR="001D18E5" w:rsidRPr="00EB7016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3D566E" w:rsidRPr="00EB7016">
        <w:rPr>
          <w:rFonts w:ascii="Arial Narrow" w:hAnsi="Arial Narrow" w:cstheme="minorHAnsi"/>
          <w:b/>
          <w:sz w:val="22"/>
          <w:szCs w:val="22"/>
        </w:rPr>
        <w:t>W</w:t>
      </w:r>
      <w:r w:rsidRPr="00EB7016">
        <w:rPr>
          <w:rFonts w:ascii="Arial Narrow" w:hAnsi="Arial Narrow" w:cstheme="minorHAnsi"/>
          <w:b/>
          <w:sz w:val="22"/>
          <w:szCs w:val="22"/>
        </w:rPr>
        <w:t>ykonanie analizy i zaprojektowaniu usługi w zakresie zaspokajania potrzeb MSP w obszarze monitorowania i prognozowania rynku w</w:t>
      </w:r>
      <w:r w:rsidR="00EB7016">
        <w:rPr>
          <w:rFonts w:ascii="Arial Narrow" w:hAnsi="Arial Narrow" w:cstheme="minorHAnsi"/>
          <w:b/>
          <w:sz w:val="22"/>
          <w:szCs w:val="22"/>
        </w:rPr>
        <w:t> </w:t>
      </w:r>
      <w:r w:rsidRPr="00EB7016">
        <w:rPr>
          <w:rFonts w:ascii="Arial Narrow" w:hAnsi="Arial Narrow" w:cstheme="minorHAnsi"/>
          <w:b/>
          <w:sz w:val="22"/>
          <w:szCs w:val="22"/>
        </w:rPr>
        <w:t>sektorze elektronicznym</w:t>
      </w:r>
      <w:r w:rsidR="00A65897">
        <w:rPr>
          <w:rFonts w:ascii="Arial Narrow" w:hAnsi="Arial Narrow" w:cstheme="minorHAnsi"/>
          <w:b/>
          <w:sz w:val="22"/>
          <w:szCs w:val="22"/>
        </w:rPr>
        <w:t>.</w:t>
      </w:r>
    </w:p>
    <w:p w14:paraId="1C70F406" w14:textId="77777777" w:rsidR="007D75AA" w:rsidRPr="00EB7016" w:rsidRDefault="001D18E5" w:rsidP="00664E73">
      <w:pPr>
        <w:pStyle w:val="Default"/>
        <w:spacing w:before="120" w:after="120"/>
        <w:jc w:val="both"/>
        <w:rPr>
          <w:rFonts w:ascii="Arial Narrow" w:hAnsi="Arial Narrow"/>
          <w:bCs/>
          <w:sz w:val="22"/>
          <w:szCs w:val="22"/>
        </w:rPr>
      </w:pPr>
      <w:r w:rsidRPr="00EB7016">
        <w:rPr>
          <w:rFonts w:ascii="Arial Narrow" w:hAnsi="Arial Narrow"/>
          <w:bCs/>
          <w:sz w:val="22"/>
          <w:szCs w:val="22"/>
        </w:rPr>
        <w:t>Szczegółowe dane zapytania przedstawiamy poniżej:</w:t>
      </w:r>
    </w:p>
    <w:tbl>
      <w:tblPr>
        <w:tblStyle w:val="Tabela-Siatka"/>
        <w:tblW w:w="9607" w:type="dxa"/>
        <w:tblLook w:val="04A0" w:firstRow="1" w:lastRow="0" w:firstColumn="1" w:lastColumn="0" w:noHBand="0" w:noVBand="1"/>
      </w:tblPr>
      <w:tblGrid>
        <w:gridCol w:w="2518"/>
        <w:gridCol w:w="7089"/>
      </w:tblGrid>
      <w:tr w:rsidR="001D18E5" w:rsidRPr="00EB7016" w14:paraId="5B8412B8" w14:textId="77777777" w:rsidTr="00664E73">
        <w:tc>
          <w:tcPr>
            <w:tcW w:w="2518" w:type="dxa"/>
          </w:tcPr>
          <w:p w14:paraId="38C865E5" w14:textId="77777777" w:rsidR="001D18E5" w:rsidRPr="00EB7016" w:rsidRDefault="001D18E5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Zamawiający</w:t>
            </w:r>
          </w:p>
        </w:tc>
        <w:tc>
          <w:tcPr>
            <w:tcW w:w="7089" w:type="dxa"/>
          </w:tcPr>
          <w:p w14:paraId="7AF9C83F" w14:textId="77777777" w:rsidR="003B747E" w:rsidRPr="00C2409C" w:rsidRDefault="00347C9C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C2409C">
              <w:rPr>
                <w:rFonts w:ascii="Arial Narrow" w:hAnsi="Arial Narrow" w:cstheme="minorHAnsi"/>
                <w:b/>
                <w:bCs/>
                <w:kern w:val="1"/>
                <w:sz w:val="22"/>
                <w:szCs w:val="22"/>
              </w:rPr>
              <w:t>Krajowa Izba Gospodarcza Elektroniki i Telekomunikacji</w:t>
            </w:r>
          </w:p>
        </w:tc>
      </w:tr>
      <w:tr w:rsidR="00AC0682" w:rsidRPr="00EB7016" w14:paraId="26DBE942" w14:textId="77777777" w:rsidTr="00664E73">
        <w:tc>
          <w:tcPr>
            <w:tcW w:w="2518" w:type="dxa"/>
          </w:tcPr>
          <w:p w14:paraId="74CF042B" w14:textId="77777777" w:rsidR="00AC0682" w:rsidRPr="00EB7016" w:rsidRDefault="00AC0682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Nazwa </w:t>
            </w:r>
            <w:r w:rsidR="00DB35CD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i numer </w:t>
            </w: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projektu</w:t>
            </w:r>
          </w:p>
        </w:tc>
        <w:tc>
          <w:tcPr>
            <w:tcW w:w="7089" w:type="dxa"/>
          </w:tcPr>
          <w:p w14:paraId="5986E3BF" w14:textId="65336323" w:rsidR="00FC5AC5" w:rsidRPr="00C2409C" w:rsidRDefault="00422FC5" w:rsidP="00C2409C">
            <w:pPr>
              <w:spacing w:before="12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C2409C">
              <w:rPr>
                <w:rFonts w:ascii="Arial Narrow" w:hAnsi="Arial Narrow" w:cstheme="minorHAnsi"/>
                <w:b/>
                <w:bCs/>
                <w:kern w:val="1"/>
                <w:sz w:val="22"/>
                <w:szCs w:val="22"/>
              </w:rPr>
              <w:t>„</w:t>
            </w:r>
            <w:r w:rsidR="00347C9C" w:rsidRPr="00C2409C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Profesjonalizacja proinnowacyjnych usług doradczych partnerstwa Instytucji Otoczenia Biznesu Mazowsza” – wsparcie eksperckie</w:t>
            </w:r>
          </w:p>
        </w:tc>
      </w:tr>
      <w:tr w:rsidR="001D18E5" w:rsidRPr="00EB7016" w14:paraId="713B19DF" w14:textId="77777777" w:rsidTr="00664E73">
        <w:tc>
          <w:tcPr>
            <w:tcW w:w="2518" w:type="dxa"/>
          </w:tcPr>
          <w:p w14:paraId="5D905EC5" w14:textId="77777777" w:rsidR="001D18E5" w:rsidRPr="00EB7016" w:rsidRDefault="003B747E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>Tytuł</w:t>
            </w:r>
            <w:r w:rsidR="00AC0682" w:rsidRPr="00EB7016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EB7016">
              <w:rPr>
                <w:rFonts w:ascii="Arial Narrow" w:hAnsi="Arial Narrow" w:cstheme="minorHAnsi"/>
                <w:sz w:val="22"/>
                <w:szCs w:val="22"/>
              </w:rPr>
              <w:t xml:space="preserve"> zamówienia</w:t>
            </w:r>
          </w:p>
        </w:tc>
        <w:tc>
          <w:tcPr>
            <w:tcW w:w="7089" w:type="dxa"/>
          </w:tcPr>
          <w:p w14:paraId="06908496" w14:textId="025945AC" w:rsidR="00BC048A" w:rsidRPr="00C2409C" w:rsidRDefault="00C5058F" w:rsidP="00C2409C">
            <w:pPr>
              <w:spacing w:before="120"/>
              <w:jc w:val="both"/>
              <w:rPr>
                <w:rFonts w:ascii="Arial Narrow" w:hAnsi="Arial Narrow" w:cstheme="minorHAnsi"/>
                <w:b/>
                <w:bCs/>
                <w:kern w:val="1"/>
                <w:sz w:val="22"/>
                <w:szCs w:val="22"/>
              </w:rPr>
            </w:pPr>
            <w:r w:rsidRPr="00C2409C">
              <w:rPr>
                <w:rFonts w:ascii="Arial Narrow" w:hAnsi="Arial Narrow" w:cstheme="minorHAnsi"/>
                <w:b/>
                <w:bCs/>
                <w:kern w:val="1"/>
                <w:sz w:val="22"/>
                <w:szCs w:val="22"/>
              </w:rPr>
              <w:t>Szczegółowa analiza i zaprojektowanie usługi w zakresie zaspokajania potrzeb MSP w obszarze monitorowania i prognozowania rynku w sektorze elektroniczny</w:t>
            </w:r>
            <w:r w:rsidR="00C2409C" w:rsidRPr="00C2409C">
              <w:rPr>
                <w:rFonts w:ascii="Arial Narrow" w:hAnsi="Arial Narrow" w:cstheme="minorHAnsi"/>
                <w:b/>
                <w:bCs/>
                <w:kern w:val="1"/>
              </w:rPr>
              <w:t>m</w:t>
            </w:r>
          </w:p>
        </w:tc>
      </w:tr>
      <w:tr w:rsidR="00344EAA" w:rsidRPr="00EB7016" w14:paraId="0FA9A48E" w14:textId="77777777" w:rsidTr="00C2409C">
        <w:tc>
          <w:tcPr>
            <w:tcW w:w="9607" w:type="dxa"/>
            <w:gridSpan w:val="2"/>
          </w:tcPr>
          <w:p w14:paraId="035C86BD" w14:textId="77777777" w:rsidR="00344EAA" w:rsidRPr="00EB7016" w:rsidRDefault="00344EAA" w:rsidP="00C2409C">
            <w:pPr>
              <w:pStyle w:val="Default"/>
              <w:spacing w:before="120"/>
              <w:jc w:val="center"/>
              <w:rPr>
                <w:rFonts w:ascii="Arial Narrow" w:hAnsi="Arial Narrow" w:cstheme="minorHAnsi"/>
                <w:b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/>
                <w:bCs/>
                <w:color w:val="auto"/>
                <w:sz w:val="22"/>
                <w:szCs w:val="22"/>
              </w:rPr>
              <w:t xml:space="preserve">Przedmiot zamówienia </w:t>
            </w:r>
          </w:p>
        </w:tc>
      </w:tr>
      <w:tr w:rsidR="00344EAA" w:rsidRPr="00EB7016" w14:paraId="7A74DB08" w14:textId="77777777" w:rsidTr="00664E73">
        <w:tc>
          <w:tcPr>
            <w:tcW w:w="2518" w:type="dxa"/>
          </w:tcPr>
          <w:p w14:paraId="7A1A8F49" w14:textId="77777777" w:rsidR="00344EAA" w:rsidRPr="00EB7016" w:rsidRDefault="00344EAA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Opis przedmiotu zamówienia</w:t>
            </w:r>
          </w:p>
        </w:tc>
        <w:tc>
          <w:tcPr>
            <w:tcW w:w="7089" w:type="dxa"/>
          </w:tcPr>
          <w:p w14:paraId="67F7CA18" w14:textId="3C93A8CA" w:rsidR="00347C9C" w:rsidRPr="00EB7016" w:rsidRDefault="00347C9C" w:rsidP="00C2409C">
            <w:pPr>
              <w:pStyle w:val="Default"/>
              <w:numPr>
                <w:ilvl w:val="0"/>
                <w:numId w:val="19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Przeprowadzenie  szczegółow</w:t>
            </w:r>
            <w:r w:rsidR="00E508C2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ej analizy potrzeb MSP (małych i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 średnich przedsiębiorstw) z sektora elektronicznego w</w:t>
            </w:r>
            <w:r w:rsidR="00A96E6A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zakresie monitorowania i</w:t>
            </w:r>
            <w:r w:rsidR="00C2409C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prognozowania rynku</w:t>
            </w:r>
          </w:p>
          <w:p w14:paraId="2810EE2F" w14:textId="7C399E51" w:rsidR="00347C9C" w:rsidRDefault="00347C9C" w:rsidP="00C2409C">
            <w:pPr>
              <w:pStyle w:val="Default"/>
              <w:numPr>
                <w:ilvl w:val="0"/>
                <w:numId w:val="19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Opracowanie, na podstawie ww. analizy, projektu usługi  w zakresie monitorowania i prognozowania rynku</w:t>
            </w:r>
          </w:p>
          <w:p w14:paraId="2C8E5765" w14:textId="77777777" w:rsidR="00347C9C" w:rsidRPr="00EB7016" w:rsidRDefault="00347C9C" w:rsidP="00C2409C">
            <w:pPr>
              <w:pStyle w:val="Default"/>
              <w:numPr>
                <w:ilvl w:val="0"/>
                <w:numId w:val="19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Założenia, które ma spełniać opracowywana usługa:</w:t>
            </w:r>
          </w:p>
          <w:p w14:paraId="6BBB7AC1" w14:textId="490901A2" w:rsidR="00347C9C" w:rsidRPr="00EB7016" w:rsidRDefault="00347C9C" w:rsidP="00C2409C">
            <w:pPr>
              <w:pStyle w:val="Default"/>
              <w:numPr>
                <w:ilvl w:val="1"/>
                <w:numId w:val="20"/>
              </w:numPr>
              <w:ind w:left="603" w:hanging="357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Tworzenie rzetelnej wiedzy i diagnozy o sytuacji na rynku - zarówno w</w:t>
            </w:r>
            <w:r w:rsidR="00C2409C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aspekcie wielkości rynku, jak i występujących trendów, zagrożeń.</w:t>
            </w:r>
          </w:p>
          <w:p w14:paraId="12613FBE" w14:textId="0F4FF445" w:rsidR="00347C9C" w:rsidRPr="00EB7016" w:rsidRDefault="00347C9C" w:rsidP="00C2409C">
            <w:pPr>
              <w:pStyle w:val="Default"/>
              <w:numPr>
                <w:ilvl w:val="0"/>
                <w:numId w:val="20"/>
              </w:numPr>
              <w:ind w:left="603" w:hanging="357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Wykorzystanie gromadzonej bazy do:</w:t>
            </w:r>
          </w:p>
          <w:p w14:paraId="37D718CB" w14:textId="7013BA6A" w:rsidR="00347C9C" w:rsidRPr="00EB7016" w:rsidRDefault="00347C9C" w:rsidP="00C2409C">
            <w:pPr>
              <w:pStyle w:val="Default"/>
              <w:numPr>
                <w:ilvl w:val="0"/>
                <w:numId w:val="21"/>
              </w:numPr>
              <w:ind w:hanging="357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stworzenia systemu informacji dla firm korzystających z usługi,</w:t>
            </w:r>
          </w:p>
          <w:p w14:paraId="51DEE322" w14:textId="33FCE4AA" w:rsidR="00347C9C" w:rsidRPr="00EB7016" w:rsidRDefault="00347C9C" w:rsidP="00C2409C">
            <w:pPr>
              <w:pStyle w:val="Default"/>
              <w:numPr>
                <w:ilvl w:val="0"/>
                <w:numId w:val="21"/>
              </w:numPr>
              <w:ind w:hanging="357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wykorzystanie gromadzonej wiedzy do wykonywania analiz służących wspieraniu polityki państwa i mających na celu rozwój sektora lub usuwanie barier rozwoju</w:t>
            </w:r>
          </w:p>
          <w:p w14:paraId="6EBC82D0" w14:textId="77777777" w:rsidR="00347C9C" w:rsidRPr="00EB7016" w:rsidRDefault="00347C9C" w:rsidP="00C2409C">
            <w:pPr>
              <w:pStyle w:val="Default"/>
              <w:numPr>
                <w:ilvl w:val="0"/>
                <w:numId w:val="19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W celu realizacji ww. założeń usługa powinna zawierać: </w:t>
            </w:r>
          </w:p>
          <w:p w14:paraId="50F3623E" w14:textId="2A4C0220" w:rsidR="00347C9C" w:rsidRPr="00EB7016" w:rsidRDefault="00347C9C" w:rsidP="00C2409C">
            <w:pPr>
              <w:pStyle w:val="Default"/>
              <w:numPr>
                <w:ilvl w:val="0"/>
                <w:numId w:val="23"/>
              </w:numPr>
              <w:ind w:left="601" w:hanging="357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stały monitoring polskiego rynku elektronicznego poprzez periodyczne zbieranie informacji z dostępnych źródeł, a</w:t>
            </w:r>
            <w:r w:rsidR="00A96E6A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w</w:t>
            </w:r>
            <w:r w:rsidR="00A96E6A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szczególności od firm działających na rynku</w:t>
            </w:r>
          </w:p>
          <w:p w14:paraId="240CC7F5" w14:textId="2F03B4C7" w:rsidR="00347C9C" w:rsidRPr="00EB7016" w:rsidRDefault="00347C9C" w:rsidP="00C2409C">
            <w:pPr>
              <w:pStyle w:val="Default"/>
              <w:numPr>
                <w:ilvl w:val="0"/>
                <w:numId w:val="23"/>
              </w:numPr>
              <w:ind w:left="601" w:hanging="357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stworzenie narzędzi informatycznych  do przetwarzania uzyskanych informacji do spójnej formy bazy wiedzy i tworzenia raportowania według określonych schematów</w:t>
            </w:r>
          </w:p>
          <w:p w14:paraId="195FB6E8" w14:textId="77777777" w:rsidR="00347C9C" w:rsidRPr="00EB7016" w:rsidRDefault="00347C9C" w:rsidP="00C2409C">
            <w:pPr>
              <w:pStyle w:val="Default"/>
              <w:numPr>
                <w:ilvl w:val="0"/>
                <w:numId w:val="19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W celu opracowania ww. usługi, adekwatnej dla polskich przedsiębiorstw MSP działających na rynku elektronicznym, w</w:t>
            </w:r>
            <w:r w:rsidR="00A96E6A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ramach zamówienia niezbędne jest m.in.:</w:t>
            </w:r>
          </w:p>
          <w:p w14:paraId="07F89EE7" w14:textId="3604EE8E" w:rsidR="00347C9C" w:rsidRPr="00EB7016" w:rsidRDefault="00347C9C" w:rsidP="00C2409C">
            <w:pPr>
              <w:pStyle w:val="Default"/>
              <w:numPr>
                <w:ilvl w:val="0"/>
                <w:numId w:val="24"/>
              </w:numPr>
              <w:ind w:left="601" w:hanging="357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stworzenie bazy polskich </w:t>
            </w:r>
            <w:r w:rsidR="008E3924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elektronicznych 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przedsiębiorstw </w:t>
            </w:r>
            <w:r w:rsidR="008E3924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produkcyjnych 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z</w:t>
            </w:r>
            <w:r w:rsidR="00A96E6A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sektora MSP</w:t>
            </w:r>
            <w:r w:rsidR="008E3924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 (minimum 10% przedsiębiorstw na ogólną liczbę MSP w</w:t>
            </w:r>
            <w:r w:rsidR="00C2409C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 </w:t>
            </w:r>
            <w:r w:rsidR="008E3924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sektorze ok. 6300)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,</w:t>
            </w:r>
          </w:p>
          <w:p w14:paraId="67F4B55E" w14:textId="0699A672" w:rsidR="00347C9C" w:rsidRPr="00EB7016" w:rsidRDefault="00347C9C" w:rsidP="00C2409C">
            <w:pPr>
              <w:pStyle w:val="Default"/>
              <w:numPr>
                <w:ilvl w:val="0"/>
                <w:numId w:val="24"/>
              </w:numPr>
              <w:ind w:left="601" w:hanging="357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podzielenie ich na segmenty branżowe,</w:t>
            </w:r>
          </w:p>
          <w:p w14:paraId="31DED2DB" w14:textId="7E4FCF10" w:rsidR="00347C9C" w:rsidRPr="00EB7016" w:rsidRDefault="00347C9C" w:rsidP="00C2409C">
            <w:pPr>
              <w:pStyle w:val="Default"/>
              <w:numPr>
                <w:ilvl w:val="0"/>
                <w:numId w:val="24"/>
              </w:numPr>
              <w:ind w:left="601" w:hanging="357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lastRenderedPageBreak/>
              <w:t>przeprowadzenie ankietowania oddzielnie dla każdego segmentu przedsiębiorstw w celu uzyskania wiedzy nt. szczegółowych potrzeb informacyjnych,</w:t>
            </w:r>
          </w:p>
          <w:p w14:paraId="4C4BF120" w14:textId="55ECEE00" w:rsidR="00347C9C" w:rsidRPr="00EB7016" w:rsidRDefault="00347C9C" w:rsidP="00C2409C">
            <w:pPr>
              <w:pStyle w:val="Default"/>
              <w:numPr>
                <w:ilvl w:val="0"/>
                <w:numId w:val="24"/>
              </w:numPr>
              <w:ind w:left="601" w:hanging="357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opracowanie indywidualnie dla każdego segmentu przedsiębiorstw zbioru danych niezbędnych do zbierania w</w:t>
            </w:r>
            <w:r w:rsidR="00A96E6A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ramach usługi (opierając się na informacji wynikającej z</w:t>
            </w:r>
            <w:r w:rsidR="00A96E6A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przeprowadzonego ankietowania),</w:t>
            </w:r>
          </w:p>
          <w:p w14:paraId="5910F431" w14:textId="0DFCDA93" w:rsidR="00344EAA" w:rsidRPr="00EB7016" w:rsidRDefault="00347C9C" w:rsidP="00C2409C">
            <w:pPr>
              <w:pStyle w:val="Default"/>
              <w:numPr>
                <w:ilvl w:val="0"/>
                <w:numId w:val="24"/>
              </w:numPr>
              <w:ind w:left="601" w:hanging="357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opracowanie projektu usługi, ze wskazaniem grup odbiorców, mającej formę stałego monitoringu polskiego rynku elektronicznego</w:t>
            </w:r>
            <w:r w:rsid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344EAA" w:rsidRPr="00EB7016" w14:paraId="3505D638" w14:textId="77777777" w:rsidTr="00664E73">
        <w:tc>
          <w:tcPr>
            <w:tcW w:w="2518" w:type="dxa"/>
          </w:tcPr>
          <w:p w14:paraId="7003BCF0" w14:textId="77777777" w:rsidR="00344EAA" w:rsidRPr="00EB7016" w:rsidRDefault="00344EAA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lastRenderedPageBreak/>
              <w:t>Kategoria ogłoszenia</w:t>
            </w:r>
          </w:p>
        </w:tc>
        <w:tc>
          <w:tcPr>
            <w:tcW w:w="7089" w:type="dxa"/>
          </w:tcPr>
          <w:p w14:paraId="5A7426EA" w14:textId="77777777" w:rsidR="00344EAA" w:rsidRPr="00EB7016" w:rsidRDefault="00347C9C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usługi</w:t>
            </w:r>
          </w:p>
        </w:tc>
      </w:tr>
      <w:tr w:rsidR="00344EAA" w:rsidRPr="00EB7016" w14:paraId="6B692F52" w14:textId="77777777" w:rsidTr="00664E73">
        <w:tc>
          <w:tcPr>
            <w:tcW w:w="2518" w:type="dxa"/>
          </w:tcPr>
          <w:p w14:paraId="3BF7FBCF" w14:textId="77777777" w:rsidR="00344EAA" w:rsidRPr="00EB7016" w:rsidRDefault="00344EAA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Podkategoria ogłoszenia</w:t>
            </w:r>
          </w:p>
        </w:tc>
        <w:tc>
          <w:tcPr>
            <w:tcW w:w="7089" w:type="dxa"/>
          </w:tcPr>
          <w:p w14:paraId="33840965" w14:textId="330FC1C8" w:rsidR="00344EAA" w:rsidRPr="00EB7016" w:rsidRDefault="00347C9C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Usługi </w:t>
            </w:r>
            <w:r w:rsidR="00EB7016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inne</w:t>
            </w:r>
          </w:p>
        </w:tc>
      </w:tr>
      <w:tr w:rsidR="00344EAA" w:rsidRPr="00EB7016" w14:paraId="6C1881DA" w14:textId="77777777" w:rsidTr="00664E73">
        <w:tc>
          <w:tcPr>
            <w:tcW w:w="2518" w:type="dxa"/>
          </w:tcPr>
          <w:p w14:paraId="3D494F81" w14:textId="77777777" w:rsidR="00344EAA" w:rsidRPr="00EB7016" w:rsidRDefault="00344EAA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Okres gwarancji</w:t>
            </w:r>
          </w:p>
        </w:tc>
        <w:tc>
          <w:tcPr>
            <w:tcW w:w="7089" w:type="dxa"/>
          </w:tcPr>
          <w:p w14:paraId="407BE54D" w14:textId="77777777" w:rsidR="00344EAA" w:rsidRPr="00EB7016" w:rsidRDefault="00347C9C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344EAA" w:rsidRPr="00EB7016" w14:paraId="4BF2403C" w14:textId="77777777" w:rsidTr="00664E73">
        <w:tc>
          <w:tcPr>
            <w:tcW w:w="2518" w:type="dxa"/>
          </w:tcPr>
          <w:p w14:paraId="033A81F5" w14:textId="77777777" w:rsidR="00344EAA" w:rsidRPr="00EB7016" w:rsidRDefault="00344EAA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Kody CPV</w:t>
            </w:r>
          </w:p>
        </w:tc>
        <w:tc>
          <w:tcPr>
            <w:tcW w:w="7089" w:type="dxa"/>
          </w:tcPr>
          <w:p w14:paraId="76984DEC" w14:textId="77777777" w:rsidR="00344EAA" w:rsidRPr="00EB7016" w:rsidRDefault="00347C9C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eastAsia="Times New Roman" w:hAnsi="Arial Narrow" w:cstheme="minorHAnsi"/>
                <w:color w:val="auto"/>
                <w:sz w:val="22"/>
                <w:szCs w:val="22"/>
                <w:lang w:eastAsia="ar-SA"/>
              </w:rPr>
              <w:t>79411100-9</w:t>
            </w:r>
            <w:r w:rsidR="00344EAA" w:rsidRPr="00EB7016">
              <w:rPr>
                <w:rFonts w:ascii="Arial Narrow" w:eastAsia="Times New Roman" w:hAnsi="Arial Narrow" w:cstheme="minorHAnsi"/>
                <w:color w:val="auto"/>
                <w:sz w:val="22"/>
                <w:szCs w:val="22"/>
                <w:lang w:eastAsia="ar-SA"/>
              </w:rPr>
              <w:t xml:space="preserve">  </w:t>
            </w:r>
            <w:r w:rsidRPr="00EB7016">
              <w:rPr>
                <w:rFonts w:ascii="Arial Narrow" w:eastAsia="Times New Roman" w:hAnsi="Arial Narrow" w:cstheme="minorHAnsi"/>
                <w:color w:val="auto"/>
                <w:sz w:val="22"/>
                <w:szCs w:val="22"/>
                <w:lang w:eastAsia="ar-SA"/>
              </w:rPr>
              <w:t>Usługi doradcze w zakresie rozwoju działalności gospodarczej</w:t>
            </w:r>
          </w:p>
        </w:tc>
      </w:tr>
      <w:tr w:rsidR="00344EAA" w:rsidRPr="00EB7016" w14:paraId="5308E72C" w14:textId="77777777" w:rsidTr="00664E73">
        <w:tc>
          <w:tcPr>
            <w:tcW w:w="2518" w:type="dxa"/>
          </w:tcPr>
          <w:p w14:paraId="27972520" w14:textId="77777777" w:rsidR="00344EAA" w:rsidRPr="00EB7016" w:rsidRDefault="00344EAA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Miejsce realizacji</w:t>
            </w:r>
          </w:p>
        </w:tc>
        <w:tc>
          <w:tcPr>
            <w:tcW w:w="7089" w:type="dxa"/>
          </w:tcPr>
          <w:p w14:paraId="6C78029B" w14:textId="77777777" w:rsidR="00344EAA" w:rsidRPr="00EB7016" w:rsidRDefault="00347C9C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Warszawa (woj.</w:t>
            </w:r>
            <w:r w:rsidR="00094C28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mazowieckie, </w:t>
            </w:r>
            <w:r w:rsidR="00E508C2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powiat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 m.st.</w:t>
            </w:r>
            <w:r w:rsidR="00094C28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Warszawa</w:t>
            </w:r>
            <w:r w:rsidR="00344EAA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,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344EAA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gm</w:t>
            </w:r>
            <w:r w:rsidR="00E508C2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ina Mokotów</w:t>
            </w:r>
            <w:r w:rsidR="00344EAA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)</w:t>
            </w:r>
          </w:p>
        </w:tc>
      </w:tr>
      <w:tr w:rsidR="007D7D1F" w:rsidRPr="00EB7016" w14:paraId="742B7E0F" w14:textId="77777777" w:rsidTr="00C2409C">
        <w:tc>
          <w:tcPr>
            <w:tcW w:w="9607" w:type="dxa"/>
            <w:gridSpan w:val="2"/>
          </w:tcPr>
          <w:p w14:paraId="17996E5C" w14:textId="77777777" w:rsidR="007D7D1F" w:rsidRPr="00EB7016" w:rsidRDefault="007D7D1F" w:rsidP="00C2409C">
            <w:pPr>
              <w:pStyle w:val="Default"/>
              <w:spacing w:before="12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Terminy realizacji zamówienia</w:t>
            </w:r>
          </w:p>
        </w:tc>
      </w:tr>
      <w:tr w:rsidR="007D7D1F" w:rsidRPr="00EB7016" w14:paraId="73C9B82C" w14:textId="77777777" w:rsidTr="00664E73">
        <w:tc>
          <w:tcPr>
            <w:tcW w:w="2518" w:type="dxa"/>
          </w:tcPr>
          <w:p w14:paraId="438FFFF5" w14:textId="77777777" w:rsidR="007D7D1F" w:rsidRPr="00EB7016" w:rsidRDefault="007D7D1F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Planowany termin podpisania umowy</w:t>
            </w:r>
          </w:p>
        </w:tc>
        <w:tc>
          <w:tcPr>
            <w:tcW w:w="7089" w:type="dxa"/>
          </w:tcPr>
          <w:p w14:paraId="065B333F" w14:textId="77777777" w:rsidR="007D7D1F" w:rsidRPr="00EB7016" w:rsidRDefault="005607F1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0</w:t>
            </w:r>
            <w:r w:rsidR="007D7D1F"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2.202</w:t>
            </w: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1</w:t>
            </w:r>
            <w:r w:rsidR="007D7D1F"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 r. </w:t>
            </w:r>
          </w:p>
        </w:tc>
      </w:tr>
      <w:tr w:rsidR="007D7D1F" w:rsidRPr="00EB7016" w14:paraId="74A1AEF5" w14:textId="77777777" w:rsidTr="00664E73">
        <w:tc>
          <w:tcPr>
            <w:tcW w:w="2518" w:type="dxa"/>
          </w:tcPr>
          <w:p w14:paraId="1CAB6A58" w14:textId="77777777" w:rsidR="007D7D1F" w:rsidRPr="00EB7016" w:rsidRDefault="007D7D1F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Etapy zamówienia</w:t>
            </w:r>
          </w:p>
        </w:tc>
        <w:tc>
          <w:tcPr>
            <w:tcW w:w="7089" w:type="dxa"/>
          </w:tcPr>
          <w:p w14:paraId="771B7D45" w14:textId="77777777" w:rsidR="007D7D1F" w:rsidRPr="00EB7016" w:rsidRDefault="007D7D1F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brak</w:t>
            </w:r>
          </w:p>
        </w:tc>
      </w:tr>
      <w:tr w:rsidR="003B7EEB" w:rsidRPr="00EB7016" w14:paraId="1EB8E762" w14:textId="77777777" w:rsidTr="00C2409C">
        <w:tc>
          <w:tcPr>
            <w:tcW w:w="9607" w:type="dxa"/>
            <w:gridSpan w:val="2"/>
          </w:tcPr>
          <w:p w14:paraId="79C1E69C" w14:textId="77777777" w:rsidR="003B7EEB" w:rsidRPr="00EB7016" w:rsidRDefault="003B7EEB" w:rsidP="00C2409C">
            <w:pPr>
              <w:pStyle w:val="Default"/>
              <w:spacing w:before="12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Wymagania do zamówienia</w:t>
            </w:r>
          </w:p>
        </w:tc>
      </w:tr>
      <w:tr w:rsidR="008A54A8" w:rsidRPr="00EB7016" w14:paraId="18EC662F" w14:textId="77777777" w:rsidTr="00664E73">
        <w:tc>
          <w:tcPr>
            <w:tcW w:w="2518" w:type="dxa"/>
          </w:tcPr>
          <w:p w14:paraId="3691660E" w14:textId="77777777" w:rsidR="008A54A8" w:rsidRPr="00EB7016" w:rsidRDefault="00AE7026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Uprawnienia do wykonania określonej działalności lub czynności</w:t>
            </w:r>
          </w:p>
        </w:tc>
        <w:tc>
          <w:tcPr>
            <w:tcW w:w="7089" w:type="dxa"/>
          </w:tcPr>
          <w:p w14:paraId="0304FD8F" w14:textId="77777777" w:rsidR="00A316AD" w:rsidRPr="00EB7016" w:rsidRDefault="00A316AD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>Zamawiający nie określa tego warunku</w:t>
            </w:r>
          </w:p>
          <w:p w14:paraId="717FFB96" w14:textId="77777777" w:rsidR="00A316AD" w:rsidRPr="00EB7016" w:rsidRDefault="00A316AD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  <w:p w14:paraId="55E3A2E1" w14:textId="77777777" w:rsidR="008A54A8" w:rsidRPr="00EB7016" w:rsidRDefault="008A54A8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</w:tr>
      <w:tr w:rsidR="008A54A8" w:rsidRPr="00EB7016" w14:paraId="685FBE93" w14:textId="77777777" w:rsidTr="00664E73">
        <w:tc>
          <w:tcPr>
            <w:tcW w:w="2518" w:type="dxa"/>
          </w:tcPr>
          <w:p w14:paraId="4018E7C0" w14:textId="77777777" w:rsidR="008A54A8" w:rsidRPr="00EB7016" w:rsidRDefault="00AE7026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>W</w:t>
            </w:r>
            <w:r w:rsidR="003B7EEB" w:rsidRPr="00EB7016">
              <w:rPr>
                <w:rFonts w:ascii="Arial Narrow" w:hAnsi="Arial Narrow" w:cstheme="minorHAnsi"/>
                <w:sz w:val="22"/>
                <w:szCs w:val="22"/>
              </w:rPr>
              <w:t>iedza i doświadczenie</w:t>
            </w:r>
          </w:p>
        </w:tc>
        <w:tc>
          <w:tcPr>
            <w:tcW w:w="7089" w:type="dxa"/>
          </w:tcPr>
          <w:p w14:paraId="167F7FF4" w14:textId="77777777" w:rsidR="00292CAB" w:rsidRPr="00EB7016" w:rsidRDefault="00292CAB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 xml:space="preserve">Wykonawca powinien </w:t>
            </w:r>
            <w:r w:rsidR="00A772B6" w:rsidRPr="00EB7016">
              <w:rPr>
                <w:rFonts w:ascii="Arial Narrow" w:hAnsi="Arial Narrow" w:cstheme="minorHAnsi"/>
                <w:sz w:val="22"/>
                <w:szCs w:val="22"/>
              </w:rPr>
              <w:t xml:space="preserve">posiadać odpowiednią wiedzę i </w:t>
            </w:r>
            <w:r w:rsidRPr="00EB7016">
              <w:rPr>
                <w:rFonts w:ascii="Arial Narrow" w:hAnsi="Arial Narrow" w:cstheme="minorHAnsi"/>
                <w:sz w:val="22"/>
                <w:szCs w:val="22"/>
              </w:rPr>
              <w:t xml:space="preserve"> doświadczenie  </w:t>
            </w:r>
            <w:r w:rsidR="00D77EDC" w:rsidRPr="00EB7016">
              <w:rPr>
                <w:rFonts w:ascii="Arial Narrow" w:hAnsi="Arial Narrow" w:cstheme="minorHAnsi"/>
                <w:sz w:val="22"/>
                <w:szCs w:val="22"/>
              </w:rPr>
              <w:t>w realizacji zamówień podobnych tj.</w:t>
            </w:r>
            <w:r w:rsidRPr="00EB7016">
              <w:rPr>
                <w:rFonts w:ascii="Arial Narrow" w:hAnsi="Arial Narrow" w:cstheme="minorHAnsi"/>
                <w:sz w:val="22"/>
                <w:szCs w:val="22"/>
              </w:rPr>
              <w:t>:</w:t>
            </w:r>
          </w:p>
          <w:p w14:paraId="345C66E5" w14:textId="77777777" w:rsidR="00AE7026" w:rsidRPr="00EB7016" w:rsidRDefault="00292CAB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- </w:t>
            </w:r>
            <w:r w:rsidR="00A772B6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w okresie ostatnich 3 lat przed dniem złożenia oferty </w:t>
            </w:r>
            <w:r w:rsidR="00D77EDC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(a jeżeli okres prowadzenia działalności przez Wykonawcę jest krótszy – w tym okresie) </w:t>
            </w:r>
            <w:r w:rsidR="00A772B6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realizowa</w:t>
            </w:r>
            <w:r w:rsidR="00D77EDC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ł</w:t>
            </w:r>
            <w:r w:rsidR="00A772B6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usługi doradcze </w:t>
            </w:r>
            <w:r w:rsidR="00D77EDC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dotyczące zagadnień związanych</w:t>
            </w:r>
            <w:r w:rsidR="00A772B6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</w:t>
            </w:r>
            <w:r w:rsidR="00D77EDC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z </w:t>
            </w:r>
            <w:r w:rsidR="00A772B6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rynk</w:t>
            </w:r>
            <w:r w:rsidR="00D77EDC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iem elektronicznym oraz prowadził badania rynku w tym obszarze.</w:t>
            </w:r>
          </w:p>
          <w:p w14:paraId="65116BC1" w14:textId="22CAF2A4" w:rsidR="008A54A8" w:rsidRPr="00C2409C" w:rsidRDefault="00D77EDC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C2409C">
              <w:rPr>
                <w:rFonts w:ascii="Arial Narrow" w:hAnsi="Arial Narrow" w:cstheme="minorHAnsi"/>
                <w:b/>
                <w:bCs/>
                <w:color w:val="auto"/>
                <w:sz w:val="22"/>
                <w:szCs w:val="22"/>
              </w:rPr>
              <w:t>Ocena pozytywna następuje w przypadku, gdy Wykonawca wskaże  co najmniej 1</w:t>
            </w:r>
            <w:r w:rsidR="00C2409C" w:rsidRPr="00C2409C">
              <w:rPr>
                <w:rFonts w:ascii="Arial Narrow" w:hAnsi="Arial Narrow" w:cstheme="minorHAnsi"/>
                <w:b/>
                <w:bCs/>
                <w:color w:val="auto"/>
                <w:sz w:val="22"/>
                <w:szCs w:val="22"/>
              </w:rPr>
              <w:t> </w:t>
            </w:r>
            <w:r w:rsidRPr="00C2409C">
              <w:rPr>
                <w:rFonts w:ascii="Arial Narrow" w:hAnsi="Arial Narrow" w:cstheme="minorHAnsi"/>
                <w:b/>
                <w:bCs/>
                <w:color w:val="auto"/>
                <w:sz w:val="22"/>
                <w:szCs w:val="22"/>
              </w:rPr>
              <w:t xml:space="preserve">usługę doradczą i 1 badanie rynku (określone jak wyżej) </w:t>
            </w:r>
            <w:r w:rsidR="005371E3" w:rsidRPr="00C2409C">
              <w:rPr>
                <w:rFonts w:ascii="Arial Narrow" w:hAnsi="Arial Narrow" w:cstheme="minorHAnsi"/>
                <w:b/>
                <w:bCs/>
                <w:color w:val="auto"/>
                <w:sz w:val="22"/>
                <w:szCs w:val="22"/>
              </w:rPr>
              <w:t>z</w:t>
            </w:r>
            <w:r w:rsidRPr="00C2409C">
              <w:rPr>
                <w:rFonts w:ascii="Arial Narrow" w:hAnsi="Arial Narrow" w:cstheme="minorHAnsi"/>
                <w:b/>
                <w:bCs/>
                <w:color w:val="auto"/>
                <w:sz w:val="22"/>
                <w:szCs w:val="22"/>
              </w:rPr>
              <w:t xml:space="preserve"> ostatnich 3 lat</w:t>
            </w:r>
            <w:r w:rsidR="005371E3" w:rsidRPr="00C2409C">
              <w:rPr>
                <w:rFonts w:ascii="Arial Narrow" w:hAnsi="Arial Narrow" w:cstheme="minorHAnsi"/>
                <w:b/>
                <w:bCs/>
                <w:color w:val="auto"/>
                <w:sz w:val="22"/>
                <w:szCs w:val="22"/>
              </w:rPr>
              <w:t>, podając nazwę</w:t>
            </w:r>
            <w:r w:rsidR="00537F6D" w:rsidRPr="00C2409C">
              <w:rPr>
                <w:rFonts w:ascii="Arial Narrow" w:hAnsi="Arial Narrow" w:cstheme="minorHAnsi"/>
                <w:b/>
                <w:bCs/>
                <w:color w:val="auto"/>
                <w:sz w:val="22"/>
                <w:szCs w:val="22"/>
              </w:rPr>
              <w:t xml:space="preserve"> świadczonej</w:t>
            </w:r>
            <w:r w:rsidR="005371E3" w:rsidRPr="00C2409C">
              <w:rPr>
                <w:rFonts w:ascii="Arial Narrow" w:hAnsi="Arial Narrow" w:cstheme="minorHAnsi"/>
                <w:b/>
                <w:bCs/>
                <w:color w:val="auto"/>
                <w:sz w:val="22"/>
                <w:szCs w:val="22"/>
              </w:rPr>
              <w:t xml:space="preserve"> usługi, kontrahenta i</w:t>
            </w:r>
            <w:r w:rsidR="00537F6D" w:rsidRPr="00C2409C">
              <w:rPr>
                <w:rFonts w:ascii="Arial Narrow" w:hAnsi="Arial Narrow" w:cstheme="minorHAnsi"/>
                <w:b/>
                <w:bCs/>
                <w:color w:val="auto"/>
                <w:sz w:val="22"/>
                <w:szCs w:val="22"/>
              </w:rPr>
              <w:t> </w:t>
            </w:r>
            <w:r w:rsidR="005371E3" w:rsidRPr="00C2409C">
              <w:rPr>
                <w:rFonts w:ascii="Arial Narrow" w:hAnsi="Arial Narrow" w:cstheme="minorHAnsi"/>
                <w:b/>
                <w:bCs/>
                <w:color w:val="auto"/>
                <w:sz w:val="22"/>
                <w:szCs w:val="22"/>
              </w:rPr>
              <w:t>datę wykonania.</w:t>
            </w:r>
          </w:p>
        </w:tc>
      </w:tr>
      <w:tr w:rsidR="008A54A8" w:rsidRPr="00EB7016" w14:paraId="23AD18E6" w14:textId="77777777" w:rsidTr="00664E73">
        <w:tc>
          <w:tcPr>
            <w:tcW w:w="2518" w:type="dxa"/>
          </w:tcPr>
          <w:p w14:paraId="3C1F0A15" w14:textId="77777777" w:rsidR="00AE7026" w:rsidRPr="00EB7016" w:rsidRDefault="00AE7026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Potencjał techniczny</w:t>
            </w:r>
          </w:p>
          <w:p w14:paraId="0DD2AB10" w14:textId="77777777" w:rsidR="008A54A8" w:rsidRPr="00EB7016" w:rsidRDefault="00736891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(dotyczy obu przedmiotów zamówienia)</w:t>
            </w:r>
          </w:p>
        </w:tc>
        <w:tc>
          <w:tcPr>
            <w:tcW w:w="7089" w:type="dxa"/>
          </w:tcPr>
          <w:p w14:paraId="65F939B6" w14:textId="5C4B2BDE" w:rsidR="00AE7026" w:rsidRPr="00EB7016" w:rsidRDefault="00AE7026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Oferent musi dysponować niezbędnym potencjałem technicznym do wykonania zamówienia w zakresie dostarczenia przedmiotu niniejszego zamówienia</w:t>
            </w:r>
            <w:r w:rsid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.</w:t>
            </w:r>
          </w:p>
          <w:p w14:paraId="05803CE7" w14:textId="6C9F2862" w:rsidR="00292CAB" w:rsidRPr="00EB7016" w:rsidRDefault="00AE7026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(</w:t>
            </w:r>
            <w:r w:rsidRPr="00C2409C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>ocena dokonywana na podstawie oświadczenia Oferenta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)</w:t>
            </w:r>
          </w:p>
        </w:tc>
      </w:tr>
      <w:tr w:rsidR="008A54A8" w:rsidRPr="00EB7016" w14:paraId="694FA431" w14:textId="77777777" w:rsidTr="00664E73">
        <w:tc>
          <w:tcPr>
            <w:tcW w:w="2518" w:type="dxa"/>
          </w:tcPr>
          <w:p w14:paraId="42A1051F" w14:textId="77777777" w:rsidR="008A54A8" w:rsidRPr="00EB7016" w:rsidRDefault="00AE7026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Osoby zdolne do wykonania zamówienia</w:t>
            </w:r>
          </w:p>
        </w:tc>
        <w:tc>
          <w:tcPr>
            <w:tcW w:w="7089" w:type="dxa"/>
          </w:tcPr>
          <w:p w14:paraId="364E60BC" w14:textId="77777777" w:rsidR="004D54D9" w:rsidRPr="00EB7016" w:rsidRDefault="004D54D9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Zamawiający wymaga, aby Wykonawca wykazał, że dysponuje co najmniej jedną osobą, która posiada wiedzę i doświadczenie co najmniej na poziomie wskazanym poniżej:</w:t>
            </w:r>
          </w:p>
          <w:p w14:paraId="77E1EA67" w14:textId="35172CE5" w:rsidR="005371E3" w:rsidRPr="00EB7016" w:rsidRDefault="005371E3" w:rsidP="00C2409C">
            <w:pPr>
              <w:pStyle w:val="Default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- minimum 3-letnie doświadczenie zawodowe w świadczeniu usług doradczych i</w:t>
            </w:r>
            <w:r w:rsidR="00C2409C">
              <w:rPr>
                <w:rFonts w:ascii="Arial Narrow" w:hAnsi="Arial Narrow" w:cstheme="minorHAnsi"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badań rynk</w:t>
            </w:r>
            <w:r w:rsidR="00BA0CB4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owych</w:t>
            </w: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w obszarze rynku elektronicznego</w:t>
            </w:r>
          </w:p>
          <w:p w14:paraId="30EA7704" w14:textId="7E909B1A" w:rsidR="004D54D9" w:rsidRPr="00EB7016" w:rsidRDefault="004D54D9" w:rsidP="00C2409C">
            <w:pPr>
              <w:pStyle w:val="Default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- </w:t>
            </w:r>
            <w:r w:rsidR="005371E3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dogłębnej </w:t>
            </w: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znajomości sektora elektronicznego i firm na nim działających</w:t>
            </w:r>
            <w:r w:rsidR="005371E3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, w</w:t>
            </w:r>
            <w:r w:rsidR="00C2409C">
              <w:rPr>
                <w:rFonts w:ascii="Arial Narrow" w:hAnsi="Arial Narrow" w:cstheme="minorHAnsi"/>
                <w:color w:val="auto"/>
                <w:sz w:val="22"/>
                <w:szCs w:val="22"/>
              </w:rPr>
              <w:t> </w:t>
            </w:r>
            <w:r w:rsidR="005371E3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szczególności MSP (przynajmniej 5-letnie doświadczenie zawodowe</w:t>
            </w:r>
            <w:r w:rsidR="00BA0CB4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współpracy z</w:t>
            </w:r>
            <w:r w:rsidR="00C2409C">
              <w:rPr>
                <w:rFonts w:ascii="Arial Narrow" w:hAnsi="Arial Narrow" w:cstheme="minorHAnsi"/>
                <w:color w:val="auto"/>
                <w:sz w:val="22"/>
                <w:szCs w:val="22"/>
              </w:rPr>
              <w:t> </w:t>
            </w:r>
            <w:r w:rsidR="00BA0CB4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firmami z tego sektora)</w:t>
            </w:r>
          </w:p>
          <w:p w14:paraId="383BCDB7" w14:textId="3AE3432C" w:rsidR="005371E3" w:rsidRPr="00EB7016" w:rsidRDefault="005371E3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(</w:t>
            </w:r>
            <w:r w:rsidRPr="00C2409C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 xml:space="preserve">ocena dokonywana na podstawie </w:t>
            </w:r>
            <w:r w:rsidR="00415F66" w:rsidRPr="00C2409C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>podpisanego oświadczenia takiej osoby, w</w:t>
            </w:r>
            <w:r w:rsidR="00C2409C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> </w:t>
            </w:r>
            <w:r w:rsidR="00415F66" w:rsidRPr="00C2409C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 xml:space="preserve">którym zawarty jest </w:t>
            </w:r>
            <w:r w:rsidR="00537F6D" w:rsidRPr="00C2409C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>opis w zakresie spełnienia ww. minimalnych warunków</w:t>
            </w:r>
            <w:r w:rsidR="00415F66" w:rsidRPr="00C2409C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 xml:space="preserve"> oraz dyspozycyjnoś</w:t>
            </w:r>
            <w:r w:rsidR="00C96C14" w:rsidRPr="00C2409C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 xml:space="preserve">ci </w:t>
            </w:r>
            <w:r w:rsidR="00415F66" w:rsidRPr="00C2409C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 xml:space="preserve"> tej osoby </w:t>
            </w:r>
            <w:r w:rsidR="00C96C14" w:rsidRPr="00C2409C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>w stosunku do Wykonawcy w zakresie realizacji zamówienia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)</w:t>
            </w:r>
          </w:p>
        </w:tc>
      </w:tr>
      <w:tr w:rsidR="008A54A8" w:rsidRPr="00EB7016" w14:paraId="72519F56" w14:textId="77777777" w:rsidTr="00664E73">
        <w:tc>
          <w:tcPr>
            <w:tcW w:w="2518" w:type="dxa"/>
          </w:tcPr>
          <w:p w14:paraId="2F5AED47" w14:textId="77777777" w:rsidR="00AE7026" w:rsidRPr="00EB7016" w:rsidRDefault="00AE7026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Sytuacja ekonomiczna i</w:t>
            </w:r>
            <w:r w:rsidR="00243826"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finansowa</w:t>
            </w:r>
          </w:p>
          <w:p w14:paraId="4E4D91D6" w14:textId="77777777" w:rsidR="008A54A8" w:rsidRPr="00EB7016" w:rsidRDefault="00077278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lastRenderedPageBreak/>
              <w:t>(dotyczy obu przedmiotów zamówienia)</w:t>
            </w:r>
          </w:p>
        </w:tc>
        <w:tc>
          <w:tcPr>
            <w:tcW w:w="7089" w:type="dxa"/>
          </w:tcPr>
          <w:p w14:paraId="10E09ECE" w14:textId="77777777" w:rsidR="00AE7026" w:rsidRPr="00EB7016" w:rsidRDefault="00AE7026" w:rsidP="00C2409C">
            <w:pPr>
              <w:pStyle w:val="Default"/>
              <w:spacing w:before="120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lastRenderedPageBreak/>
              <w:t xml:space="preserve">Wymagane jest, aby Oferent </w:t>
            </w:r>
            <w:r w:rsidRPr="00EB7016">
              <w:rPr>
                <w:rFonts w:ascii="Arial Narrow" w:hAnsi="Arial Narrow" w:cstheme="minorHAnsi"/>
                <w:sz w:val="22"/>
                <w:szCs w:val="22"/>
              </w:rPr>
              <w:t>znajdował się w sytuacji ekonomicznej i finansowej zapewniającej wykonanie zamówienia na warunkach przedstawionych w zapytaniu ofertowym.</w:t>
            </w:r>
          </w:p>
          <w:p w14:paraId="67D1AFC9" w14:textId="2E966F7B" w:rsidR="008A54A8" w:rsidRPr="00EB7016" w:rsidRDefault="00AE7026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lastRenderedPageBreak/>
              <w:t>(</w:t>
            </w:r>
            <w:r w:rsidRPr="00C2409C">
              <w:rPr>
                <w:rFonts w:ascii="Arial Narrow" w:hAnsi="Arial Narrow" w:cstheme="minorHAnsi"/>
                <w:b/>
                <w:sz w:val="22"/>
                <w:szCs w:val="22"/>
              </w:rPr>
              <w:t>ocena dokonywana na podstawie oświadczenia Oferenta</w:t>
            </w: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)</w:t>
            </w:r>
          </w:p>
        </w:tc>
      </w:tr>
      <w:tr w:rsidR="008A54A8" w:rsidRPr="00EB7016" w14:paraId="6D812D92" w14:textId="77777777" w:rsidTr="00664E73">
        <w:tc>
          <w:tcPr>
            <w:tcW w:w="2518" w:type="dxa"/>
          </w:tcPr>
          <w:p w14:paraId="405AA6F8" w14:textId="77777777" w:rsidR="00AE7026" w:rsidRPr="00EB7016" w:rsidRDefault="00243826" w:rsidP="00C2409C">
            <w:pPr>
              <w:pStyle w:val="Default"/>
              <w:spacing w:before="120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lastRenderedPageBreak/>
              <w:t>Lista wymaganych dokumentów/oświadczeń</w:t>
            </w:r>
          </w:p>
          <w:p w14:paraId="70C45454" w14:textId="77777777" w:rsidR="00077278" w:rsidRPr="00EB7016" w:rsidRDefault="00077278" w:rsidP="00C2409C">
            <w:pPr>
              <w:pStyle w:val="Default"/>
              <w:spacing w:before="120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(dotyczy obu przedmiotów zamówienia)</w:t>
            </w:r>
          </w:p>
        </w:tc>
        <w:tc>
          <w:tcPr>
            <w:tcW w:w="7089" w:type="dxa"/>
          </w:tcPr>
          <w:p w14:paraId="36E40B5C" w14:textId="77777777" w:rsidR="00AE7026" w:rsidRPr="00EB7016" w:rsidRDefault="00AE7026" w:rsidP="00C2409C">
            <w:pPr>
              <w:pStyle w:val="Default"/>
              <w:spacing w:before="120" w:after="23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 xml:space="preserve">Wykonawca składający ofertę w ramach postępowania musi przesłać komplet dokumentów, na który składa się: </w:t>
            </w:r>
          </w:p>
          <w:p w14:paraId="6594912D" w14:textId="574C985D" w:rsidR="00AE7026" w:rsidRPr="00EB7016" w:rsidRDefault="00AE7026" w:rsidP="00C2409C">
            <w:pPr>
              <w:pStyle w:val="Default"/>
              <w:numPr>
                <w:ilvl w:val="0"/>
                <w:numId w:val="25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>wypełnione przez Wnioskodawcę:</w:t>
            </w:r>
          </w:p>
          <w:p w14:paraId="0F925380" w14:textId="6787785A" w:rsidR="00AE7026" w:rsidRPr="00EB7016" w:rsidRDefault="00AE7026" w:rsidP="0008302D">
            <w:pPr>
              <w:pStyle w:val="Default"/>
              <w:numPr>
                <w:ilvl w:val="0"/>
                <w:numId w:val="26"/>
              </w:numPr>
              <w:ind w:left="601" w:hanging="357"/>
              <w:rPr>
                <w:rFonts w:ascii="Arial Narrow" w:eastAsia="Times New Roman" w:hAnsi="Arial Narrow" w:cstheme="minorHAnsi"/>
                <w:sz w:val="22"/>
                <w:szCs w:val="22"/>
                <w:lang w:eastAsia="ar-SA"/>
              </w:rPr>
            </w:pPr>
            <w:r w:rsidRPr="00EB7016">
              <w:rPr>
                <w:rFonts w:ascii="Arial Narrow" w:eastAsia="Times New Roman" w:hAnsi="Arial Narrow" w:cstheme="minorHAnsi"/>
                <w:sz w:val="22"/>
                <w:szCs w:val="22"/>
                <w:lang w:eastAsia="ar-SA"/>
              </w:rPr>
              <w:t>oferta</w:t>
            </w:r>
            <w:r w:rsidR="0008302D">
              <w:rPr>
                <w:rFonts w:ascii="Arial Narrow" w:eastAsia="Times New Roman" w:hAnsi="Arial Narrow" w:cstheme="minorHAnsi"/>
                <w:sz w:val="22"/>
                <w:szCs w:val="22"/>
                <w:lang w:eastAsia="ar-SA"/>
              </w:rPr>
              <w:t>,</w:t>
            </w:r>
          </w:p>
          <w:p w14:paraId="7B9A1B68" w14:textId="3915A849" w:rsidR="00AE7026" w:rsidRPr="00EB7016" w:rsidRDefault="00AE7026" w:rsidP="0008302D">
            <w:pPr>
              <w:pStyle w:val="Default"/>
              <w:numPr>
                <w:ilvl w:val="0"/>
                <w:numId w:val="26"/>
              </w:numPr>
              <w:ind w:left="601" w:hanging="357"/>
              <w:rPr>
                <w:rFonts w:ascii="Arial Narrow" w:eastAsia="Times New Roman" w:hAnsi="Arial Narrow" w:cstheme="minorHAnsi"/>
                <w:sz w:val="22"/>
                <w:szCs w:val="22"/>
                <w:lang w:eastAsia="ar-SA"/>
              </w:rPr>
            </w:pPr>
            <w:r w:rsidRPr="00EB7016">
              <w:rPr>
                <w:rFonts w:ascii="Arial Narrow" w:eastAsia="Times New Roman" w:hAnsi="Arial Narrow" w:cstheme="minorHAnsi"/>
                <w:sz w:val="22"/>
                <w:szCs w:val="22"/>
                <w:lang w:eastAsia="ar-SA"/>
              </w:rPr>
              <w:t xml:space="preserve">oświadczenie o braku powiązań kapitałowych i/lub osobowych, </w:t>
            </w:r>
          </w:p>
          <w:p w14:paraId="621A50AD" w14:textId="5320F31B" w:rsidR="00AE7026" w:rsidRPr="00EB7016" w:rsidRDefault="00AE7026" w:rsidP="0008302D">
            <w:pPr>
              <w:pStyle w:val="Default"/>
              <w:numPr>
                <w:ilvl w:val="0"/>
                <w:numId w:val="26"/>
              </w:numPr>
              <w:ind w:left="601" w:hanging="357"/>
              <w:rPr>
                <w:rFonts w:ascii="Arial Narrow" w:eastAsia="Times New Roman" w:hAnsi="Arial Narrow" w:cstheme="minorHAnsi"/>
                <w:sz w:val="22"/>
                <w:szCs w:val="22"/>
                <w:lang w:eastAsia="ar-SA"/>
              </w:rPr>
            </w:pPr>
            <w:r w:rsidRPr="00EB7016">
              <w:rPr>
                <w:rFonts w:ascii="Arial Narrow" w:eastAsia="Times New Roman" w:hAnsi="Arial Narrow" w:cstheme="minorHAnsi"/>
                <w:sz w:val="22"/>
                <w:szCs w:val="22"/>
                <w:lang w:eastAsia="ar-SA"/>
              </w:rPr>
              <w:t>inne wymagane oświadczenia/załączniki (o ile dotyczy)</w:t>
            </w:r>
            <w:r w:rsidR="0008302D">
              <w:rPr>
                <w:rFonts w:ascii="Arial Narrow" w:eastAsia="Times New Roman" w:hAnsi="Arial Narrow" w:cstheme="minorHAnsi"/>
                <w:sz w:val="22"/>
                <w:szCs w:val="22"/>
                <w:lang w:eastAsia="ar-SA"/>
              </w:rPr>
              <w:t>.</w:t>
            </w:r>
          </w:p>
          <w:p w14:paraId="6095CA5D" w14:textId="378BD921" w:rsidR="008A54A8" w:rsidRPr="00EB7016" w:rsidRDefault="00AE7026" w:rsidP="00C2409C">
            <w:pPr>
              <w:pStyle w:val="Default"/>
              <w:numPr>
                <w:ilvl w:val="0"/>
                <w:numId w:val="25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>aktualny KRS/Wpis do CEIDG (za zgodność z oryginałem lub wydruk komputerowy) lub inny, właściwy dokument rejestrowy</w:t>
            </w: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   </w:t>
            </w:r>
          </w:p>
        </w:tc>
      </w:tr>
      <w:tr w:rsidR="008A54A8" w:rsidRPr="00EB7016" w14:paraId="345025E7" w14:textId="77777777" w:rsidTr="00664E73">
        <w:tc>
          <w:tcPr>
            <w:tcW w:w="2518" w:type="dxa"/>
          </w:tcPr>
          <w:p w14:paraId="0FBE2770" w14:textId="77777777" w:rsidR="008A54A8" w:rsidRPr="00EB7016" w:rsidRDefault="00AE7026" w:rsidP="00C2409C">
            <w:pPr>
              <w:pStyle w:val="Default"/>
              <w:spacing w:before="120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>Dodatkowe warunki</w:t>
            </w:r>
          </w:p>
          <w:p w14:paraId="0CFBAEA9" w14:textId="77777777" w:rsidR="00077278" w:rsidRPr="00EB7016" w:rsidRDefault="00077278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(dotyczy obu przedmiotów zamówienia)</w:t>
            </w:r>
          </w:p>
        </w:tc>
        <w:tc>
          <w:tcPr>
            <w:tcW w:w="7089" w:type="dxa"/>
          </w:tcPr>
          <w:p w14:paraId="2E683B00" w14:textId="06E5910C" w:rsidR="00AE7026" w:rsidRPr="00EB7016" w:rsidRDefault="00AE7026" w:rsidP="00C2409C">
            <w:pPr>
              <w:pStyle w:val="Default"/>
              <w:numPr>
                <w:ilvl w:val="0"/>
                <w:numId w:val="28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 xml:space="preserve">Zamawiający dopuszcza przeprowadzenie negocjacji z Wykonawcą, którego oferta uzyskała najwyższą ilość punktów jednakże warunki finansowane przekraczają kwoty założone we wniosku o dofinansowanie. </w:t>
            </w:r>
          </w:p>
          <w:p w14:paraId="6FAC2BEA" w14:textId="24E9E7BA" w:rsidR="00AE7026" w:rsidRPr="00EB7016" w:rsidRDefault="00AE7026" w:rsidP="00C2409C">
            <w:pPr>
              <w:pStyle w:val="Default"/>
              <w:numPr>
                <w:ilvl w:val="0"/>
                <w:numId w:val="28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>Zamawiający zastrzega sobie prawo do unieważnienia postępowania na każdym etapie bez podawania przyczyny</w:t>
            </w:r>
            <w:r w:rsidRPr="00EB7016">
              <w:rPr>
                <w:rFonts w:ascii="Arial Narrow" w:hAnsi="Arial Narrow" w:cstheme="minorHAnsi"/>
                <w:color w:val="FF0000"/>
                <w:sz w:val="22"/>
                <w:szCs w:val="22"/>
              </w:rPr>
              <w:t xml:space="preserve"> </w:t>
            </w:r>
          </w:p>
          <w:p w14:paraId="3B1DA3B3" w14:textId="3C6BA3BC" w:rsidR="00AE7026" w:rsidRPr="00EB7016" w:rsidRDefault="00AE7026" w:rsidP="00C2409C">
            <w:pPr>
              <w:pStyle w:val="Default"/>
              <w:numPr>
                <w:ilvl w:val="0"/>
                <w:numId w:val="28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 xml:space="preserve">Decyzja Zamawiającego o odrzuceniu oferty jest decyzją ostateczną. </w:t>
            </w:r>
          </w:p>
          <w:p w14:paraId="7B1DCEE2" w14:textId="1F1CFE95" w:rsidR="00AE7026" w:rsidRPr="00EB7016" w:rsidRDefault="00AE7026" w:rsidP="00C2409C">
            <w:pPr>
              <w:pStyle w:val="Default"/>
              <w:numPr>
                <w:ilvl w:val="0"/>
                <w:numId w:val="28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>W przypadku, gdy wybrany Wykonawca odstąpi od podpisania umowy z</w:t>
            </w:r>
            <w:r w:rsidR="00C2409C">
              <w:rPr>
                <w:rFonts w:ascii="Arial Narrow" w:hAnsi="Arial Narrow" w:cstheme="minorHAnsi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sz w:val="22"/>
                <w:szCs w:val="22"/>
              </w:rPr>
              <w:t>Zamawiającym, możliwe jest podpisanie przez Zamawiającego umowy z</w:t>
            </w:r>
            <w:r w:rsidR="00C2409C">
              <w:rPr>
                <w:rFonts w:ascii="Arial Narrow" w:hAnsi="Arial Narrow" w:cstheme="minorHAnsi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sz w:val="22"/>
                <w:szCs w:val="22"/>
              </w:rPr>
              <w:t>kolejnym Wykonawcą, który w</w:t>
            </w:r>
            <w:r w:rsidR="00A96E6A" w:rsidRPr="00EB7016">
              <w:rPr>
                <w:rFonts w:ascii="Arial Narrow" w:hAnsi="Arial Narrow" w:cstheme="minorHAnsi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sz w:val="22"/>
                <w:szCs w:val="22"/>
              </w:rPr>
              <w:t xml:space="preserve">postępowaniu uzyskał kolejną najwyższą liczbę punktów. </w:t>
            </w:r>
          </w:p>
          <w:p w14:paraId="4D258AF1" w14:textId="6729636E" w:rsidR="008A54A8" w:rsidRPr="00EB7016" w:rsidRDefault="00AE7026" w:rsidP="00C2409C">
            <w:pPr>
              <w:pStyle w:val="Default"/>
              <w:numPr>
                <w:ilvl w:val="0"/>
                <w:numId w:val="28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 xml:space="preserve">Zamawiający może w toku badania i oceny ofert żądać od Oferentów </w:t>
            </w: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dodatkowych wyjaśnień dotyczących treści złożonych ofert.</w:t>
            </w:r>
          </w:p>
        </w:tc>
      </w:tr>
      <w:tr w:rsidR="00895296" w:rsidRPr="00EB7016" w14:paraId="61026421" w14:textId="77777777" w:rsidTr="00C2409C">
        <w:tc>
          <w:tcPr>
            <w:tcW w:w="9607" w:type="dxa"/>
            <w:gridSpan w:val="2"/>
          </w:tcPr>
          <w:p w14:paraId="01CAED68" w14:textId="77777777" w:rsidR="00895296" w:rsidRPr="00C2409C" w:rsidRDefault="00895296" w:rsidP="00C2409C">
            <w:pPr>
              <w:pStyle w:val="Default"/>
              <w:spacing w:before="120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C2409C">
              <w:rPr>
                <w:rFonts w:ascii="Arial Narrow" w:hAnsi="Arial Narrow" w:cstheme="minorHAnsi"/>
                <w:b/>
                <w:sz w:val="22"/>
                <w:szCs w:val="22"/>
              </w:rPr>
              <w:t>Części</w:t>
            </w:r>
            <w:r w:rsidR="005902DA" w:rsidRPr="00C2409C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zamówienia </w:t>
            </w:r>
            <w:r w:rsidRPr="00C2409C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i kryteria</w:t>
            </w:r>
            <w:r w:rsidR="005902DA" w:rsidRPr="00C2409C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oceny</w:t>
            </w:r>
          </w:p>
        </w:tc>
      </w:tr>
      <w:tr w:rsidR="00895296" w:rsidRPr="00EB7016" w14:paraId="02490442" w14:textId="77777777" w:rsidTr="00664E73">
        <w:tc>
          <w:tcPr>
            <w:tcW w:w="2518" w:type="dxa"/>
          </w:tcPr>
          <w:p w14:paraId="33C82C6B" w14:textId="77777777" w:rsidR="00895296" w:rsidRPr="00EB7016" w:rsidRDefault="00895296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Czy dopuszczalna oferta częściowa?</w:t>
            </w:r>
          </w:p>
        </w:tc>
        <w:tc>
          <w:tcPr>
            <w:tcW w:w="7089" w:type="dxa"/>
          </w:tcPr>
          <w:p w14:paraId="215CDAF7" w14:textId="77777777" w:rsidR="00895296" w:rsidRPr="00EB7016" w:rsidRDefault="00292CAB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nie</w:t>
            </w:r>
          </w:p>
        </w:tc>
      </w:tr>
      <w:tr w:rsidR="00895296" w:rsidRPr="00EB7016" w14:paraId="69113278" w14:textId="77777777" w:rsidTr="00664E73">
        <w:tc>
          <w:tcPr>
            <w:tcW w:w="2518" w:type="dxa"/>
          </w:tcPr>
          <w:p w14:paraId="4635193D" w14:textId="77777777" w:rsidR="00895296" w:rsidRPr="00EB7016" w:rsidRDefault="005902DA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eastAsia="Times New Roman" w:hAnsi="Arial Narrow" w:cstheme="minorHAnsi"/>
                <w:sz w:val="22"/>
                <w:szCs w:val="22"/>
                <w:lang w:eastAsia="pl-PL"/>
              </w:rPr>
              <w:t>T</w:t>
            </w:r>
            <w:r w:rsidR="00895296" w:rsidRPr="00EB7016">
              <w:rPr>
                <w:rFonts w:ascii="Arial Narrow" w:eastAsia="Times New Roman" w:hAnsi="Arial Narrow" w:cstheme="minorHAnsi"/>
                <w:sz w:val="22"/>
                <w:szCs w:val="22"/>
                <w:lang w:eastAsia="pl-PL"/>
              </w:rPr>
              <w:t>ytuły części zamówienia:</w:t>
            </w:r>
          </w:p>
        </w:tc>
        <w:tc>
          <w:tcPr>
            <w:tcW w:w="7089" w:type="dxa"/>
          </w:tcPr>
          <w:p w14:paraId="311761D7" w14:textId="0190B8DE" w:rsidR="00641B12" w:rsidRPr="00EB7016" w:rsidRDefault="00292CAB" w:rsidP="00664E73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Nie dotyczy</w:t>
            </w:r>
          </w:p>
        </w:tc>
      </w:tr>
      <w:tr w:rsidR="00895296" w:rsidRPr="00EB7016" w14:paraId="6D5FC946" w14:textId="77777777" w:rsidTr="00664E73">
        <w:tc>
          <w:tcPr>
            <w:tcW w:w="2518" w:type="dxa"/>
          </w:tcPr>
          <w:p w14:paraId="53CA1CBB" w14:textId="77777777" w:rsidR="00895296" w:rsidRPr="00EB7016" w:rsidRDefault="00895296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Czy dopuszczalna oferta wariantowa?</w:t>
            </w:r>
          </w:p>
        </w:tc>
        <w:tc>
          <w:tcPr>
            <w:tcW w:w="7089" w:type="dxa"/>
          </w:tcPr>
          <w:p w14:paraId="0BBD046F" w14:textId="77777777" w:rsidR="00895296" w:rsidRPr="00EB7016" w:rsidRDefault="00895296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nie</w:t>
            </w:r>
          </w:p>
        </w:tc>
      </w:tr>
      <w:tr w:rsidR="008A54A8" w:rsidRPr="00EB7016" w14:paraId="2798030F" w14:textId="77777777" w:rsidTr="00664E73">
        <w:tc>
          <w:tcPr>
            <w:tcW w:w="2518" w:type="dxa"/>
          </w:tcPr>
          <w:p w14:paraId="0EB9700E" w14:textId="77777777" w:rsidR="008A54A8" w:rsidRPr="00EB7016" w:rsidRDefault="00895296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Budżet zamówienia</w:t>
            </w:r>
          </w:p>
        </w:tc>
        <w:tc>
          <w:tcPr>
            <w:tcW w:w="7089" w:type="dxa"/>
          </w:tcPr>
          <w:p w14:paraId="7B0C72AB" w14:textId="77777777" w:rsidR="008A54A8" w:rsidRPr="00EB7016" w:rsidRDefault="00641B12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--</w:t>
            </w:r>
          </w:p>
        </w:tc>
      </w:tr>
      <w:tr w:rsidR="003B7EEB" w:rsidRPr="00EB7016" w14:paraId="35179FBF" w14:textId="77777777" w:rsidTr="00664E73">
        <w:tc>
          <w:tcPr>
            <w:tcW w:w="2518" w:type="dxa"/>
          </w:tcPr>
          <w:p w14:paraId="0DBA1086" w14:textId="77777777" w:rsidR="003B7EEB" w:rsidRPr="00EB7016" w:rsidRDefault="005902DA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Cenowe k</w:t>
            </w:r>
            <w:r w:rsidR="00895296"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ryteria </w:t>
            </w: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zamówienia</w:t>
            </w:r>
          </w:p>
        </w:tc>
        <w:tc>
          <w:tcPr>
            <w:tcW w:w="7089" w:type="dxa"/>
          </w:tcPr>
          <w:p w14:paraId="6741B755" w14:textId="7346F78A" w:rsidR="00736279" w:rsidRPr="00664E73" w:rsidRDefault="00610F68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/>
                <w:sz w:val="22"/>
                <w:szCs w:val="22"/>
              </w:rPr>
              <w:t>Cen</w:t>
            </w:r>
            <w:r w:rsidR="002444A1" w:rsidRPr="00EB7016">
              <w:rPr>
                <w:rFonts w:ascii="Arial Narrow" w:hAnsi="Arial Narrow" w:cstheme="minorHAnsi"/>
                <w:b/>
                <w:sz w:val="22"/>
                <w:szCs w:val="22"/>
              </w:rPr>
              <w:t>a</w:t>
            </w:r>
            <w:r w:rsidRPr="00EB7016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</w:t>
            </w:r>
            <w:r w:rsidR="00292CAB" w:rsidRPr="00EB7016">
              <w:rPr>
                <w:rFonts w:ascii="Arial Narrow" w:hAnsi="Arial Narrow" w:cstheme="minorHAnsi"/>
                <w:b/>
                <w:sz w:val="22"/>
                <w:szCs w:val="22"/>
              </w:rPr>
              <w:t>netto (bez VAT)</w:t>
            </w:r>
            <w:r w:rsidRPr="00EB7016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</w:t>
            </w:r>
            <w:r w:rsidR="00130279" w:rsidRPr="00EB7016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: </w:t>
            </w:r>
            <w:r w:rsidR="00130279" w:rsidRPr="00EB7016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>waga 6</w:t>
            </w:r>
            <w:r w:rsidRPr="00EB7016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>0%</w:t>
            </w:r>
          </w:p>
          <w:p w14:paraId="5F232712" w14:textId="01C39E64" w:rsidR="00736279" w:rsidRPr="00EB7016" w:rsidRDefault="00736279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Oferent posiadający najniższą cenę (w PLN) uzyska największą liczbę punktów w</w:t>
            </w:r>
            <w:r w:rsidR="00C2409C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kryterium cena. </w:t>
            </w:r>
          </w:p>
          <w:p w14:paraId="629ECCA8" w14:textId="5C2A0EED" w:rsidR="00736279" w:rsidRPr="00EB7016" w:rsidRDefault="00736279" w:rsidP="00664E73">
            <w:pPr>
              <w:pStyle w:val="Default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K</w:t>
            </w:r>
            <w:r w:rsidR="003A308A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1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 = Kryterium cena = (C min/C b.of.) x </w:t>
            </w:r>
            <w:r w:rsidR="00130279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6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0 </w:t>
            </w:r>
          </w:p>
          <w:p w14:paraId="011E3130" w14:textId="77777777" w:rsidR="00736279" w:rsidRPr="00EB7016" w:rsidRDefault="00736279" w:rsidP="00664E73">
            <w:pPr>
              <w:pStyle w:val="Default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C min = Cena najniższej oferty </w:t>
            </w:r>
          </w:p>
          <w:p w14:paraId="7E519DFB" w14:textId="77777777" w:rsidR="00736279" w:rsidRPr="00EB7016" w:rsidRDefault="00736279" w:rsidP="00664E73">
            <w:pPr>
              <w:pStyle w:val="Default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C b.of. = Cena badanej oferty </w:t>
            </w:r>
          </w:p>
          <w:p w14:paraId="1C269216" w14:textId="4E90F4BB" w:rsidR="00736279" w:rsidRPr="00EB7016" w:rsidRDefault="00736279" w:rsidP="00664E73">
            <w:pPr>
              <w:pStyle w:val="Default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Maksymal</w:t>
            </w:r>
            <w:r w:rsidR="00292CAB"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na ilość punktów do uzyskania: </w:t>
            </w:r>
            <w:r w:rsidR="003A308A"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60</w:t>
            </w:r>
          </w:p>
          <w:p w14:paraId="0EBF043A" w14:textId="77777777" w:rsidR="00641B12" w:rsidRPr="00EB7016" w:rsidRDefault="00641B12" w:rsidP="00664E73">
            <w:pPr>
              <w:pStyle w:val="Default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 xml:space="preserve">Cena oferty musi uwzględniać wszystkie zobowiązania przyszłego Wykonawcy potrzebne do wykonania całości przedmiotu zamówienia. Zamawiający wymaga podania ceny łącznej za zrealizowanie całości przedmiotu zamówienia. </w:t>
            </w:r>
          </w:p>
          <w:p w14:paraId="5111DB51" w14:textId="77777777" w:rsidR="00736279" w:rsidRPr="00EB7016" w:rsidRDefault="00641B12" w:rsidP="00664E73">
            <w:pPr>
              <w:pStyle w:val="Default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>Cena podana w ofercie jest ceną stałą w całym okresie realizacji przedmiotu zamówienia</w:t>
            </w:r>
          </w:p>
        </w:tc>
      </w:tr>
      <w:tr w:rsidR="00641B12" w:rsidRPr="00EB7016" w14:paraId="5D9580FA" w14:textId="77777777" w:rsidTr="00664E73">
        <w:tc>
          <w:tcPr>
            <w:tcW w:w="2518" w:type="dxa"/>
          </w:tcPr>
          <w:p w14:paraId="66583CC0" w14:textId="77777777" w:rsidR="00641B12" w:rsidRPr="00EB7016" w:rsidRDefault="00641B12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t>Niecenowe kryteria  zamówienia</w:t>
            </w:r>
          </w:p>
        </w:tc>
        <w:tc>
          <w:tcPr>
            <w:tcW w:w="7089" w:type="dxa"/>
          </w:tcPr>
          <w:p w14:paraId="460479B8" w14:textId="73B5A0C3" w:rsidR="003A308A" w:rsidRPr="00EB7016" w:rsidRDefault="00292CAB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>Termin</w:t>
            </w:r>
            <w:r w:rsidR="00641B12" w:rsidRPr="00EB7016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 xml:space="preserve"> realizacji zamówienia</w:t>
            </w:r>
            <w:r w:rsidR="00130279" w:rsidRPr="00EB7016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 xml:space="preserve">: </w:t>
            </w:r>
          </w:p>
          <w:p w14:paraId="621F6DD6" w14:textId="686A0310" w:rsidR="00641B12" w:rsidRPr="00EB7016" w:rsidRDefault="003A308A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 xml:space="preserve">K2 - </w:t>
            </w:r>
            <w:r w:rsidR="00130279" w:rsidRPr="00EB7016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>waga</w:t>
            </w:r>
            <w:r w:rsidR="00641B12" w:rsidRPr="00EB7016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292CAB" w:rsidRPr="00EB7016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>2</w:t>
            </w:r>
            <w:r w:rsidR="00641B12" w:rsidRPr="00EB7016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>0%</w:t>
            </w:r>
          </w:p>
          <w:p w14:paraId="6AC58DA5" w14:textId="49AD04E2" w:rsidR="00641B12" w:rsidRPr="00EB7016" w:rsidRDefault="00F4000C" w:rsidP="00664E73">
            <w:pPr>
              <w:pStyle w:val="Default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Punktacja w zależności od c</w:t>
            </w:r>
            <w:r w:rsidR="00292CAB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zas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u</w:t>
            </w:r>
            <w:r w:rsidR="00292CAB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 realizacji zamówienia</w:t>
            </w:r>
            <w:r w:rsidR="00C65B53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 (liczba tygodni licząc od daty złożenia zamówienia przez Zamawiającego po dokonaniu wyboru Wykonawcy)</w:t>
            </w:r>
            <w:r w:rsidR="00292CAB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:</w:t>
            </w:r>
          </w:p>
          <w:p w14:paraId="37D7EA27" w14:textId="77777777" w:rsidR="00C65B53" w:rsidRPr="00EB7016" w:rsidRDefault="00C65B53" w:rsidP="00664E73">
            <w:pPr>
              <w:pStyle w:val="Default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20 pkt – w ciągu maksymalnie 8 tygodni </w:t>
            </w:r>
          </w:p>
          <w:p w14:paraId="713EB3B4" w14:textId="77777777" w:rsidR="00C65B53" w:rsidRPr="00EB7016" w:rsidRDefault="00C65B53" w:rsidP="00664E73">
            <w:pPr>
              <w:pStyle w:val="Default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10 pkt. - w ciągu maksymalnie 12 tygodni i powyżej 8 tygodni</w:t>
            </w:r>
          </w:p>
          <w:p w14:paraId="0D8102EB" w14:textId="77777777" w:rsidR="00C65B53" w:rsidRPr="00EB7016" w:rsidRDefault="00C65B53" w:rsidP="00664E73">
            <w:pPr>
              <w:pStyle w:val="Default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0 pkt. - powyżej 12 tygodni</w:t>
            </w:r>
          </w:p>
          <w:p w14:paraId="2959B508" w14:textId="77777777" w:rsidR="00292CAB" w:rsidRPr="00EB7016" w:rsidRDefault="00292CAB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Cs/>
                <w:color w:val="FF0000"/>
                <w:sz w:val="22"/>
                <w:szCs w:val="22"/>
              </w:rPr>
            </w:pPr>
          </w:p>
          <w:p w14:paraId="7182CE91" w14:textId="4733645D" w:rsidR="009A78C7" w:rsidRPr="00EB7016" w:rsidRDefault="00130279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>Proponowana s</w:t>
            </w:r>
            <w:r w:rsidR="00120E66" w:rsidRPr="00EB7016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>zczegółowość segmentacji rynku elektronicznego</w:t>
            </w:r>
            <w:r w:rsidR="002E5CFE" w:rsidRPr="00EB7016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 xml:space="preserve"> (liczba indywidualnie rozpatrywanych segmentów)</w:t>
            </w:r>
            <w:r w:rsidR="00120E66" w:rsidRPr="00EB7016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>, według której sformułowane będą projekty usług</w:t>
            </w:r>
            <w:r w:rsidRPr="00EB7016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 xml:space="preserve">: </w:t>
            </w:r>
            <w:r w:rsidR="003A308A" w:rsidRPr="00EB7016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 xml:space="preserve">K3 - </w:t>
            </w:r>
            <w:r w:rsidRPr="00EB7016">
              <w:rPr>
                <w:rFonts w:ascii="Arial Narrow" w:hAnsi="Arial Narrow" w:cstheme="minorHAnsi"/>
                <w:b/>
                <w:color w:val="auto"/>
                <w:sz w:val="22"/>
                <w:szCs w:val="22"/>
              </w:rPr>
              <w:t>waga 20%</w:t>
            </w:r>
          </w:p>
          <w:p w14:paraId="423B88A3" w14:textId="77777777" w:rsidR="009A78C7" w:rsidRPr="00EB7016" w:rsidRDefault="00130279" w:rsidP="00664E73">
            <w:pPr>
              <w:pStyle w:val="Default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Podział na:</w:t>
            </w:r>
          </w:p>
          <w:p w14:paraId="00F5A7B7" w14:textId="77777777" w:rsidR="00130279" w:rsidRPr="00EB7016" w:rsidRDefault="00130279" w:rsidP="00664E73">
            <w:pPr>
              <w:pStyle w:val="Default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4 segmenty: 0 pkt.</w:t>
            </w:r>
          </w:p>
          <w:p w14:paraId="6B2FCA6E" w14:textId="77777777" w:rsidR="00130279" w:rsidRPr="00EB7016" w:rsidRDefault="00130279" w:rsidP="00664E73">
            <w:pPr>
              <w:pStyle w:val="Default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5-6 segmentów: </w:t>
            </w:r>
            <w:r w:rsidR="0024290D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5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 pkt.</w:t>
            </w:r>
          </w:p>
          <w:p w14:paraId="2375CB96" w14:textId="77777777" w:rsidR="0024290D" w:rsidRPr="00EB7016" w:rsidRDefault="0024290D" w:rsidP="00664E73">
            <w:pPr>
              <w:pStyle w:val="Default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7-8 segmentów: 10 pkt.</w:t>
            </w:r>
          </w:p>
          <w:p w14:paraId="790FEE9D" w14:textId="77777777" w:rsidR="0024290D" w:rsidRPr="00EB7016" w:rsidRDefault="0024290D" w:rsidP="00664E73">
            <w:pPr>
              <w:pStyle w:val="Default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9-10 segmentów: 15 pkt.</w:t>
            </w:r>
          </w:p>
          <w:p w14:paraId="445DCD30" w14:textId="199E2160" w:rsidR="00641B12" w:rsidRPr="00EB7016" w:rsidRDefault="0024290D" w:rsidP="00664E73">
            <w:pPr>
              <w:pStyle w:val="Default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11</w:t>
            </w:r>
            <w:r w:rsidR="00130279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 xml:space="preserve"> i więcej segmentów: 20 pkt.</w:t>
            </w:r>
          </w:p>
        </w:tc>
      </w:tr>
      <w:tr w:rsidR="00641B12" w:rsidRPr="00EB7016" w14:paraId="70389C61" w14:textId="77777777" w:rsidTr="00664E73">
        <w:tc>
          <w:tcPr>
            <w:tcW w:w="2518" w:type="dxa"/>
          </w:tcPr>
          <w:p w14:paraId="4B81EF28" w14:textId="77777777" w:rsidR="00641B12" w:rsidRPr="00EB7016" w:rsidRDefault="00641B12" w:rsidP="00C2409C">
            <w:pPr>
              <w:pStyle w:val="Default"/>
              <w:spacing w:before="120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lastRenderedPageBreak/>
              <w:t>Sposób wyboru  Oferenta</w:t>
            </w:r>
          </w:p>
          <w:p w14:paraId="52C0A06E" w14:textId="77777777" w:rsidR="00641B12" w:rsidRPr="00EB7016" w:rsidRDefault="00641B12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  <w:tc>
          <w:tcPr>
            <w:tcW w:w="7089" w:type="dxa"/>
          </w:tcPr>
          <w:p w14:paraId="42D78011" w14:textId="77777777" w:rsidR="00641B12" w:rsidRPr="00EB7016" w:rsidRDefault="00641B12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 xml:space="preserve">Spośród otrzymanych ofert zostanie wybrana ta, która spełni wszystkie kryteria formalne </w:t>
            </w:r>
            <w:r w:rsidR="00292CAB" w:rsidRPr="00EB7016">
              <w:rPr>
                <w:rFonts w:ascii="Arial Narrow" w:hAnsi="Arial Narrow" w:cstheme="minorHAnsi"/>
                <w:sz w:val="22"/>
                <w:szCs w:val="22"/>
              </w:rPr>
              <w:t>(warunki udziału</w:t>
            </w:r>
            <w:r w:rsidR="00AD185A" w:rsidRPr="00EB7016">
              <w:rPr>
                <w:rFonts w:ascii="Arial Narrow" w:hAnsi="Arial Narrow" w:cstheme="minorHAnsi"/>
                <w:sz w:val="22"/>
                <w:szCs w:val="22"/>
              </w:rPr>
              <w:t xml:space="preserve">) </w:t>
            </w:r>
            <w:r w:rsidRPr="00EB7016">
              <w:rPr>
                <w:rFonts w:ascii="Arial Narrow" w:hAnsi="Arial Narrow" w:cstheme="minorHAnsi"/>
                <w:sz w:val="22"/>
                <w:szCs w:val="22"/>
              </w:rPr>
              <w:t>oraz uzyska najwyższą sumę punktów za poszczególne kryteria zamówienia.</w:t>
            </w:r>
          </w:p>
          <w:p w14:paraId="4B9A0EDA" w14:textId="3D9FD1F9" w:rsidR="00641B12" w:rsidRPr="00EB7016" w:rsidRDefault="00641B12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Zamawiający dokona oceny spełnienia warunków udziału w</w:t>
            </w:r>
            <w:r w:rsidR="00A96E6A"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postępowaniu poprzez zastosowanie kryterium spełnia – nie spełnia, tj. zgodnie z zasadą, czy dokumenty/oświadczenia zostały dołączone do oferty i czy spełniają określone w</w:t>
            </w:r>
            <w:r w:rsidR="00C2409C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zapytaniu ofertowym wymagania</w:t>
            </w:r>
            <w:r w:rsidRPr="00EB7016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</w:tr>
      <w:tr w:rsidR="005902DA" w:rsidRPr="00EB7016" w14:paraId="56665DF9" w14:textId="77777777" w:rsidTr="00C2409C">
        <w:tc>
          <w:tcPr>
            <w:tcW w:w="9607" w:type="dxa"/>
            <w:gridSpan w:val="2"/>
          </w:tcPr>
          <w:p w14:paraId="46D4379D" w14:textId="77777777" w:rsidR="005902DA" w:rsidRPr="00C2409C" w:rsidRDefault="005902DA" w:rsidP="00C2409C">
            <w:pPr>
              <w:pStyle w:val="Default"/>
              <w:spacing w:before="120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C2409C">
              <w:rPr>
                <w:rFonts w:ascii="Arial Narrow" w:hAnsi="Arial Narrow" w:cstheme="minorHAnsi"/>
                <w:b/>
                <w:sz w:val="22"/>
                <w:szCs w:val="22"/>
              </w:rPr>
              <w:t>Pozostałe informacje</w:t>
            </w:r>
          </w:p>
        </w:tc>
      </w:tr>
      <w:tr w:rsidR="00243826" w:rsidRPr="00EB7016" w14:paraId="4306D4C3" w14:textId="77777777" w:rsidTr="00664E73">
        <w:tc>
          <w:tcPr>
            <w:tcW w:w="2518" w:type="dxa"/>
          </w:tcPr>
          <w:p w14:paraId="302FEE6D" w14:textId="77777777" w:rsidR="00243826" w:rsidRPr="00EB7016" w:rsidRDefault="00243826" w:rsidP="00C2409C">
            <w:pPr>
              <w:spacing w:before="120"/>
              <w:rPr>
                <w:rFonts w:ascii="Arial Narrow" w:hAnsi="Arial Narrow" w:cstheme="minorHAnsi"/>
                <w:sz w:val="22"/>
                <w:szCs w:val="22"/>
                <w:lang w:eastAsia="pl-PL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  <w:lang w:eastAsia="pl-PL"/>
              </w:rPr>
              <w:t>Zamówienia uzupełniające</w:t>
            </w:r>
          </w:p>
          <w:p w14:paraId="39DAA4B0" w14:textId="77777777" w:rsidR="00243826" w:rsidRPr="00EB7016" w:rsidRDefault="00243826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  <w:tc>
          <w:tcPr>
            <w:tcW w:w="7089" w:type="dxa"/>
          </w:tcPr>
          <w:p w14:paraId="7E73FEE7" w14:textId="3AC06E07" w:rsidR="00243826" w:rsidRPr="00EB7016" w:rsidRDefault="00243826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Zamawiający zastrzega sobie możliwość udzielenia Wykonawcy wyłonionemu w</w:t>
            </w:r>
            <w:r w:rsidR="00C2409C">
              <w:rPr>
                <w:rFonts w:ascii="Arial Narrow" w:hAnsi="Arial Narrow" w:cstheme="minorHAnsi"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trybie zasady konkurencyjności zamówień  uzupełniających, w wysokości nieprzekraczającej 50% wartości zamówienia określonej w umowie zawartej z</w:t>
            </w:r>
            <w:r w:rsidR="00C2409C">
              <w:rPr>
                <w:rFonts w:ascii="Arial Narrow" w:hAnsi="Arial Narrow" w:cstheme="minorHAnsi"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wykonawcą, o ile te zamówienia są zgodne z przedmiotem zamówienia podstawowego.</w:t>
            </w:r>
          </w:p>
        </w:tc>
      </w:tr>
      <w:tr w:rsidR="00243826" w:rsidRPr="00EB7016" w14:paraId="7A20F516" w14:textId="77777777" w:rsidTr="00664E73">
        <w:tc>
          <w:tcPr>
            <w:tcW w:w="2518" w:type="dxa"/>
          </w:tcPr>
          <w:p w14:paraId="781D0598" w14:textId="77777777" w:rsidR="00243826" w:rsidRPr="00EB7016" w:rsidRDefault="00243826" w:rsidP="00C2409C">
            <w:pPr>
              <w:spacing w:before="120"/>
              <w:rPr>
                <w:rFonts w:ascii="Arial Narrow" w:hAnsi="Arial Narrow" w:cstheme="minorHAnsi"/>
                <w:sz w:val="22"/>
                <w:szCs w:val="22"/>
                <w:lang w:eastAsia="pl-PL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  <w:lang w:eastAsia="pl-PL"/>
              </w:rPr>
              <w:t>Warunki zmiany umowy</w:t>
            </w:r>
          </w:p>
          <w:p w14:paraId="0C6C805F" w14:textId="77777777" w:rsidR="00243826" w:rsidRPr="00EB7016" w:rsidRDefault="00243826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  <w:tc>
          <w:tcPr>
            <w:tcW w:w="7089" w:type="dxa"/>
          </w:tcPr>
          <w:p w14:paraId="39858292" w14:textId="77777777" w:rsidR="00243826" w:rsidRPr="00EB7016" w:rsidRDefault="00243826" w:rsidP="00C2409C">
            <w:pPr>
              <w:pStyle w:val="Default"/>
              <w:numPr>
                <w:ilvl w:val="0"/>
                <w:numId w:val="29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>Zamawiający dopuszcza możliwość wprowadzania istotnych zmian postanowień zawartej umowy z wybranym Wykonawcą w stosunku do treści oferty, na podstawie której dokonano wyboru Wykonawcy, w szczególności w sytuacjach określonych w Wytycznych w zakresie kwalifikowalności wydatków w ramach Europejskiego Funduszu Rozwoju Regionalnego, Europejskiego Funduszu Społecznego oraz Funduszu Spójności na lata 2014-2020.</w:t>
            </w:r>
          </w:p>
          <w:p w14:paraId="51EEEE82" w14:textId="437C9A65" w:rsidR="00243826" w:rsidRPr="00EB7016" w:rsidRDefault="00243826" w:rsidP="00C2409C">
            <w:pPr>
              <w:pStyle w:val="Default"/>
              <w:numPr>
                <w:ilvl w:val="0"/>
                <w:numId w:val="29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>Zamawiający przewiduje możliwość zmiany postanowień zawartej umowy w</w:t>
            </w:r>
            <w:r w:rsidR="00C2409C">
              <w:rPr>
                <w:rFonts w:ascii="Arial Narrow" w:hAnsi="Arial Narrow" w:cstheme="minorHAnsi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sz w:val="22"/>
                <w:szCs w:val="22"/>
              </w:rPr>
              <w:t>stosunku do treści oferty na podstawie, której dokonano wyboru Wykonawcy, jeżeli zmiany te wynikły:</w:t>
            </w:r>
          </w:p>
          <w:p w14:paraId="5640D867" w14:textId="4F4732B8" w:rsidR="00243826" w:rsidRPr="00EB7016" w:rsidRDefault="00243826" w:rsidP="0008302D">
            <w:pPr>
              <w:pStyle w:val="Default"/>
              <w:numPr>
                <w:ilvl w:val="0"/>
                <w:numId w:val="37"/>
              </w:numPr>
              <w:ind w:left="595" w:hanging="357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 xml:space="preserve">z okoliczności o charakterze obiektywnym, których nie można było przewidzieć w chwili zawarcia umowy; </w:t>
            </w:r>
          </w:p>
          <w:p w14:paraId="10BAC5D5" w14:textId="5A6A222B" w:rsidR="00243826" w:rsidRPr="00EB7016" w:rsidRDefault="00243826" w:rsidP="0008302D">
            <w:pPr>
              <w:pStyle w:val="Default"/>
              <w:numPr>
                <w:ilvl w:val="0"/>
                <w:numId w:val="37"/>
              </w:numPr>
              <w:ind w:left="595" w:hanging="357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 xml:space="preserve">w związku z wystąpieniem siły wyższej tj. zdarzenia nieprzewidywalnego, będącego poza kontrolą stron umowy, </w:t>
            </w:r>
          </w:p>
          <w:p w14:paraId="68442AC2" w14:textId="5BCF334D" w:rsidR="00243826" w:rsidRPr="00EB7016" w:rsidRDefault="00243826" w:rsidP="00C2409C">
            <w:pPr>
              <w:pStyle w:val="Default"/>
              <w:numPr>
                <w:ilvl w:val="0"/>
                <w:numId w:val="29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>Strony dopuszczają również możliwość zmian będących następstwem zmian danych Stron ujawnionych w rejestrach publicznych oraz zmian dotyczących wskazania przedstawicieli Stron wyznaczonych do prowadzenia spraw związanych z realizacją umowy, a także zmian korzystnych z punktu widzenia realizacji przedmiotu umowy, w szczególności przyspieszających realizację, obniżających koszt ponoszony przez Zamawiającego na wykonanie przedmiotu umowy. W takiej sytuacji Strony wprowadzają do umowy stosowne zmiany wskazujące nowe dane wynikające ze zmian w rejestrach publicznych albo też kierując się poszanowaniem wzajemnych interesów, zasadą równości stron oraz ekwiwalentności świadczeń i</w:t>
            </w:r>
            <w:r w:rsidR="00664E73">
              <w:rPr>
                <w:rFonts w:ascii="Arial Narrow" w:hAnsi="Arial Narrow" w:cstheme="minorHAnsi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sz w:val="22"/>
                <w:szCs w:val="22"/>
              </w:rPr>
              <w:t>przede wszystkim zgodnym zamiarem wykonania przedmiotu umowy, określą zmiany korzystne z punku widzenia realizacji przedmiotu umowy.</w:t>
            </w:r>
          </w:p>
          <w:p w14:paraId="3B63AE42" w14:textId="0F76813C" w:rsidR="00243826" w:rsidRPr="00EB7016" w:rsidRDefault="00243826" w:rsidP="00C2409C">
            <w:pPr>
              <w:pStyle w:val="Default"/>
              <w:numPr>
                <w:ilvl w:val="0"/>
                <w:numId w:val="29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</w:rPr>
              <w:t>Wszelkie zmiany umowy wymagają formy pisemnej pod rygorem nieważności.</w:t>
            </w:r>
          </w:p>
        </w:tc>
      </w:tr>
      <w:tr w:rsidR="00641B12" w:rsidRPr="00EB7016" w14:paraId="30BC00B6" w14:textId="77777777" w:rsidTr="00664E73">
        <w:tc>
          <w:tcPr>
            <w:tcW w:w="2518" w:type="dxa"/>
          </w:tcPr>
          <w:p w14:paraId="5D674866" w14:textId="77777777" w:rsidR="00641B12" w:rsidRPr="00EB7016" w:rsidRDefault="00641B12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  <w:t>Wykluczenia</w:t>
            </w:r>
          </w:p>
        </w:tc>
        <w:tc>
          <w:tcPr>
            <w:tcW w:w="7089" w:type="dxa"/>
          </w:tcPr>
          <w:p w14:paraId="5E515130" w14:textId="77777777" w:rsidR="00641B12" w:rsidRPr="00EB7016" w:rsidRDefault="00641B12" w:rsidP="00C2409C">
            <w:pPr>
              <w:pStyle w:val="Default"/>
              <w:spacing w:before="120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Wykonawcą nie może być podmiot/osoba: </w:t>
            </w:r>
          </w:p>
          <w:p w14:paraId="70A479FF" w14:textId="18A385EA" w:rsidR="00641B12" w:rsidRPr="00EB7016" w:rsidRDefault="00641B12" w:rsidP="00C2409C">
            <w:pPr>
              <w:pStyle w:val="Default"/>
              <w:numPr>
                <w:ilvl w:val="0"/>
                <w:numId w:val="30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powiązany kapitałowo lub osobowo z Zamawiającym. Przez powiązania osobowe lub kapitałowe rozumie się wzajemne powiązania między Zamawiającym lub osobami upoważnionymi do zaciągania zobowiązań w imieniu Zamawiającego lub osobami wykonującymi w imieniu Zamawiającego czynności związane </w:t>
            </w: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lastRenderedPageBreak/>
              <w:t>z</w:t>
            </w:r>
            <w:r w:rsidR="00A96E6A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przygotowaniem i przeprowadzeniem procedury wyboru Wykonawcy a Wykonawcą, polegające w szczególności na: </w:t>
            </w:r>
          </w:p>
          <w:p w14:paraId="70E92A7D" w14:textId="4ABF37E7" w:rsidR="00641B12" w:rsidRPr="00EB7016" w:rsidRDefault="00641B12" w:rsidP="0008302D">
            <w:pPr>
              <w:pStyle w:val="Default"/>
              <w:numPr>
                <w:ilvl w:val="1"/>
                <w:numId w:val="32"/>
              </w:numPr>
              <w:ind w:left="595" w:hanging="357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uczestniczeniu w spółce jako wspólnik spółki cywilnej lub spółki osobowej, </w:t>
            </w:r>
          </w:p>
          <w:p w14:paraId="3C0FEB2E" w14:textId="665263EA" w:rsidR="00641B12" w:rsidRPr="00EB7016" w:rsidRDefault="00641B12" w:rsidP="0008302D">
            <w:pPr>
              <w:pStyle w:val="Default"/>
              <w:numPr>
                <w:ilvl w:val="1"/>
                <w:numId w:val="32"/>
              </w:numPr>
              <w:ind w:left="595" w:hanging="357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posiadaniu co najmniej 10 % udziałów lub akcji, </w:t>
            </w:r>
          </w:p>
          <w:p w14:paraId="49BE2199" w14:textId="01CFFF4C" w:rsidR="00641B12" w:rsidRPr="00EB7016" w:rsidRDefault="00641B12" w:rsidP="0008302D">
            <w:pPr>
              <w:pStyle w:val="Default"/>
              <w:numPr>
                <w:ilvl w:val="1"/>
                <w:numId w:val="32"/>
              </w:numPr>
              <w:ind w:left="595" w:hanging="357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pełnieniu funkcji członka organu nadzorczego lub zarządzającego, prokurenta, pełnomocnika, </w:t>
            </w:r>
          </w:p>
          <w:p w14:paraId="1E1BB4EA" w14:textId="2381C0AE" w:rsidR="00641B12" w:rsidRPr="00EB7016" w:rsidRDefault="00641B12" w:rsidP="0008302D">
            <w:pPr>
              <w:pStyle w:val="Default"/>
              <w:numPr>
                <w:ilvl w:val="1"/>
                <w:numId w:val="32"/>
              </w:numPr>
              <w:ind w:left="595" w:hanging="357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      </w:r>
          </w:p>
          <w:p w14:paraId="27F82FAE" w14:textId="7AF017F3" w:rsidR="00641B12" w:rsidRPr="00EB7016" w:rsidRDefault="00641B12" w:rsidP="00C2409C">
            <w:pPr>
              <w:pStyle w:val="Default"/>
              <w:numPr>
                <w:ilvl w:val="0"/>
                <w:numId w:val="30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w stosunku, do którego otwarto likwidację lub którego upadłość ogłoszono, z</w:t>
            </w:r>
            <w:r w:rsidR="00C2409C">
              <w:rPr>
                <w:rFonts w:ascii="Arial Narrow" w:hAnsi="Arial Narrow" w:cstheme="minorHAnsi"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wyjątkiem wykonawców, którzy po ogłoszeniu upadłości zawarli układ zatwierdzony prawomocnym postanowieniem sądu, jeżeli układ nie przewiduje zaspokojenia wierzycieli poprzez likwidację majątku upadłego; </w:t>
            </w:r>
          </w:p>
          <w:p w14:paraId="7749E24D" w14:textId="3E831D17" w:rsidR="00641B12" w:rsidRPr="00EB7016" w:rsidRDefault="00641B12" w:rsidP="00C2409C">
            <w:pPr>
              <w:pStyle w:val="Default"/>
              <w:numPr>
                <w:ilvl w:val="0"/>
                <w:numId w:val="30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zalega z uiszczeniem podatków, opłat lub składek na ubezpieczenia społeczne lub zdrowotne, z wyjątkiem przypadków, gdy uzyskali oni przewidziane prawem zwolnienie, odroczenie, rozłożenie na raty zaległych płatności lub wstrzymanie w</w:t>
            </w:r>
            <w:r w:rsidR="00C2409C">
              <w:rPr>
                <w:rFonts w:ascii="Arial Narrow" w:hAnsi="Arial Narrow" w:cstheme="minorHAnsi"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całości wykonania decyzji właściwego organu; </w:t>
            </w:r>
          </w:p>
          <w:p w14:paraId="687B97BC" w14:textId="0710D16D" w:rsidR="00641B12" w:rsidRPr="00EB7016" w:rsidRDefault="00641B12" w:rsidP="00C2409C">
            <w:pPr>
              <w:pStyle w:val="Default"/>
              <w:numPr>
                <w:ilvl w:val="0"/>
                <w:numId w:val="30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który złożył nieprawdziwe informacje mające wpływ na wynik prowadzonego postępowania; </w:t>
            </w:r>
          </w:p>
          <w:p w14:paraId="040AE33B" w14:textId="60BC1AA5" w:rsidR="00641B12" w:rsidRPr="00EB7016" w:rsidRDefault="00641B12" w:rsidP="00C2409C">
            <w:pPr>
              <w:pStyle w:val="Default"/>
              <w:numPr>
                <w:ilvl w:val="0"/>
                <w:numId w:val="30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b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który nie złożył oświadczenia o spełnianiu warunków udziału w</w:t>
            </w:r>
            <w:r w:rsidR="00355111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 </w:t>
            </w: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postępowaniu lub dokumentów potwierdzających spełnianie tych warunków lub złożone dokumenty zawierają błędy. </w:t>
            </w:r>
          </w:p>
        </w:tc>
      </w:tr>
      <w:tr w:rsidR="00452765" w:rsidRPr="00EB7016" w14:paraId="3CCFD1A4" w14:textId="77777777" w:rsidTr="00664E73">
        <w:tc>
          <w:tcPr>
            <w:tcW w:w="2518" w:type="dxa"/>
          </w:tcPr>
          <w:p w14:paraId="37741B63" w14:textId="77777777" w:rsidR="00452765" w:rsidRPr="00EB7016" w:rsidRDefault="00452765" w:rsidP="00C2409C">
            <w:pPr>
              <w:pStyle w:val="Default"/>
              <w:spacing w:before="12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</w:rPr>
              <w:lastRenderedPageBreak/>
              <w:t>Miejsce i sposób składania ofert</w:t>
            </w:r>
          </w:p>
        </w:tc>
        <w:tc>
          <w:tcPr>
            <w:tcW w:w="7089" w:type="dxa"/>
          </w:tcPr>
          <w:p w14:paraId="7C4B7390" w14:textId="77777777" w:rsidR="00452765" w:rsidRPr="00EB7016" w:rsidRDefault="00452765" w:rsidP="00C2409C">
            <w:pPr>
              <w:pStyle w:val="Default"/>
              <w:numPr>
                <w:ilvl w:val="0"/>
                <w:numId w:val="33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Ofertę można składać:</w:t>
            </w:r>
          </w:p>
          <w:p w14:paraId="759D49E7" w14:textId="77777777" w:rsidR="00355111" w:rsidRPr="00EB7016" w:rsidRDefault="00452765" w:rsidP="0008302D">
            <w:pPr>
              <w:pStyle w:val="Default"/>
              <w:numPr>
                <w:ilvl w:val="0"/>
                <w:numId w:val="34"/>
              </w:numPr>
              <w:ind w:left="595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w wersji papierowej:</w:t>
            </w:r>
          </w:p>
          <w:p w14:paraId="2E292705" w14:textId="77777777" w:rsidR="00452765" w:rsidRPr="00EB7016" w:rsidRDefault="00355111" w:rsidP="0008302D">
            <w:pPr>
              <w:pStyle w:val="Default"/>
              <w:ind w:left="595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dostarczyć </w:t>
            </w:r>
            <w:r w:rsidR="00452765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lub wysłać pocztą</w:t>
            </w: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/kurierem</w:t>
            </w:r>
            <w:r w:rsidR="00452765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na adres Zamawiającego: </w:t>
            </w:r>
          </w:p>
          <w:p w14:paraId="7BCAA748" w14:textId="77777777" w:rsidR="00AD185A" w:rsidRPr="00EB7016" w:rsidRDefault="00AD185A" w:rsidP="0008302D">
            <w:pPr>
              <w:pStyle w:val="Default"/>
              <w:ind w:left="595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Krajowa Izba Gospodarcza Elektroniki i Telekomunikacji </w:t>
            </w:r>
          </w:p>
          <w:p w14:paraId="28806567" w14:textId="77777777" w:rsidR="00452765" w:rsidRPr="00EB7016" w:rsidRDefault="00452765" w:rsidP="0008302D">
            <w:pPr>
              <w:pStyle w:val="Default"/>
              <w:ind w:left="595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ul. Stępińska 22/30, 00-739 Warszawa </w:t>
            </w:r>
          </w:p>
          <w:p w14:paraId="60BED7CA" w14:textId="6D505493" w:rsidR="00452765" w:rsidRPr="00EB7016" w:rsidRDefault="00452765" w:rsidP="0008302D">
            <w:pPr>
              <w:pStyle w:val="Default"/>
              <w:numPr>
                <w:ilvl w:val="0"/>
                <w:numId w:val="34"/>
              </w:numPr>
              <w:ind w:left="595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pocztą e-mail w pliku zabezpieczonym przed edycją (np. PDF) na wskazany </w:t>
            </w:r>
            <w:r w:rsidR="00AD185A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adres: </w:t>
            </w:r>
            <w:r w:rsidR="003A308A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kigeit</w:t>
            </w:r>
            <w:r w:rsidR="00AD185A"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@kigeit.org.pl  </w:t>
            </w:r>
          </w:p>
          <w:p w14:paraId="14694324" w14:textId="77777777" w:rsidR="00452765" w:rsidRPr="00EB7016" w:rsidRDefault="00452765" w:rsidP="0008302D">
            <w:pPr>
              <w:pStyle w:val="Default"/>
              <w:numPr>
                <w:ilvl w:val="0"/>
                <w:numId w:val="34"/>
              </w:numPr>
              <w:ind w:left="595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z wykorzystaniem funkcjonalności systemu Bazy Konkurencyjności: https://bazakonkurencyjnosci.funduszeeuropejskie.gov.pl/</w:t>
            </w:r>
          </w:p>
          <w:p w14:paraId="25417EFE" w14:textId="77777777" w:rsidR="00452765" w:rsidRPr="00EB7016" w:rsidRDefault="00452765" w:rsidP="00C2409C">
            <w:pPr>
              <w:pStyle w:val="Default"/>
              <w:numPr>
                <w:ilvl w:val="0"/>
                <w:numId w:val="33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Oferta musi być sporządzona w języku polskim i zawierać datę sporządzenia oraz czytelny (lub z pieczęcią imienną) podpis/y osoby/ób upoważnionych do reprezentacji Oferenta. </w:t>
            </w:r>
          </w:p>
          <w:p w14:paraId="5CB1919D" w14:textId="7C9E02C7" w:rsidR="00452765" w:rsidRPr="00664E73" w:rsidRDefault="00452765" w:rsidP="00C2409C">
            <w:pPr>
              <w:pStyle w:val="Default"/>
              <w:spacing w:before="120"/>
              <w:ind w:left="320"/>
              <w:jc w:val="both"/>
              <w:rPr>
                <w:rFonts w:ascii="Arial Narrow" w:hAnsi="Arial Narrow" w:cstheme="minorHAnsi"/>
                <w:i/>
                <w:iCs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W przypadku składania oferty w postaci papierowej należy ją złożyć w zamkniętej kopercie oznaczonej napisem: </w:t>
            </w:r>
            <w:r w:rsidRPr="00664E73">
              <w:rPr>
                <w:rFonts w:ascii="Arial Narrow" w:hAnsi="Arial Narrow" w:cstheme="minorHAnsi"/>
                <w:i/>
                <w:iCs/>
                <w:color w:val="auto"/>
                <w:sz w:val="22"/>
                <w:szCs w:val="22"/>
              </w:rPr>
              <w:t>„</w:t>
            </w:r>
            <w:r w:rsidR="00664E73" w:rsidRPr="00664E73">
              <w:rPr>
                <w:rFonts w:ascii="Arial Narrow" w:hAnsi="Arial Narrow" w:cstheme="minorHAnsi"/>
                <w:i/>
                <w:iCs/>
                <w:color w:val="auto"/>
                <w:sz w:val="22"/>
                <w:szCs w:val="22"/>
              </w:rPr>
              <w:t>Szczegółowa analiza i zaprojektowanie usługi w</w:t>
            </w:r>
            <w:r w:rsidR="00CB105F">
              <w:rPr>
                <w:rFonts w:ascii="Arial Narrow" w:hAnsi="Arial Narrow" w:cstheme="minorHAnsi"/>
                <w:i/>
                <w:iCs/>
                <w:color w:val="auto"/>
                <w:sz w:val="22"/>
                <w:szCs w:val="22"/>
              </w:rPr>
              <w:t> </w:t>
            </w:r>
            <w:r w:rsidR="00664E73" w:rsidRPr="00664E73">
              <w:rPr>
                <w:rFonts w:ascii="Arial Narrow" w:hAnsi="Arial Narrow" w:cstheme="minorHAnsi"/>
                <w:i/>
                <w:iCs/>
                <w:color w:val="auto"/>
                <w:sz w:val="22"/>
                <w:szCs w:val="22"/>
              </w:rPr>
              <w:t>zakresie zaspokajania potrzeb MSP w obszarze monitorowania i prognozowania rynku w sektorze elektronicznym</w:t>
            </w:r>
            <w:r w:rsidR="00AD185A" w:rsidRPr="00664E73">
              <w:rPr>
                <w:rFonts w:ascii="Arial Narrow" w:hAnsi="Arial Narrow" w:cstheme="minorHAnsi"/>
                <w:i/>
                <w:iCs/>
                <w:color w:val="auto"/>
                <w:sz w:val="22"/>
                <w:szCs w:val="22"/>
              </w:rPr>
              <w:t>”</w:t>
            </w:r>
          </w:p>
          <w:p w14:paraId="310B7D49" w14:textId="77777777" w:rsidR="00452765" w:rsidRPr="00EB7016" w:rsidRDefault="00452765" w:rsidP="00C2409C">
            <w:pPr>
              <w:pStyle w:val="Default"/>
              <w:numPr>
                <w:ilvl w:val="0"/>
                <w:numId w:val="33"/>
              </w:numPr>
              <w:spacing w:before="120"/>
              <w:ind w:left="320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Oferent może złożyć tylko jedną ofertę.</w:t>
            </w:r>
          </w:p>
          <w:p w14:paraId="710DE324" w14:textId="14C4C97B" w:rsidR="00EB7016" w:rsidRPr="00EB7016" w:rsidRDefault="00EB7016" w:rsidP="00C2409C">
            <w:pPr>
              <w:pStyle w:val="Default"/>
              <w:numPr>
                <w:ilvl w:val="0"/>
                <w:numId w:val="33"/>
              </w:numPr>
              <w:spacing w:before="120"/>
              <w:ind w:left="315"/>
              <w:jc w:val="both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auto"/>
                <w:sz w:val="22"/>
                <w:szCs w:val="22"/>
              </w:rPr>
              <w:t>Cena w ofercie musi być podana w złotych polskich, z dokładnością do dwóch miejsc po przecinku. Cena w ofercie musi zawierać wszystkie koszty realizacji zamówienia, wynikające wprost z treści zapytania ofertowego, jak również w nim nieujęte, a niezbędne do należytej realizacji zamówienia,  oraz – w przypadku Wykonawców prowadzących działalność gospodarczą – podatek</w:t>
            </w: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VAT</w:t>
            </w:r>
          </w:p>
        </w:tc>
      </w:tr>
      <w:tr w:rsidR="00452765" w:rsidRPr="00EB7016" w14:paraId="5CE7202A" w14:textId="77777777" w:rsidTr="00664E73">
        <w:tc>
          <w:tcPr>
            <w:tcW w:w="2518" w:type="dxa"/>
          </w:tcPr>
          <w:p w14:paraId="0BAA5A45" w14:textId="77777777" w:rsidR="00452765" w:rsidRPr="00EB7016" w:rsidRDefault="00452765" w:rsidP="00C2409C">
            <w:pPr>
              <w:spacing w:before="120"/>
              <w:rPr>
                <w:rFonts w:ascii="Arial Narrow" w:hAnsi="Arial Narrow" w:cstheme="minorHAnsi"/>
                <w:sz w:val="22"/>
                <w:szCs w:val="22"/>
                <w:lang w:eastAsia="pl-PL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  <w:lang w:eastAsia="pl-PL"/>
              </w:rPr>
              <w:t>Osoby do kontaktu</w:t>
            </w:r>
          </w:p>
          <w:p w14:paraId="2155CCCE" w14:textId="77777777" w:rsidR="00452765" w:rsidRPr="00EB7016" w:rsidRDefault="00452765" w:rsidP="00C2409C">
            <w:pPr>
              <w:spacing w:before="120"/>
              <w:jc w:val="right"/>
              <w:rPr>
                <w:rFonts w:ascii="Arial Narrow" w:hAnsi="Arial Narrow" w:cstheme="minorHAnsi"/>
                <w:sz w:val="22"/>
                <w:szCs w:val="22"/>
                <w:lang w:eastAsia="pl-PL"/>
              </w:rPr>
            </w:pPr>
          </w:p>
        </w:tc>
        <w:tc>
          <w:tcPr>
            <w:tcW w:w="7089" w:type="dxa"/>
          </w:tcPr>
          <w:p w14:paraId="739EB61A" w14:textId="77777777" w:rsidR="00AD185A" w:rsidRPr="00EB7016" w:rsidRDefault="00AD185A" w:rsidP="00664E73">
            <w:pPr>
              <w:pStyle w:val="Default"/>
              <w:jc w:val="both"/>
              <w:rPr>
                <w:rFonts w:ascii="Arial Narrow" w:hAnsi="Arial Narrow" w:cstheme="minorHAnsi"/>
                <w:bCs/>
                <w:sz w:val="22"/>
                <w:szCs w:val="22"/>
                <w:lang w:val="de-DE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  <w:lang w:val="de-DE"/>
              </w:rPr>
              <w:t>Izabela Felińska,</w:t>
            </w:r>
          </w:p>
          <w:p w14:paraId="2ABCF749" w14:textId="77777777" w:rsidR="00AD185A" w:rsidRPr="00EB7016" w:rsidRDefault="00AD185A" w:rsidP="00664E73">
            <w:pPr>
              <w:pStyle w:val="Default"/>
              <w:jc w:val="both"/>
              <w:rPr>
                <w:rFonts w:ascii="Arial Narrow" w:hAnsi="Arial Narrow" w:cstheme="minorHAnsi"/>
                <w:bCs/>
                <w:sz w:val="22"/>
                <w:szCs w:val="22"/>
                <w:lang w:val="de-DE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  <w:lang w:val="de-DE"/>
              </w:rPr>
              <w:t xml:space="preserve">e-mail: </w:t>
            </w:r>
            <w:r w:rsidRPr="00EB7016">
              <w:rPr>
                <w:rFonts w:ascii="Arial Narrow" w:eastAsia="Times New Roman" w:hAnsi="Arial Narrow" w:cstheme="minorHAnsi"/>
                <w:sz w:val="22"/>
                <w:szCs w:val="22"/>
                <w:lang w:eastAsia="pl-PL"/>
              </w:rPr>
              <w:t>izabela.felinska@kigeit.org.pl</w:t>
            </w:r>
            <w:r w:rsidRPr="00EB7016">
              <w:rPr>
                <w:rFonts w:ascii="Arial Narrow" w:hAnsi="Arial Narrow" w:cstheme="minorHAnsi"/>
                <w:bCs/>
                <w:sz w:val="22"/>
                <w:szCs w:val="22"/>
                <w:lang w:val="de-DE"/>
              </w:rPr>
              <w:t xml:space="preserve">  </w:t>
            </w:r>
          </w:p>
          <w:p w14:paraId="536B77FE" w14:textId="6993EEF2" w:rsidR="00452765" w:rsidRPr="00EB7016" w:rsidRDefault="00AD185A" w:rsidP="00664E73">
            <w:pPr>
              <w:pStyle w:val="Default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bCs/>
                <w:sz w:val="22"/>
                <w:szCs w:val="22"/>
                <w:lang w:val="de-DE"/>
              </w:rPr>
              <w:t>tel. 515120265</w:t>
            </w:r>
          </w:p>
        </w:tc>
      </w:tr>
      <w:tr w:rsidR="00452765" w:rsidRPr="00EB7016" w14:paraId="3544ADE2" w14:textId="77777777" w:rsidTr="00664E73">
        <w:tc>
          <w:tcPr>
            <w:tcW w:w="2518" w:type="dxa"/>
          </w:tcPr>
          <w:p w14:paraId="29C9E3BF" w14:textId="77777777" w:rsidR="00452765" w:rsidRPr="00EB7016" w:rsidRDefault="00452765" w:rsidP="00C2409C">
            <w:pPr>
              <w:spacing w:before="120"/>
              <w:rPr>
                <w:rFonts w:ascii="Arial Narrow" w:hAnsi="Arial Narrow" w:cstheme="minorHAnsi"/>
                <w:sz w:val="22"/>
                <w:szCs w:val="22"/>
                <w:lang w:eastAsia="pl-PL"/>
              </w:rPr>
            </w:pPr>
            <w:r w:rsidRPr="00EB7016">
              <w:rPr>
                <w:rFonts w:ascii="Arial Narrow" w:hAnsi="Arial Narrow" w:cstheme="minorHAnsi"/>
                <w:sz w:val="22"/>
                <w:szCs w:val="22"/>
                <w:lang w:eastAsia="pl-PL"/>
              </w:rPr>
              <w:t>Załączniki</w:t>
            </w:r>
          </w:p>
        </w:tc>
        <w:tc>
          <w:tcPr>
            <w:tcW w:w="7089" w:type="dxa"/>
          </w:tcPr>
          <w:p w14:paraId="4132CCDC" w14:textId="77777777" w:rsidR="00452765" w:rsidRPr="00EB7016" w:rsidRDefault="00452765" w:rsidP="00C2409C">
            <w:pPr>
              <w:pStyle w:val="Akapitzlist"/>
              <w:numPr>
                <w:ilvl w:val="0"/>
                <w:numId w:val="36"/>
              </w:numPr>
              <w:spacing w:before="120"/>
              <w:ind w:left="315"/>
              <w:jc w:val="both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000000"/>
                <w:sz w:val="22"/>
                <w:szCs w:val="22"/>
              </w:rPr>
              <w:t>Opis przedmiotu zamówienia (OPZ)</w:t>
            </w:r>
          </w:p>
          <w:p w14:paraId="54E9EFC8" w14:textId="77777777" w:rsidR="00452765" w:rsidRPr="00EB7016" w:rsidRDefault="00BF77F4" w:rsidP="00C2409C">
            <w:pPr>
              <w:pStyle w:val="Akapitzlist"/>
              <w:numPr>
                <w:ilvl w:val="0"/>
                <w:numId w:val="36"/>
              </w:numPr>
              <w:spacing w:before="120"/>
              <w:ind w:left="315"/>
              <w:jc w:val="both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000000"/>
                <w:sz w:val="22"/>
                <w:szCs w:val="22"/>
              </w:rPr>
              <w:t>Formularz ofertowy</w:t>
            </w:r>
          </w:p>
          <w:p w14:paraId="0AF35D08" w14:textId="6B42B8C4" w:rsidR="00452765" w:rsidRPr="00EB7016" w:rsidRDefault="00452765" w:rsidP="00C2409C">
            <w:pPr>
              <w:pStyle w:val="Akapitzlist"/>
              <w:numPr>
                <w:ilvl w:val="0"/>
                <w:numId w:val="36"/>
              </w:numPr>
              <w:spacing w:before="120"/>
              <w:ind w:left="315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EB7016">
              <w:rPr>
                <w:rFonts w:ascii="Arial Narrow" w:hAnsi="Arial Narrow" w:cstheme="minorHAnsi"/>
                <w:color w:val="000000"/>
                <w:sz w:val="22"/>
                <w:szCs w:val="22"/>
              </w:rPr>
              <w:t>Oświadczenie o braku powiązań kapitałowych i/lub osobowych.</w:t>
            </w:r>
          </w:p>
        </w:tc>
      </w:tr>
    </w:tbl>
    <w:p w14:paraId="26CF96DD" w14:textId="77777777" w:rsidR="001D18E5" w:rsidRPr="00EB7016" w:rsidRDefault="001D18E5" w:rsidP="00C2409C">
      <w:pPr>
        <w:pStyle w:val="Default"/>
        <w:spacing w:before="120"/>
        <w:jc w:val="both"/>
        <w:rPr>
          <w:rFonts w:ascii="Arial Narrow" w:hAnsi="Arial Narrow"/>
          <w:bCs/>
          <w:sz w:val="22"/>
          <w:szCs w:val="22"/>
        </w:rPr>
      </w:pPr>
    </w:p>
    <w:sectPr w:rsidR="001D18E5" w:rsidRPr="00EB7016" w:rsidSect="00EB7016">
      <w:footerReference w:type="default" r:id="rId9"/>
      <w:pgSz w:w="11906" w:h="16838"/>
      <w:pgMar w:top="851" w:right="1133" w:bottom="1276" w:left="1134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41D4D" w14:textId="77777777" w:rsidR="00F414D6" w:rsidRDefault="00F414D6" w:rsidP="00476259">
      <w:r>
        <w:separator/>
      </w:r>
    </w:p>
  </w:endnote>
  <w:endnote w:type="continuationSeparator" w:id="0">
    <w:p w14:paraId="50DC8ED1" w14:textId="77777777" w:rsidR="00F414D6" w:rsidRDefault="00F414D6" w:rsidP="0047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14530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5199442" w14:textId="70EA4B33" w:rsidR="00CB105F" w:rsidRDefault="00CB105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A5458A" w14:textId="77777777" w:rsidR="00537F6D" w:rsidRDefault="00537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71854" w14:textId="77777777" w:rsidR="00F414D6" w:rsidRDefault="00F414D6" w:rsidP="00476259">
      <w:r>
        <w:separator/>
      </w:r>
    </w:p>
  </w:footnote>
  <w:footnote w:type="continuationSeparator" w:id="0">
    <w:p w14:paraId="4655A599" w14:textId="77777777" w:rsidR="00F414D6" w:rsidRDefault="00F414D6" w:rsidP="0047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D24E2"/>
    <w:multiLevelType w:val="hybridMultilevel"/>
    <w:tmpl w:val="1D40A8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4A10"/>
    <w:multiLevelType w:val="hybridMultilevel"/>
    <w:tmpl w:val="41D4F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40D"/>
    <w:multiLevelType w:val="hybridMultilevel"/>
    <w:tmpl w:val="4E34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553C4"/>
    <w:multiLevelType w:val="hybridMultilevel"/>
    <w:tmpl w:val="B70AB1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62B2B"/>
    <w:multiLevelType w:val="hybridMultilevel"/>
    <w:tmpl w:val="239C83FA"/>
    <w:lvl w:ilvl="0" w:tplc="3A565B40">
      <w:numFmt w:val="bullet"/>
      <w:lvlText w:val="•"/>
      <w:lvlJc w:val="left"/>
      <w:pPr>
        <w:ind w:left="712" w:hanging="570"/>
      </w:pPr>
      <w:rPr>
        <w:rFonts w:ascii="Calibri" w:eastAsiaTheme="minorHAns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48F6434"/>
    <w:multiLevelType w:val="hybridMultilevel"/>
    <w:tmpl w:val="519A0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739AD"/>
    <w:multiLevelType w:val="hybridMultilevel"/>
    <w:tmpl w:val="53A07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12CAB"/>
    <w:multiLevelType w:val="hybridMultilevel"/>
    <w:tmpl w:val="987E93D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03722CA"/>
    <w:multiLevelType w:val="hybridMultilevel"/>
    <w:tmpl w:val="CDCE120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277578F"/>
    <w:multiLevelType w:val="hybridMultilevel"/>
    <w:tmpl w:val="FD2AC75C"/>
    <w:lvl w:ilvl="0" w:tplc="1D604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463FA"/>
    <w:multiLevelType w:val="hybridMultilevel"/>
    <w:tmpl w:val="69F67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C5903"/>
    <w:multiLevelType w:val="hybridMultilevel"/>
    <w:tmpl w:val="49A0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5613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92DCF"/>
    <w:multiLevelType w:val="hybridMultilevel"/>
    <w:tmpl w:val="5386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15BA0"/>
    <w:multiLevelType w:val="hybridMultilevel"/>
    <w:tmpl w:val="274029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B0715"/>
    <w:multiLevelType w:val="hybridMultilevel"/>
    <w:tmpl w:val="55FACB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77AD7"/>
    <w:multiLevelType w:val="hybridMultilevel"/>
    <w:tmpl w:val="7F2C5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15D55"/>
    <w:multiLevelType w:val="hybridMultilevel"/>
    <w:tmpl w:val="FB64D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55C12"/>
    <w:multiLevelType w:val="hybridMultilevel"/>
    <w:tmpl w:val="E954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D48BD"/>
    <w:multiLevelType w:val="hybridMultilevel"/>
    <w:tmpl w:val="6FEE8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9023D"/>
    <w:multiLevelType w:val="hybridMultilevel"/>
    <w:tmpl w:val="49A0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5613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A618D"/>
    <w:multiLevelType w:val="hybridMultilevel"/>
    <w:tmpl w:val="2FAC5314"/>
    <w:lvl w:ilvl="0" w:tplc="7FFED92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F33FB"/>
    <w:multiLevelType w:val="hybridMultilevel"/>
    <w:tmpl w:val="C75C98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6415A"/>
    <w:multiLevelType w:val="hybridMultilevel"/>
    <w:tmpl w:val="AD227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81892"/>
    <w:multiLevelType w:val="hybridMultilevel"/>
    <w:tmpl w:val="033E9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45F64"/>
    <w:multiLevelType w:val="hybridMultilevel"/>
    <w:tmpl w:val="A9827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22BDD"/>
    <w:multiLevelType w:val="hybridMultilevel"/>
    <w:tmpl w:val="0F966862"/>
    <w:lvl w:ilvl="0" w:tplc="0F72E6D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9532C5"/>
    <w:multiLevelType w:val="hybridMultilevel"/>
    <w:tmpl w:val="B8E24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5613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029C9"/>
    <w:multiLevelType w:val="hybridMultilevel"/>
    <w:tmpl w:val="69928B7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3450E1B"/>
    <w:multiLevelType w:val="hybridMultilevel"/>
    <w:tmpl w:val="A00C5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F59D7"/>
    <w:multiLevelType w:val="hybridMultilevel"/>
    <w:tmpl w:val="B11280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C873EE"/>
    <w:multiLevelType w:val="hybridMultilevel"/>
    <w:tmpl w:val="5386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E66B7"/>
    <w:multiLevelType w:val="hybridMultilevel"/>
    <w:tmpl w:val="519A0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74B4F"/>
    <w:multiLevelType w:val="hybridMultilevel"/>
    <w:tmpl w:val="E06E8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A58D2"/>
    <w:multiLevelType w:val="hybridMultilevel"/>
    <w:tmpl w:val="DF0C8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D7076"/>
    <w:multiLevelType w:val="hybridMultilevel"/>
    <w:tmpl w:val="63507A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54770"/>
    <w:multiLevelType w:val="hybridMultilevel"/>
    <w:tmpl w:val="A1744614"/>
    <w:lvl w:ilvl="0" w:tplc="0415000F">
      <w:start w:val="1"/>
      <w:numFmt w:val="decimal"/>
      <w:lvlText w:val="%1."/>
      <w:lvlJc w:val="left"/>
      <w:pPr>
        <w:ind w:left="741" w:hanging="360"/>
      </w:pPr>
    </w:lvl>
    <w:lvl w:ilvl="1" w:tplc="04150019" w:tentative="1">
      <w:start w:val="1"/>
      <w:numFmt w:val="lowerLetter"/>
      <w:lvlText w:val="%2."/>
      <w:lvlJc w:val="left"/>
      <w:pPr>
        <w:ind w:left="1461" w:hanging="360"/>
      </w:pPr>
    </w:lvl>
    <w:lvl w:ilvl="2" w:tplc="0415001B" w:tentative="1">
      <w:start w:val="1"/>
      <w:numFmt w:val="lowerRoman"/>
      <w:lvlText w:val="%3."/>
      <w:lvlJc w:val="right"/>
      <w:pPr>
        <w:ind w:left="2181" w:hanging="180"/>
      </w:pPr>
    </w:lvl>
    <w:lvl w:ilvl="3" w:tplc="0415000F" w:tentative="1">
      <w:start w:val="1"/>
      <w:numFmt w:val="decimal"/>
      <w:lvlText w:val="%4."/>
      <w:lvlJc w:val="left"/>
      <w:pPr>
        <w:ind w:left="2901" w:hanging="360"/>
      </w:pPr>
    </w:lvl>
    <w:lvl w:ilvl="4" w:tplc="04150019" w:tentative="1">
      <w:start w:val="1"/>
      <w:numFmt w:val="lowerLetter"/>
      <w:lvlText w:val="%5."/>
      <w:lvlJc w:val="left"/>
      <w:pPr>
        <w:ind w:left="3621" w:hanging="360"/>
      </w:pPr>
    </w:lvl>
    <w:lvl w:ilvl="5" w:tplc="0415001B" w:tentative="1">
      <w:start w:val="1"/>
      <w:numFmt w:val="lowerRoman"/>
      <w:lvlText w:val="%6."/>
      <w:lvlJc w:val="right"/>
      <w:pPr>
        <w:ind w:left="4341" w:hanging="180"/>
      </w:pPr>
    </w:lvl>
    <w:lvl w:ilvl="6" w:tplc="0415000F" w:tentative="1">
      <w:start w:val="1"/>
      <w:numFmt w:val="decimal"/>
      <w:lvlText w:val="%7."/>
      <w:lvlJc w:val="left"/>
      <w:pPr>
        <w:ind w:left="5061" w:hanging="360"/>
      </w:pPr>
    </w:lvl>
    <w:lvl w:ilvl="7" w:tplc="04150019" w:tentative="1">
      <w:start w:val="1"/>
      <w:numFmt w:val="lowerLetter"/>
      <w:lvlText w:val="%8."/>
      <w:lvlJc w:val="left"/>
      <w:pPr>
        <w:ind w:left="5781" w:hanging="360"/>
      </w:pPr>
    </w:lvl>
    <w:lvl w:ilvl="8" w:tplc="0415001B" w:tentative="1">
      <w:start w:val="1"/>
      <w:numFmt w:val="lowerRoman"/>
      <w:lvlText w:val="%9."/>
      <w:lvlJc w:val="right"/>
      <w:pPr>
        <w:ind w:left="6501" w:hanging="180"/>
      </w:pPr>
    </w:lvl>
  </w:abstractNum>
  <w:num w:numId="1">
    <w:abstractNumId w:val="29"/>
  </w:num>
  <w:num w:numId="2">
    <w:abstractNumId w:val="30"/>
  </w:num>
  <w:num w:numId="3">
    <w:abstractNumId w:val="10"/>
  </w:num>
  <w:num w:numId="4">
    <w:abstractNumId w:val="16"/>
  </w:num>
  <w:num w:numId="5">
    <w:abstractNumId w:val="8"/>
  </w:num>
  <w:num w:numId="6">
    <w:abstractNumId w:val="5"/>
  </w:num>
  <w:num w:numId="7">
    <w:abstractNumId w:val="23"/>
  </w:num>
  <w:num w:numId="8">
    <w:abstractNumId w:val="33"/>
  </w:num>
  <w:num w:numId="9">
    <w:abstractNumId w:val="24"/>
  </w:num>
  <w:num w:numId="10">
    <w:abstractNumId w:val="34"/>
  </w:num>
  <w:num w:numId="11">
    <w:abstractNumId w:val="7"/>
  </w:num>
  <w:num w:numId="12">
    <w:abstractNumId w:val="18"/>
  </w:num>
  <w:num w:numId="13">
    <w:abstractNumId w:val="0"/>
  </w:num>
  <w:num w:numId="14">
    <w:abstractNumId w:val="26"/>
  </w:num>
  <w:num w:numId="15">
    <w:abstractNumId w:val="17"/>
  </w:num>
  <w:num w:numId="16">
    <w:abstractNumId w:val="21"/>
  </w:num>
  <w:num w:numId="17">
    <w:abstractNumId w:val="11"/>
  </w:num>
  <w:num w:numId="18">
    <w:abstractNumId w:val="3"/>
  </w:num>
  <w:num w:numId="19">
    <w:abstractNumId w:val="32"/>
  </w:num>
  <w:num w:numId="20">
    <w:abstractNumId w:val="15"/>
  </w:num>
  <w:num w:numId="21">
    <w:abstractNumId w:val="19"/>
  </w:num>
  <w:num w:numId="22">
    <w:abstractNumId w:val="2"/>
  </w:num>
  <w:num w:numId="23">
    <w:abstractNumId w:val="14"/>
  </w:num>
  <w:num w:numId="24">
    <w:abstractNumId w:val="1"/>
  </w:num>
  <w:num w:numId="25">
    <w:abstractNumId w:val="6"/>
  </w:num>
  <w:num w:numId="26">
    <w:abstractNumId w:val="9"/>
  </w:num>
  <w:num w:numId="27">
    <w:abstractNumId w:val="4"/>
  </w:num>
  <w:num w:numId="28">
    <w:abstractNumId w:val="13"/>
  </w:num>
  <w:num w:numId="29">
    <w:abstractNumId w:val="31"/>
  </w:num>
  <w:num w:numId="30">
    <w:abstractNumId w:val="12"/>
  </w:num>
  <w:num w:numId="31">
    <w:abstractNumId w:val="25"/>
  </w:num>
  <w:num w:numId="32">
    <w:abstractNumId w:val="28"/>
  </w:num>
  <w:num w:numId="33">
    <w:abstractNumId w:val="27"/>
  </w:num>
  <w:num w:numId="34">
    <w:abstractNumId w:val="35"/>
  </w:num>
  <w:num w:numId="35">
    <w:abstractNumId w:val="20"/>
  </w:num>
  <w:num w:numId="36">
    <w:abstractNumId w:val="3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1E"/>
    <w:rsid w:val="00005FAA"/>
    <w:rsid w:val="000078B1"/>
    <w:rsid w:val="000176B3"/>
    <w:rsid w:val="000307F9"/>
    <w:rsid w:val="0003216C"/>
    <w:rsid w:val="000357B9"/>
    <w:rsid w:val="00040F31"/>
    <w:rsid w:val="0004471E"/>
    <w:rsid w:val="000450C4"/>
    <w:rsid w:val="00051297"/>
    <w:rsid w:val="00054DC3"/>
    <w:rsid w:val="00056456"/>
    <w:rsid w:val="000620B0"/>
    <w:rsid w:val="00076B2C"/>
    <w:rsid w:val="00077090"/>
    <w:rsid w:val="00077278"/>
    <w:rsid w:val="0008302D"/>
    <w:rsid w:val="00085C1B"/>
    <w:rsid w:val="00091680"/>
    <w:rsid w:val="00094506"/>
    <w:rsid w:val="00094C28"/>
    <w:rsid w:val="000A4E6E"/>
    <w:rsid w:val="000B4524"/>
    <w:rsid w:val="000D0E3B"/>
    <w:rsid w:val="000D4B7B"/>
    <w:rsid w:val="000E3951"/>
    <w:rsid w:val="000E4644"/>
    <w:rsid w:val="00101E05"/>
    <w:rsid w:val="00103ABE"/>
    <w:rsid w:val="00103E6A"/>
    <w:rsid w:val="00104152"/>
    <w:rsid w:val="00104708"/>
    <w:rsid w:val="001053B7"/>
    <w:rsid w:val="00115848"/>
    <w:rsid w:val="00120E66"/>
    <w:rsid w:val="001257A6"/>
    <w:rsid w:val="00130279"/>
    <w:rsid w:val="00132483"/>
    <w:rsid w:val="001329F4"/>
    <w:rsid w:val="00135263"/>
    <w:rsid w:val="00140B20"/>
    <w:rsid w:val="00151EBC"/>
    <w:rsid w:val="00155A0A"/>
    <w:rsid w:val="001575FE"/>
    <w:rsid w:val="001759FA"/>
    <w:rsid w:val="00183A9B"/>
    <w:rsid w:val="00183FFB"/>
    <w:rsid w:val="00190D07"/>
    <w:rsid w:val="001922C9"/>
    <w:rsid w:val="0019691E"/>
    <w:rsid w:val="00197B25"/>
    <w:rsid w:val="001A34BA"/>
    <w:rsid w:val="001C633A"/>
    <w:rsid w:val="001D18E5"/>
    <w:rsid w:val="001D5226"/>
    <w:rsid w:val="001D5FAE"/>
    <w:rsid w:val="001D6EEE"/>
    <w:rsid w:val="001D6FDD"/>
    <w:rsid w:val="001E32A0"/>
    <w:rsid w:val="001E3740"/>
    <w:rsid w:val="002029B3"/>
    <w:rsid w:val="002058E8"/>
    <w:rsid w:val="00206A52"/>
    <w:rsid w:val="00212434"/>
    <w:rsid w:val="002244BE"/>
    <w:rsid w:val="0023516F"/>
    <w:rsid w:val="00241B93"/>
    <w:rsid w:val="00241C1B"/>
    <w:rsid w:val="0024290D"/>
    <w:rsid w:val="00243826"/>
    <w:rsid w:val="002444A1"/>
    <w:rsid w:val="002461C2"/>
    <w:rsid w:val="00255BAE"/>
    <w:rsid w:val="00256A63"/>
    <w:rsid w:val="0026255C"/>
    <w:rsid w:val="00262C52"/>
    <w:rsid w:val="002746AA"/>
    <w:rsid w:val="002831E7"/>
    <w:rsid w:val="00285116"/>
    <w:rsid w:val="00292CAB"/>
    <w:rsid w:val="00296846"/>
    <w:rsid w:val="002A3594"/>
    <w:rsid w:val="002A3CB3"/>
    <w:rsid w:val="002A54B2"/>
    <w:rsid w:val="002A701B"/>
    <w:rsid w:val="002B1CB6"/>
    <w:rsid w:val="002B46A2"/>
    <w:rsid w:val="002C1C33"/>
    <w:rsid w:val="002D269F"/>
    <w:rsid w:val="002D44CE"/>
    <w:rsid w:val="002E5CFE"/>
    <w:rsid w:val="002F17F6"/>
    <w:rsid w:val="002F2772"/>
    <w:rsid w:val="003026FF"/>
    <w:rsid w:val="0030327D"/>
    <w:rsid w:val="00303875"/>
    <w:rsid w:val="00310F04"/>
    <w:rsid w:val="0031305C"/>
    <w:rsid w:val="003227FA"/>
    <w:rsid w:val="00333EFB"/>
    <w:rsid w:val="00344EAA"/>
    <w:rsid w:val="00347C9C"/>
    <w:rsid w:val="0035130C"/>
    <w:rsid w:val="00355111"/>
    <w:rsid w:val="0036151B"/>
    <w:rsid w:val="00364344"/>
    <w:rsid w:val="00364524"/>
    <w:rsid w:val="00365BB9"/>
    <w:rsid w:val="0036747B"/>
    <w:rsid w:val="003A02E1"/>
    <w:rsid w:val="003A308A"/>
    <w:rsid w:val="003B0ECA"/>
    <w:rsid w:val="003B4395"/>
    <w:rsid w:val="003B747E"/>
    <w:rsid w:val="003B7EEB"/>
    <w:rsid w:val="003D566E"/>
    <w:rsid w:val="003D74E0"/>
    <w:rsid w:val="003E09C2"/>
    <w:rsid w:val="003E2CDA"/>
    <w:rsid w:val="003E4122"/>
    <w:rsid w:val="003E7911"/>
    <w:rsid w:val="003F28B3"/>
    <w:rsid w:val="0041298D"/>
    <w:rsid w:val="00415F66"/>
    <w:rsid w:val="00416BBB"/>
    <w:rsid w:val="00422463"/>
    <w:rsid w:val="00422FC5"/>
    <w:rsid w:val="00423EDF"/>
    <w:rsid w:val="0043192E"/>
    <w:rsid w:val="00433422"/>
    <w:rsid w:val="00440D39"/>
    <w:rsid w:val="00452765"/>
    <w:rsid w:val="00462A49"/>
    <w:rsid w:val="0047170E"/>
    <w:rsid w:val="00474BCA"/>
    <w:rsid w:val="00476259"/>
    <w:rsid w:val="0048794C"/>
    <w:rsid w:val="004A1364"/>
    <w:rsid w:val="004A302C"/>
    <w:rsid w:val="004A6198"/>
    <w:rsid w:val="004A6F9B"/>
    <w:rsid w:val="004B2090"/>
    <w:rsid w:val="004B22AD"/>
    <w:rsid w:val="004B65CB"/>
    <w:rsid w:val="004B74F2"/>
    <w:rsid w:val="004D2372"/>
    <w:rsid w:val="004D54D9"/>
    <w:rsid w:val="004F6361"/>
    <w:rsid w:val="004F7AD5"/>
    <w:rsid w:val="00504E53"/>
    <w:rsid w:val="00506946"/>
    <w:rsid w:val="0050708A"/>
    <w:rsid w:val="00510BA1"/>
    <w:rsid w:val="00517D20"/>
    <w:rsid w:val="0052040C"/>
    <w:rsid w:val="005204C2"/>
    <w:rsid w:val="00526CA7"/>
    <w:rsid w:val="005371E3"/>
    <w:rsid w:val="00537F6D"/>
    <w:rsid w:val="00537FC6"/>
    <w:rsid w:val="005400D8"/>
    <w:rsid w:val="00543ACE"/>
    <w:rsid w:val="00551640"/>
    <w:rsid w:val="00551AF9"/>
    <w:rsid w:val="005607F1"/>
    <w:rsid w:val="00572124"/>
    <w:rsid w:val="00572BB7"/>
    <w:rsid w:val="00587CD6"/>
    <w:rsid w:val="005902DA"/>
    <w:rsid w:val="00592414"/>
    <w:rsid w:val="00592873"/>
    <w:rsid w:val="005964CC"/>
    <w:rsid w:val="005A62DD"/>
    <w:rsid w:val="005B474D"/>
    <w:rsid w:val="005B4D42"/>
    <w:rsid w:val="005D32EE"/>
    <w:rsid w:val="005D72F9"/>
    <w:rsid w:val="005E33FC"/>
    <w:rsid w:val="00610F68"/>
    <w:rsid w:val="006152FF"/>
    <w:rsid w:val="00625DF9"/>
    <w:rsid w:val="006265EB"/>
    <w:rsid w:val="00626907"/>
    <w:rsid w:val="006347CD"/>
    <w:rsid w:val="00641B12"/>
    <w:rsid w:val="00664E73"/>
    <w:rsid w:val="00677325"/>
    <w:rsid w:val="00680365"/>
    <w:rsid w:val="00680FC8"/>
    <w:rsid w:val="00695B71"/>
    <w:rsid w:val="00696661"/>
    <w:rsid w:val="006A1F1E"/>
    <w:rsid w:val="006A30A4"/>
    <w:rsid w:val="006A583B"/>
    <w:rsid w:val="006A5BE3"/>
    <w:rsid w:val="006B26A6"/>
    <w:rsid w:val="006B2F95"/>
    <w:rsid w:val="006C4966"/>
    <w:rsid w:val="006C58C8"/>
    <w:rsid w:val="006D2358"/>
    <w:rsid w:val="006E6A81"/>
    <w:rsid w:val="006F31BB"/>
    <w:rsid w:val="00704F32"/>
    <w:rsid w:val="007148D5"/>
    <w:rsid w:val="007162CF"/>
    <w:rsid w:val="00720306"/>
    <w:rsid w:val="007243DC"/>
    <w:rsid w:val="00724B9E"/>
    <w:rsid w:val="00734F72"/>
    <w:rsid w:val="00736279"/>
    <w:rsid w:val="00736891"/>
    <w:rsid w:val="00743A17"/>
    <w:rsid w:val="00744F56"/>
    <w:rsid w:val="00745176"/>
    <w:rsid w:val="007460B0"/>
    <w:rsid w:val="00755700"/>
    <w:rsid w:val="0075667C"/>
    <w:rsid w:val="00764788"/>
    <w:rsid w:val="007804A0"/>
    <w:rsid w:val="00783EC7"/>
    <w:rsid w:val="007914E6"/>
    <w:rsid w:val="00793342"/>
    <w:rsid w:val="00794070"/>
    <w:rsid w:val="0079690C"/>
    <w:rsid w:val="007A5FEB"/>
    <w:rsid w:val="007C77F4"/>
    <w:rsid w:val="007D75AA"/>
    <w:rsid w:val="007D7D1F"/>
    <w:rsid w:val="007E5419"/>
    <w:rsid w:val="007F504D"/>
    <w:rsid w:val="007F55A1"/>
    <w:rsid w:val="007F5CBC"/>
    <w:rsid w:val="007F6E11"/>
    <w:rsid w:val="0081106D"/>
    <w:rsid w:val="0082336A"/>
    <w:rsid w:val="0083065A"/>
    <w:rsid w:val="008413E7"/>
    <w:rsid w:val="00863657"/>
    <w:rsid w:val="00880D28"/>
    <w:rsid w:val="00881772"/>
    <w:rsid w:val="00881BFF"/>
    <w:rsid w:val="00891247"/>
    <w:rsid w:val="00895296"/>
    <w:rsid w:val="008977AB"/>
    <w:rsid w:val="008A54A8"/>
    <w:rsid w:val="008B4B1D"/>
    <w:rsid w:val="008B62C7"/>
    <w:rsid w:val="008C5052"/>
    <w:rsid w:val="008D48ED"/>
    <w:rsid w:val="008E3924"/>
    <w:rsid w:val="008E4694"/>
    <w:rsid w:val="00912AE3"/>
    <w:rsid w:val="009169C6"/>
    <w:rsid w:val="00931131"/>
    <w:rsid w:val="00956B79"/>
    <w:rsid w:val="00961CD8"/>
    <w:rsid w:val="00967480"/>
    <w:rsid w:val="009811E2"/>
    <w:rsid w:val="00986BB2"/>
    <w:rsid w:val="00987949"/>
    <w:rsid w:val="0099520E"/>
    <w:rsid w:val="009A2481"/>
    <w:rsid w:val="009A7262"/>
    <w:rsid w:val="009A78C7"/>
    <w:rsid w:val="009B07D3"/>
    <w:rsid w:val="009B4D6D"/>
    <w:rsid w:val="009C724C"/>
    <w:rsid w:val="009D0C83"/>
    <w:rsid w:val="009E3396"/>
    <w:rsid w:val="009E7C02"/>
    <w:rsid w:val="009F178E"/>
    <w:rsid w:val="00A112CC"/>
    <w:rsid w:val="00A139FF"/>
    <w:rsid w:val="00A21B87"/>
    <w:rsid w:val="00A255F4"/>
    <w:rsid w:val="00A25D46"/>
    <w:rsid w:val="00A316AD"/>
    <w:rsid w:val="00A4163B"/>
    <w:rsid w:val="00A60214"/>
    <w:rsid w:val="00A65897"/>
    <w:rsid w:val="00A70E27"/>
    <w:rsid w:val="00A772B6"/>
    <w:rsid w:val="00A77D30"/>
    <w:rsid w:val="00A817A6"/>
    <w:rsid w:val="00A87BC2"/>
    <w:rsid w:val="00A938CF"/>
    <w:rsid w:val="00A94CE9"/>
    <w:rsid w:val="00A96E6A"/>
    <w:rsid w:val="00AA24A6"/>
    <w:rsid w:val="00AB6DA0"/>
    <w:rsid w:val="00AC0682"/>
    <w:rsid w:val="00AC5B73"/>
    <w:rsid w:val="00AD185A"/>
    <w:rsid w:val="00AE1296"/>
    <w:rsid w:val="00AE2F8A"/>
    <w:rsid w:val="00AE4662"/>
    <w:rsid w:val="00AE7026"/>
    <w:rsid w:val="00AF4E00"/>
    <w:rsid w:val="00B0225C"/>
    <w:rsid w:val="00B1414C"/>
    <w:rsid w:val="00B23313"/>
    <w:rsid w:val="00B24C22"/>
    <w:rsid w:val="00B34BA2"/>
    <w:rsid w:val="00B452C2"/>
    <w:rsid w:val="00B464A3"/>
    <w:rsid w:val="00B66001"/>
    <w:rsid w:val="00B663E1"/>
    <w:rsid w:val="00B86AE4"/>
    <w:rsid w:val="00B86C4E"/>
    <w:rsid w:val="00B86D22"/>
    <w:rsid w:val="00B900B9"/>
    <w:rsid w:val="00B939A1"/>
    <w:rsid w:val="00B969E0"/>
    <w:rsid w:val="00B97A0D"/>
    <w:rsid w:val="00BA0CB4"/>
    <w:rsid w:val="00BA4A0F"/>
    <w:rsid w:val="00BB08CF"/>
    <w:rsid w:val="00BB5B0F"/>
    <w:rsid w:val="00BB65BF"/>
    <w:rsid w:val="00BC048A"/>
    <w:rsid w:val="00BC0E22"/>
    <w:rsid w:val="00BC5CA9"/>
    <w:rsid w:val="00BE536C"/>
    <w:rsid w:val="00BF31DF"/>
    <w:rsid w:val="00BF402A"/>
    <w:rsid w:val="00BF77F4"/>
    <w:rsid w:val="00C2409C"/>
    <w:rsid w:val="00C2448F"/>
    <w:rsid w:val="00C26D75"/>
    <w:rsid w:val="00C35A9D"/>
    <w:rsid w:val="00C5058F"/>
    <w:rsid w:val="00C52F3B"/>
    <w:rsid w:val="00C57F29"/>
    <w:rsid w:val="00C65B53"/>
    <w:rsid w:val="00C74360"/>
    <w:rsid w:val="00C76905"/>
    <w:rsid w:val="00C861AE"/>
    <w:rsid w:val="00C86B53"/>
    <w:rsid w:val="00C9641C"/>
    <w:rsid w:val="00C96C14"/>
    <w:rsid w:val="00CA5444"/>
    <w:rsid w:val="00CA64CE"/>
    <w:rsid w:val="00CA7294"/>
    <w:rsid w:val="00CA7AC5"/>
    <w:rsid w:val="00CB105F"/>
    <w:rsid w:val="00CB1B46"/>
    <w:rsid w:val="00CE122F"/>
    <w:rsid w:val="00CE1AAD"/>
    <w:rsid w:val="00CE2DBF"/>
    <w:rsid w:val="00D01D62"/>
    <w:rsid w:val="00D0237D"/>
    <w:rsid w:val="00D2746B"/>
    <w:rsid w:val="00D41D66"/>
    <w:rsid w:val="00D46BA5"/>
    <w:rsid w:val="00D52F18"/>
    <w:rsid w:val="00D538CC"/>
    <w:rsid w:val="00D72F2E"/>
    <w:rsid w:val="00D77EDC"/>
    <w:rsid w:val="00D8055E"/>
    <w:rsid w:val="00D8750A"/>
    <w:rsid w:val="00D94F11"/>
    <w:rsid w:val="00DA5D16"/>
    <w:rsid w:val="00DA687E"/>
    <w:rsid w:val="00DB35CD"/>
    <w:rsid w:val="00DC145C"/>
    <w:rsid w:val="00DC70C3"/>
    <w:rsid w:val="00DD0DDE"/>
    <w:rsid w:val="00DE24E4"/>
    <w:rsid w:val="00DE6522"/>
    <w:rsid w:val="00DF117D"/>
    <w:rsid w:val="00DF3294"/>
    <w:rsid w:val="00E16939"/>
    <w:rsid w:val="00E34DAC"/>
    <w:rsid w:val="00E356A7"/>
    <w:rsid w:val="00E43082"/>
    <w:rsid w:val="00E47FD2"/>
    <w:rsid w:val="00E508C2"/>
    <w:rsid w:val="00E600A2"/>
    <w:rsid w:val="00E74A8A"/>
    <w:rsid w:val="00E76580"/>
    <w:rsid w:val="00E830E9"/>
    <w:rsid w:val="00E85813"/>
    <w:rsid w:val="00E85E0D"/>
    <w:rsid w:val="00E95BBE"/>
    <w:rsid w:val="00EB07C0"/>
    <w:rsid w:val="00EB2C3B"/>
    <w:rsid w:val="00EB4F9D"/>
    <w:rsid w:val="00EB7016"/>
    <w:rsid w:val="00ED04EF"/>
    <w:rsid w:val="00EE543B"/>
    <w:rsid w:val="00EF5F48"/>
    <w:rsid w:val="00F039A0"/>
    <w:rsid w:val="00F13926"/>
    <w:rsid w:val="00F257D9"/>
    <w:rsid w:val="00F26AF6"/>
    <w:rsid w:val="00F3472D"/>
    <w:rsid w:val="00F4000C"/>
    <w:rsid w:val="00F414D6"/>
    <w:rsid w:val="00F418D8"/>
    <w:rsid w:val="00F434F0"/>
    <w:rsid w:val="00F56B7B"/>
    <w:rsid w:val="00F67D00"/>
    <w:rsid w:val="00F71633"/>
    <w:rsid w:val="00F770A8"/>
    <w:rsid w:val="00F85005"/>
    <w:rsid w:val="00FA7DE0"/>
    <w:rsid w:val="00FC5AC5"/>
    <w:rsid w:val="00FD2784"/>
    <w:rsid w:val="00FD4E7D"/>
    <w:rsid w:val="00FF24E3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A0ED"/>
  <w15:docId w15:val="{39325CC5-642E-42CB-B459-A6A54C3A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F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1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76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6259"/>
  </w:style>
  <w:style w:type="paragraph" w:styleId="Stopka">
    <w:name w:val="footer"/>
    <w:basedOn w:val="Normalny"/>
    <w:link w:val="StopkaZnak"/>
    <w:uiPriority w:val="99"/>
    <w:unhideWhenUsed/>
    <w:rsid w:val="00476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259"/>
  </w:style>
  <w:style w:type="character" w:styleId="Pogrubienie">
    <w:name w:val="Strong"/>
    <w:basedOn w:val="Domylnaczcionkaakapitu"/>
    <w:uiPriority w:val="22"/>
    <w:qFormat/>
    <w:rsid w:val="00094506"/>
    <w:rPr>
      <w:b/>
      <w:bCs/>
    </w:rPr>
  </w:style>
  <w:style w:type="character" w:styleId="Hipercze">
    <w:name w:val="Hyperlink"/>
    <w:basedOn w:val="Domylnaczcionkaakapitu"/>
    <w:uiPriority w:val="99"/>
    <w:unhideWhenUsed/>
    <w:rsid w:val="004F6361"/>
    <w:rPr>
      <w:color w:val="0000FF"/>
      <w:u w:val="single"/>
    </w:rPr>
  </w:style>
  <w:style w:type="character" w:styleId="Uwydatnienie">
    <w:name w:val="Emphasis"/>
    <w:qFormat/>
    <w:rsid w:val="00005FAA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3E09C2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1D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4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B9E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33EFB"/>
    <w:pPr>
      <w:ind w:left="720"/>
      <w:contextualSpacing/>
    </w:pPr>
  </w:style>
  <w:style w:type="character" w:customStyle="1" w:styleId="Kolorowalistaakcent1Znak">
    <w:name w:val="Kolorowa lista — akcent 1 Znak"/>
    <w:link w:val="Kolorowalistaakcent1"/>
    <w:uiPriority w:val="99"/>
    <w:locked/>
    <w:rsid w:val="00A4163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99"/>
    <w:rsid w:val="00A4163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label">
    <w:name w:val="label"/>
    <w:basedOn w:val="Normalny"/>
    <w:rsid w:val="00736279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text">
    <w:name w:val="text"/>
    <w:basedOn w:val="Normalny"/>
    <w:rsid w:val="00736279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1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64CBC59-E15C-41EB-BDD9-7E2748AD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1972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IRE</Company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Felińska</cp:lastModifiedBy>
  <cp:revision>5</cp:revision>
  <cp:lastPrinted>2017-07-22T20:49:00Z</cp:lastPrinted>
  <dcterms:created xsi:type="dcterms:W3CDTF">2021-01-29T13:47:00Z</dcterms:created>
  <dcterms:modified xsi:type="dcterms:W3CDTF">2021-01-29T14:59:00Z</dcterms:modified>
</cp:coreProperties>
</file>