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23F8E" w14:textId="77777777" w:rsidR="009A5E62" w:rsidRPr="00641E8A" w:rsidRDefault="009A5E62" w:rsidP="00433CAD">
      <w:pPr>
        <w:widowControl w:val="0"/>
        <w:spacing w:line="276" w:lineRule="auto"/>
        <w:jc w:val="center"/>
        <w:rPr>
          <w:rFonts w:cstheme="minorHAnsi"/>
          <w:b/>
        </w:rPr>
      </w:pPr>
      <w:r w:rsidRPr="00641E8A">
        <w:rPr>
          <w:rFonts w:cstheme="minorHAnsi"/>
          <w:b/>
        </w:rPr>
        <w:t>ZAPYTANIE OFERTOWE</w:t>
      </w:r>
    </w:p>
    <w:p w14:paraId="09D35393" w14:textId="0E8BDE94" w:rsidR="00F63AF2" w:rsidRPr="00641E8A" w:rsidRDefault="00F63AF2" w:rsidP="006507A6">
      <w:pPr>
        <w:spacing w:before="120" w:after="60" w:line="276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641E8A">
        <w:rPr>
          <w:rFonts w:eastAsia="Times New Roman" w:cstheme="minorHAnsi"/>
          <w:b/>
          <w:bCs/>
          <w:kern w:val="36"/>
          <w:lang w:eastAsia="pl-PL"/>
        </w:rPr>
        <w:t>ZAPYTANIE OFERTOWE</w:t>
      </w:r>
      <w:r w:rsidR="00C82461" w:rsidRPr="00641E8A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RFP</w:t>
      </w:r>
      <w:r w:rsidR="00C82461" w:rsidRPr="00641E8A">
        <w:rPr>
          <w:rFonts w:eastAsia="Times New Roman" w:cstheme="minorHAnsi"/>
          <w:b/>
          <w:bCs/>
          <w:kern w:val="36"/>
          <w:lang w:eastAsia="pl-PL"/>
        </w:rPr>
        <w:t xml:space="preserve"> -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025619</w:t>
      </w:r>
      <w:r w:rsidR="00C82461" w:rsidRPr="00641E8A">
        <w:rPr>
          <w:rFonts w:eastAsia="Times New Roman" w:cstheme="minorHAnsi"/>
          <w:b/>
          <w:bCs/>
          <w:kern w:val="36"/>
          <w:lang w:eastAsia="pl-PL"/>
        </w:rPr>
        <w:t xml:space="preserve"> -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BADANIE NTTP W PRODUKCIE GOTOWYM</w:t>
      </w:r>
    </w:p>
    <w:p w14:paraId="6428BA9B" w14:textId="7E191000" w:rsidR="0021143E" w:rsidRPr="00641E8A" w:rsidRDefault="009A5E62" w:rsidP="00793D2B">
      <w:pPr>
        <w:spacing w:before="120" w:after="60" w:line="276" w:lineRule="auto"/>
        <w:jc w:val="both"/>
        <w:outlineLvl w:val="0"/>
        <w:rPr>
          <w:rFonts w:eastAsia="Times New Roman" w:cstheme="minorHAnsi"/>
          <w:bCs/>
          <w:kern w:val="36"/>
          <w:lang w:eastAsia="pl-PL"/>
        </w:rPr>
      </w:pPr>
      <w:r w:rsidRPr="00641E8A">
        <w:rPr>
          <w:rFonts w:eastAsia="Times New Roman" w:cstheme="minorHAnsi"/>
          <w:bCs/>
          <w:kern w:val="36"/>
          <w:lang w:eastAsia="pl-PL"/>
        </w:rPr>
        <w:t>W związku z realizacją projekt</w:t>
      </w:r>
      <w:r w:rsidR="00B9375D" w:rsidRPr="00641E8A">
        <w:rPr>
          <w:rFonts w:eastAsia="Times New Roman" w:cstheme="minorHAnsi"/>
          <w:bCs/>
          <w:kern w:val="36"/>
          <w:lang w:eastAsia="pl-PL"/>
        </w:rPr>
        <w:t>u</w:t>
      </w:r>
      <w:r w:rsidR="001D7E6D">
        <w:rPr>
          <w:rFonts w:eastAsia="Times New Roman" w:cstheme="minorHAnsi"/>
          <w:bCs/>
          <w:kern w:val="36"/>
          <w:lang w:eastAsia="pl-PL"/>
        </w:rPr>
        <w:t xml:space="preserve"> nr </w:t>
      </w:r>
      <w:r w:rsidR="001D7E6D" w:rsidRPr="001D7E6D">
        <w:rPr>
          <w:rFonts w:eastAsia="Times New Roman" w:cstheme="minorHAnsi"/>
          <w:bCs/>
          <w:kern w:val="36"/>
          <w:lang w:eastAsia="pl-PL"/>
        </w:rPr>
        <w:t>KPOD.07.07-IW.07-0267/24</w:t>
      </w:r>
      <w:r w:rsidR="001D7E6D">
        <w:rPr>
          <w:rFonts w:eastAsia="Times New Roman" w:cstheme="minorHAnsi"/>
          <w:bCs/>
          <w:kern w:val="36"/>
          <w:lang w:eastAsia="pl-PL"/>
        </w:rPr>
        <w:t xml:space="preserve"> pn.</w:t>
      </w:r>
      <w:r w:rsidR="00B9375D" w:rsidRPr="00641E8A">
        <w:rPr>
          <w:rFonts w:eastAsia="Times New Roman" w:cstheme="minorHAnsi"/>
          <w:bCs/>
          <w:kern w:val="36"/>
          <w:lang w:eastAsia="pl-PL"/>
        </w:rPr>
        <w:t xml:space="preserve"> </w:t>
      </w:r>
      <w:r w:rsidR="00183293">
        <w:rPr>
          <w:rFonts w:eastAsia="Times New Roman" w:cstheme="minorHAnsi"/>
          <w:bCs/>
          <w:kern w:val="36"/>
          <w:lang w:eastAsia="pl-PL"/>
        </w:rPr>
        <w:t>„</w:t>
      </w:r>
      <w:r w:rsidR="00B9375D" w:rsidRPr="00641E8A">
        <w:rPr>
          <w:rFonts w:eastAsia="Times New Roman" w:cstheme="minorHAnsi"/>
          <w:b/>
          <w:bCs/>
          <w:i/>
          <w:iCs/>
          <w:lang w:eastAsia="pl-PL"/>
        </w:rPr>
        <w:t>Rozwój oraz kliniczne potwierdzenie biorównoważności mono oraz combo produktów stosowanych w leczeniu cukrzycy typu 2</w:t>
      </w:r>
      <w:r w:rsidR="009D6A86" w:rsidRPr="00641E8A">
        <w:rPr>
          <w:rFonts w:eastAsia="Times New Roman" w:cstheme="minorHAnsi"/>
          <w:b/>
          <w:bCs/>
          <w:i/>
          <w:iCs/>
          <w:lang w:eastAsia="pl-PL"/>
        </w:rPr>
        <w:t xml:space="preserve">” </w:t>
      </w:r>
      <w:r w:rsidR="0021143E" w:rsidRPr="00641E8A">
        <w:rPr>
          <w:rFonts w:eastAsia="Times New Roman" w:cstheme="minorHAnsi"/>
          <w:bCs/>
          <w:kern w:val="36"/>
          <w:lang w:eastAsia="pl-PL"/>
        </w:rPr>
        <w:t xml:space="preserve">finansowanego ze środków </w:t>
      </w:r>
      <w:bookmarkStart w:id="0" w:name="_Hlk122369531"/>
      <w:r w:rsidR="0049271D">
        <w:rPr>
          <w:rFonts w:eastAsia="Times New Roman" w:cstheme="minorHAnsi"/>
          <w:bCs/>
          <w:kern w:val="36"/>
          <w:lang w:eastAsia="pl-PL"/>
        </w:rPr>
        <w:t>Krajowego Planu Odbudowy</w:t>
      </w:r>
      <w:r w:rsidR="0021143E" w:rsidRPr="00641E8A">
        <w:rPr>
          <w:rFonts w:eastAsia="Times New Roman" w:cstheme="minorHAnsi"/>
          <w:bCs/>
          <w:kern w:val="36"/>
          <w:lang w:eastAsia="pl-PL"/>
        </w:rPr>
        <w:t xml:space="preserve"> od Agencji Badań Medycznyc</w:t>
      </w:r>
      <w:bookmarkEnd w:id="0"/>
      <w:r w:rsidR="00DA0463">
        <w:rPr>
          <w:rFonts w:eastAsia="Times New Roman" w:cstheme="minorHAnsi"/>
          <w:bCs/>
          <w:kern w:val="36"/>
          <w:lang w:eastAsia="pl-PL"/>
        </w:rPr>
        <w:t>h</w:t>
      </w:r>
      <w:r w:rsidR="0021143E" w:rsidRPr="00641E8A">
        <w:rPr>
          <w:rFonts w:eastAsia="Times New Roman" w:cstheme="minorHAnsi"/>
          <w:bCs/>
          <w:kern w:val="36"/>
          <w:lang w:eastAsia="pl-PL"/>
        </w:rPr>
        <w:t>, działając na podstawie § 8 umowy</w:t>
      </w:r>
      <w:r w:rsidR="00793D2B" w:rsidRPr="00793D2B">
        <w:rPr>
          <w:rFonts w:eastAsia="Times New Roman" w:cstheme="minorHAnsi"/>
          <w:bCs/>
          <w:kern w:val="36"/>
          <w:lang w:eastAsia="pl-PL"/>
        </w:rPr>
        <w:t xml:space="preserve"> </w:t>
      </w:r>
      <w:r w:rsidR="00793D2B" w:rsidRPr="00183293">
        <w:rPr>
          <w:rFonts w:eastAsia="Times New Roman" w:cstheme="minorHAnsi"/>
          <w:kern w:val="36"/>
          <w:lang w:eastAsia="pl-PL"/>
        </w:rPr>
        <w:t>o objęcie przedsięwzięcia wsparciem</w:t>
      </w:r>
      <w:r w:rsidR="0021143E" w:rsidRPr="00641E8A">
        <w:rPr>
          <w:rFonts w:eastAsia="Times New Roman" w:cstheme="minorHAnsi"/>
          <w:bCs/>
          <w:kern w:val="36"/>
          <w:lang w:eastAsia="pl-PL"/>
        </w:rPr>
        <w:t>, Adamed Pharma S.A. zaprasza do składania ofert na wykonanie poniżej zdefiniowanego przedmiotu zamówienia.</w:t>
      </w:r>
    </w:p>
    <w:p w14:paraId="11B64EF6" w14:textId="77777777" w:rsidR="009A5E62" w:rsidRPr="00641E8A" w:rsidRDefault="009A5E62" w:rsidP="00433CAD">
      <w:pPr>
        <w:spacing w:before="240" w:after="60" w:line="276" w:lineRule="auto"/>
        <w:jc w:val="both"/>
        <w:outlineLvl w:val="0"/>
        <w:rPr>
          <w:rFonts w:eastAsia="Times New Roman" w:cstheme="minorHAnsi"/>
          <w:b/>
          <w:iCs/>
          <w:lang w:eastAsia="pl-PL"/>
        </w:rPr>
      </w:pPr>
      <w:r w:rsidRPr="00641E8A">
        <w:rPr>
          <w:rFonts w:eastAsia="Times New Roman" w:cstheme="minorHAnsi"/>
          <w:b/>
          <w:iCs/>
          <w:lang w:eastAsia="pl-PL"/>
        </w:rPr>
        <w:t>Przedmiot zapytania:</w:t>
      </w:r>
      <w:bookmarkStart w:id="1" w:name="_Hlk485048864"/>
    </w:p>
    <w:p w14:paraId="6A418A0A" w14:textId="1EAA7A0A" w:rsidR="00283498" w:rsidRPr="00641E8A" w:rsidRDefault="00283498" w:rsidP="00283498">
      <w:pPr>
        <w:spacing w:before="240" w:after="100" w:afterAutospacing="1" w:line="276" w:lineRule="auto"/>
        <w:jc w:val="both"/>
        <w:outlineLvl w:val="0"/>
        <w:rPr>
          <w:rFonts w:eastAsia="Times New Roman" w:cstheme="minorHAnsi"/>
          <w:bCs/>
          <w:iCs/>
          <w:lang w:eastAsia="pl-PL"/>
        </w:rPr>
      </w:pPr>
      <w:bookmarkStart w:id="2" w:name="_Hlk511666114"/>
      <w:bookmarkStart w:id="3" w:name="_Hlk516648020"/>
      <w:r w:rsidRPr="00641E8A">
        <w:rPr>
          <w:rFonts w:eastAsia="Times New Roman" w:cstheme="minorHAnsi"/>
          <w:bCs/>
          <w:iCs/>
          <w:lang w:eastAsia="pl-PL"/>
        </w:rPr>
        <w:t xml:space="preserve">Na zamówienie, którego realizację przewiduje się wstępnie do </w:t>
      </w:r>
      <w:r w:rsidRPr="00641E8A">
        <w:rPr>
          <w:rFonts w:eastAsia="Times New Roman" w:cstheme="minorHAnsi"/>
          <w:b/>
          <w:iCs/>
          <w:lang w:eastAsia="pl-PL"/>
        </w:rPr>
        <w:t>30.04.2026</w:t>
      </w:r>
      <w:r w:rsidRPr="00641E8A">
        <w:rPr>
          <w:rFonts w:eastAsia="Times New Roman" w:cstheme="minorHAnsi"/>
          <w:bCs/>
          <w:iCs/>
          <w:lang w:eastAsia="pl-PL"/>
        </w:rPr>
        <w:t>, składa się:</w:t>
      </w:r>
      <w:bookmarkEnd w:id="2"/>
    </w:p>
    <w:p w14:paraId="6F599039" w14:textId="77777777" w:rsidR="00283498" w:rsidRPr="00641E8A" w:rsidRDefault="00283498" w:rsidP="00283498">
      <w:pPr>
        <w:pStyle w:val="Akapitzlist"/>
        <w:numPr>
          <w:ilvl w:val="0"/>
          <w:numId w:val="24"/>
        </w:numPr>
        <w:spacing w:before="240" w:after="100" w:afterAutospacing="1" w:line="276" w:lineRule="auto"/>
        <w:jc w:val="both"/>
        <w:outlineLvl w:val="0"/>
        <w:rPr>
          <w:rFonts w:eastAsia="Times New Roman" w:cstheme="minorHAnsi"/>
          <w:bCs/>
          <w:iCs/>
          <w:lang w:eastAsia="pl-PL"/>
        </w:rPr>
      </w:pPr>
      <w:r w:rsidRPr="00641E8A">
        <w:rPr>
          <w:rFonts w:eastAsia="Times New Roman" w:cstheme="minorHAnsi"/>
          <w:bCs/>
          <w:iCs/>
          <w:lang w:eastAsia="pl-PL"/>
        </w:rPr>
        <w:t>Analiza substancji czynnej na zawartość N-Nitroso Sitagliptin Amine (NTTP)</w:t>
      </w:r>
    </w:p>
    <w:p w14:paraId="59FEDECE" w14:textId="77777777" w:rsidR="00283498" w:rsidRPr="00641E8A" w:rsidRDefault="00283498" w:rsidP="00283498">
      <w:pPr>
        <w:pStyle w:val="Akapitzlist"/>
        <w:numPr>
          <w:ilvl w:val="0"/>
          <w:numId w:val="24"/>
        </w:numPr>
        <w:spacing w:before="240" w:after="100" w:afterAutospacing="1" w:line="276" w:lineRule="auto"/>
        <w:jc w:val="both"/>
        <w:outlineLvl w:val="0"/>
        <w:rPr>
          <w:rFonts w:eastAsia="Times New Roman" w:cstheme="minorHAnsi"/>
          <w:bCs/>
          <w:iCs/>
          <w:lang w:eastAsia="pl-PL"/>
        </w:rPr>
      </w:pPr>
      <w:r w:rsidRPr="00641E8A">
        <w:rPr>
          <w:rFonts w:eastAsia="Times New Roman" w:cstheme="minorHAnsi"/>
          <w:bCs/>
          <w:iCs/>
          <w:lang w:eastAsia="pl-PL"/>
        </w:rPr>
        <w:t>Analiza wyrobu gotowego (granulat, tabletki) na zawartość N-Nitroso Sitagliptin Amine (NTTP)</w:t>
      </w:r>
    </w:p>
    <w:p w14:paraId="21B667AB" w14:textId="77777777" w:rsidR="00283498" w:rsidRPr="00641E8A" w:rsidRDefault="00283498" w:rsidP="00283498">
      <w:pPr>
        <w:pStyle w:val="Akapitzlist"/>
        <w:numPr>
          <w:ilvl w:val="0"/>
          <w:numId w:val="24"/>
        </w:numPr>
        <w:spacing w:before="240" w:after="100" w:afterAutospacing="1" w:line="276" w:lineRule="auto"/>
        <w:jc w:val="both"/>
        <w:outlineLvl w:val="0"/>
        <w:rPr>
          <w:rFonts w:eastAsia="Times New Roman" w:cstheme="minorHAnsi"/>
          <w:bCs/>
          <w:iCs/>
          <w:lang w:eastAsia="pl-PL"/>
        </w:rPr>
      </w:pPr>
      <w:r w:rsidRPr="00641E8A">
        <w:rPr>
          <w:rFonts w:eastAsia="Times New Roman" w:cstheme="minorHAnsi"/>
          <w:bCs/>
          <w:iCs/>
          <w:lang w:eastAsia="pl-PL"/>
        </w:rPr>
        <w:t>Wystawienie CoA dla analizowanych prób w języku angielskim</w:t>
      </w:r>
    </w:p>
    <w:p w14:paraId="6DB3D4FF" w14:textId="77777777" w:rsidR="00283498" w:rsidRPr="00641E8A" w:rsidRDefault="00283498" w:rsidP="00283498">
      <w:pPr>
        <w:pStyle w:val="Akapitzlist"/>
        <w:numPr>
          <w:ilvl w:val="0"/>
          <w:numId w:val="24"/>
        </w:numPr>
        <w:spacing w:before="240" w:after="100" w:afterAutospacing="1" w:line="276" w:lineRule="auto"/>
        <w:jc w:val="both"/>
        <w:outlineLvl w:val="0"/>
        <w:rPr>
          <w:rFonts w:eastAsia="Times New Roman" w:cstheme="minorHAnsi"/>
          <w:bCs/>
          <w:iCs/>
          <w:lang w:eastAsia="pl-PL"/>
        </w:rPr>
      </w:pPr>
      <w:r w:rsidRPr="00641E8A">
        <w:rPr>
          <w:rFonts w:eastAsia="Times New Roman" w:cstheme="minorHAnsi"/>
          <w:bCs/>
          <w:iCs/>
          <w:lang w:eastAsia="pl-PL"/>
        </w:rPr>
        <w:t>Transfer metody analitycznej służącej do oceny zawartości NTTP w substancji czynnej do Działu Rozwoju Technicznego Adamed Pharma S.A. Pabianice</w:t>
      </w:r>
    </w:p>
    <w:p w14:paraId="26FF3E96" w14:textId="77777777" w:rsidR="00283498" w:rsidRPr="00641E8A" w:rsidDel="00641EAF" w:rsidRDefault="00283498" w:rsidP="00283498">
      <w:pPr>
        <w:pStyle w:val="Akapitzlist"/>
        <w:numPr>
          <w:ilvl w:val="0"/>
          <w:numId w:val="24"/>
        </w:numPr>
        <w:spacing w:before="240" w:after="100" w:afterAutospacing="1" w:line="276" w:lineRule="auto"/>
        <w:jc w:val="both"/>
        <w:outlineLvl w:val="0"/>
        <w:rPr>
          <w:rFonts w:eastAsia="Times New Roman" w:cstheme="minorHAnsi"/>
          <w:bCs/>
          <w:iCs/>
          <w:lang w:eastAsia="pl-PL"/>
        </w:rPr>
      </w:pPr>
      <w:r w:rsidRPr="00641E8A">
        <w:rPr>
          <w:rFonts w:eastAsia="Times New Roman" w:cstheme="minorHAnsi"/>
          <w:bCs/>
          <w:iCs/>
          <w:lang w:eastAsia="pl-PL"/>
        </w:rPr>
        <w:t>Transfer metody analitycznej służącej do oceny zawartości NTTP w wyrobie gotowym do Działu Rozwoju Technicznego Adamed Pharma S.A. Pabianice</w:t>
      </w:r>
    </w:p>
    <w:p w14:paraId="19FFE26D" w14:textId="10D87855" w:rsidR="009A5E62" w:rsidRPr="00183293" w:rsidRDefault="00117249" w:rsidP="00432BE8">
      <w:pPr>
        <w:pStyle w:val="Akapitzlist"/>
        <w:spacing w:after="60" w:line="276" w:lineRule="auto"/>
        <w:jc w:val="both"/>
        <w:rPr>
          <w:rFonts w:eastAsia="Times New Roman" w:cstheme="minorHAnsi"/>
          <w:kern w:val="36"/>
          <w:lang w:eastAsia="pl-PL"/>
        </w:rPr>
      </w:pPr>
      <w:r w:rsidRPr="00183293">
        <w:rPr>
          <w:rFonts w:eastAsia="Times New Roman" w:cstheme="minorHAnsi"/>
          <w:kern w:val="36"/>
          <w:lang w:eastAsia="pl-PL"/>
        </w:rPr>
        <w:t>S</w:t>
      </w:r>
      <w:r w:rsidR="0041722F" w:rsidRPr="00183293">
        <w:rPr>
          <w:rFonts w:eastAsia="Times New Roman" w:cstheme="minorHAnsi"/>
          <w:kern w:val="36"/>
          <w:lang w:eastAsia="pl-PL"/>
        </w:rPr>
        <w:t>zczegółow</w:t>
      </w:r>
      <w:r w:rsidRPr="00183293">
        <w:rPr>
          <w:rFonts w:eastAsia="Times New Roman" w:cstheme="minorHAnsi"/>
          <w:kern w:val="36"/>
          <w:lang w:eastAsia="pl-PL"/>
        </w:rPr>
        <w:t xml:space="preserve">a lista </w:t>
      </w:r>
      <w:r w:rsidR="0064398A" w:rsidRPr="00183293">
        <w:rPr>
          <w:rFonts w:eastAsia="Times New Roman" w:cstheme="minorHAnsi"/>
          <w:kern w:val="36"/>
          <w:lang w:eastAsia="pl-PL"/>
        </w:rPr>
        <w:t>aktywności</w:t>
      </w:r>
      <w:r w:rsidRPr="00183293">
        <w:rPr>
          <w:rFonts w:eastAsia="Times New Roman" w:cstheme="minorHAnsi"/>
          <w:kern w:val="36"/>
          <w:lang w:eastAsia="pl-PL"/>
        </w:rPr>
        <w:t xml:space="preserve"> została</w:t>
      </w:r>
      <w:r w:rsidR="0041722F" w:rsidRPr="00183293">
        <w:rPr>
          <w:rFonts w:eastAsia="Times New Roman" w:cstheme="minorHAnsi"/>
          <w:kern w:val="36"/>
          <w:lang w:eastAsia="pl-PL"/>
        </w:rPr>
        <w:t xml:space="preserve"> przedstawion</w:t>
      </w:r>
      <w:r w:rsidRPr="00183293">
        <w:rPr>
          <w:rFonts w:eastAsia="Times New Roman" w:cstheme="minorHAnsi"/>
          <w:kern w:val="36"/>
          <w:lang w:eastAsia="pl-PL"/>
        </w:rPr>
        <w:t>a</w:t>
      </w:r>
      <w:r w:rsidR="0041722F" w:rsidRPr="00183293">
        <w:rPr>
          <w:rFonts w:eastAsia="Times New Roman" w:cstheme="minorHAnsi"/>
          <w:kern w:val="36"/>
          <w:lang w:eastAsia="pl-PL"/>
        </w:rPr>
        <w:t xml:space="preserve"> w </w:t>
      </w:r>
      <w:r w:rsidR="00A826B4" w:rsidRPr="00183293">
        <w:rPr>
          <w:rFonts w:eastAsia="Times New Roman" w:cstheme="minorHAnsi"/>
          <w:b/>
          <w:bCs/>
          <w:i/>
          <w:iCs/>
          <w:kern w:val="36"/>
          <w:u w:val="single"/>
          <w:lang w:eastAsia="pl-PL"/>
        </w:rPr>
        <w:t>Załączniku nr 3</w:t>
      </w:r>
      <w:r w:rsidR="002C180B" w:rsidRPr="00183293">
        <w:rPr>
          <w:rFonts w:eastAsia="Times New Roman" w:cstheme="minorHAnsi"/>
          <w:kern w:val="36"/>
          <w:lang w:eastAsia="pl-PL"/>
        </w:rPr>
        <w:t>.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 Prosimy o podanie ceny </w:t>
      </w:r>
      <w:r w:rsidR="00A01C64" w:rsidRPr="00183293">
        <w:rPr>
          <w:rFonts w:eastAsia="Times New Roman" w:cstheme="minorHAnsi"/>
          <w:kern w:val="36"/>
          <w:lang w:eastAsia="pl-PL"/>
        </w:rPr>
        <w:t xml:space="preserve">jednostkowej 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netto </w:t>
      </w:r>
      <w:r w:rsidR="00AD330D" w:rsidRPr="00183293">
        <w:rPr>
          <w:rFonts w:eastAsia="Times New Roman" w:cstheme="minorHAnsi"/>
          <w:kern w:val="36"/>
          <w:lang w:eastAsia="pl-PL"/>
        </w:rPr>
        <w:t>za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 </w:t>
      </w:r>
      <w:r w:rsidR="0064398A" w:rsidRPr="00183293">
        <w:rPr>
          <w:rFonts w:eastAsia="Times New Roman" w:cstheme="minorHAnsi"/>
          <w:kern w:val="36"/>
          <w:lang w:eastAsia="pl-PL"/>
        </w:rPr>
        <w:t>analizę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. </w:t>
      </w:r>
      <w:r w:rsidR="00AD330D" w:rsidRPr="00183293">
        <w:rPr>
          <w:rFonts w:eastAsia="Times New Roman" w:cstheme="minorHAnsi"/>
          <w:kern w:val="36"/>
          <w:lang w:eastAsia="pl-PL"/>
        </w:rPr>
        <w:t>Kwota jednostkowa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 zostanie użyta do porównania ofert, a następnie do określenia końcowego wynagrodzenia za </w:t>
      </w:r>
      <w:r w:rsidR="00AD330D" w:rsidRPr="00183293">
        <w:rPr>
          <w:rFonts w:eastAsia="Times New Roman" w:cstheme="minorHAnsi"/>
          <w:kern w:val="36"/>
          <w:lang w:eastAsia="pl-PL"/>
        </w:rPr>
        <w:t>usługę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. Wynagrodzenie zostanie obliczone na podstawie zadeklarowanej ceny </w:t>
      </w:r>
      <w:r w:rsidR="00284155" w:rsidRPr="00183293">
        <w:rPr>
          <w:rFonts w:eastAsia="Times New Roman" w:cstheme="minorHAnsi"/>
          <w:kern w:val="36"/>
          <w:lang w:eastAsia="pl-PL"/>
        </w:rPr>
        <w:t>jednostkowej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 i pomnożone o ilość </w:t>
      </w:r>
      <w:r w:rsidR="00A01C64" w:rsidRPr="00183293">
        <w:rPr>
          <w:rFonts w:eastAsia="Times New Roman" w:cstheme="minorHAnsi"/>
          <w:kern w:val="36"/>
          <w:lang w:eastAsia="pl-PL"/>
        </w:rPr>
        <w:t>analiz</w:t>
      </w:r>
      <w:r w:rsidR="00714C2A" w:rsidRPr="00183293">
        <w:rPr>
          <w:rFonts w:eastAsia="Times New Roman" w:cstheme="minorHAnsi"/>
          <w:kern w:val="36"/>
          <w:lang w:eastAsia="pl-PL"/>
        </w:rPr>
        <w:t xml:space="preserve"> do wykonania. </w:t>
      </w:r>
    </w:p>
    <w:p w14:paraId="75A85A15" w14:textId="77777777" w:rsidR="00432BE8" w:rsidRPr="00641E8A" w:rsidRDefault="00432BE8" w:rsidP="00432BE8">
      <w:pPr>
        <w:pStyle w:val="Akapitzlist"/>
        <w:spacing w:after="60" w:line="276" w:lineRule="auto"/>
        <w:jc w:val="both"/>
        <w:rPr>
          <w:rFonts w:eastAsia="Times New Roman" w:cstheme="minorHAnsi"/>
          <w:b/>
          <w:bCs/>
          <w:highlight w:val="yellow"/>
          <w:lang w:eastAsia="pl-PL"/>
        </w:rPr>
      </w:pPr>
    </w:p>
    <w:p w14:paraId="2A4C38A6" w14:textId="512A62E6" w:rsidR="00D469BE" w:rsidRPr="00183293" w:rsidRDefault="009A5E62" w:rsidP="00C512AB">
      <w:pPr>
        <w:pStyle w:val="Akapitzlist"/>
        <w:spacing w:before="60" w:after="60" w:line="276" w:lineRule="auto"/>
        <w:ind w:left="709"/>
        <w:jc w:val="both"/>
        <w:rPr>
          <w:rFonts w:eastAsia="Times New Roman" w:cstheme="minorHAnsi"/>
          <w:kern w:val="36"/>
          <w:lang w:eastAsia="pl-PL"/>
        </w:rPr>
      </w:pPr>
      <w:r w:rsidRPr="00183293">
        <w:rPr>
          <w:rFonts w:eastAsia="Times New Roman" w:cstheme="minorHAnsi"/>
          <w:kern w:val="36"/>
          <w:lang w:eastAsia="pl-PL"/>
        </w:rPr>
        <w:t xml:space="preserve">Miejsce dostarczenia </w:t>
      </w:r>
      <w:r w:rsidR="00A25238" w:rsidRPr="00183293">
        <w:rPr>
          <w:rFonts w:eastAsia="Times New Roman" w:cstheme="minorHAnsi"/>
          <w:kern w:val="36"/>
          <w:lang w:eastAsia="pl-PL"/>
        </w:rPr>
        <w:t>r</w:t>
      </w:r>
      <w:r w:rsidR="7F5DA134" w:rsidRPr="00183293">
        <w:rPr>
          <w:rFonts w:eastAsia="Times New Roman" w:cstheme="minorHAnsi"/>
          <w:kern w:val="36"/>
          <w:lang w:eastAsia="pl-PL"/>
        </w:rPr>
        <w:t>a</w:t>
      </w:r>
      <w:r w:rsidR="00A25238" w:rsidRPr="00183293">
        <w:rPr>
          <w:rFonts w:eastAsia="Times New Roman" w:cstheme="minorHAnsi"/>
          <w:kern w:val="36"/>
          <w:lang w:eastAsia="pl-PL"/>
        </w:rPr>
        <w:t>portów</w:t>
      </w:r>
      <w:r w:rsidR="00577713" w:rsidRPr="00183293">
        <w:rPr>
          <w:rFonts w:eastAsia="Times New Roman" w:cstheme="minorHAnsi"/>
          <w:kern w:val="36"/>
          <w:lang w:eastAsia="pl-PL"/>
        </w:rPr>
        <w:t xml:space="preserve">: </w:t>
      </w:r>
      <w:r w:rsidR="00DA0463" w:rsidRPr="00183293">
        <w:rPr>
          <w:rFonts w:eastAsia="Times New Roman" w:cstheme="minorHAnsi"/>
          <w:kern w:val="36"/>
          <w:lang w:eastAsia="pl-PL"/>
        </w:rPr>
        <w:t>Adamed Pharma S.A. Pabianice, Dział Analityki</w:t>
      </w:r>
      <w:r w:rsidR="003D7C26" w:rsidRPr="00183293">
        <w:rPr>
          <w:rFonts w:eastAsia="Times New Roman" w:cstheme="minorHAnsi"/>
          <w:kern w:val="36"/>
          <w:lang w:eastAsia="pl-PL"/>
        </w:rPr>
        <w:t>.</w:t>
      </w:r>
    </w:p>
    <w:p w14:paraId="7EB337D9" w14:textId="77777777" w:rsidR="00C512AB" w:rsidRPr="00641E8A" w:rsidRDefault="00C512AB" w:rsidP="00C512AB">
      <w:pPr>
        <w:pStyle w:val="Akapitzlist"/>
        <w:spacing w:before="60" w:after="60" w:line="276" w:lineRule="auto"/>
        <w:ind w:left="709"/>
        <w:jc w:val="both"/>
        <w:rPr>
          <w:rFonts w:eastAsia="Times New Roman" w:cstheme="minorHAnsi"/>
          <w:highlight w:val="yellow"/>
          <w:lang w:eastAsia="pl-PL"/>
        </w:rPr>
      </w:pPr>
    </w:p>
    <w:p w14:paraId="2B8DEAD0" w14:textId="0B8D994D" w:rsidR="009A5E62" w:rsidRPr="00641E8A" w:rsidRDefault="009A5E62" w:rsidP="5ACB8F7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723"/>
        <w:jc w:val="both"/>
        <w:textAlignment w:val="baseline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Zamawiający w wyniku rozstrzygnięcia przedmiotu postępowania zawrze umowę z wybranym Dostawc</w:t>
      </w:r>
      <w:r w:rsidR="004832F1" w:rsidRPr="00641E8A">
        <w:rPr>
          <w:rFonts w:eastAsia="Times New Roman" w:cstheme="minorHAnsi"/>
          <w:lang w:eastAsia="pl-PL"/>
        </w:rPr>
        <w:t>ą</w:t>
      </w:r>
      <w:r w:rsidRPr="00641E8A">
        <w:rPr>
          <w:rFonts w:eastAsia="Times New Roman" w:cstheme="minorHAnsi"/>
          <w:lang w:eastAsia="pl-PL"/>
        </w:rPr>
        <w:t xml:space="preserve">. Celem postępowania jest ustalenie warunków dotyczących zamówień, jakie mogą być realizowane przez Zamawiającego w okresie obowiązywania umowy, w szczególności cen, </w:t>
      </w:r>
      <w:r w:rsidR="000A5292" w:rsidRPr="00641E8A">
        <w:rPr>
          <w:rFonts w:eastAsia="Times New Roman" w:cstheme="minorHAnsi"/>
          <w:lang w:eastAsia="pl-PL"/>
        </w:rPr>
        <w:t xml:space="preserve">terminu wykonywanych analiz </w:t>
      </w:r>
      <w:r w:rsidRPr="00641E8A">
        <w:rPr>
          <w:rFonts w:eastAsia="Times New Roman" w:cstheme="minorHAnsi"/>
          <w:lang w:eastAsia="pl-PL"/>
        </w:rPr>
        <w:t xml:space="preserve">oraz </w:t>
      </w:r>
      <w:r w:rsidR="001F2963" w:rsidRPr="00641E8A">
        <w:rPr>
          <w:rFonts w:eastAsia="Times New Roman" w:cstheme="minorHAnsi"/>
          <w:lang w:eastAsia="pl-PL"/>
        </w:rPr>
        <w:t xml:space="preserve">ich </w:t>
      </w:r>
      <w:r w:rsidRPr="00641E8A">
        <w:rPr>
          <w:rFonts w:eastAsia="Times New Roman" w:cstheme="minorHAnsi"/>
          <w:lang w:eastAsia="pl-PL"/>
        </w:rPr>
        <w:t>zakresu. Na podstawie umowy Zamawiający nie zobowiązuje się do z</w:t>
      </w:r>
      <w:r w:rsidR="001F2963" w:rsidRPr="00641E8A">
        <w:rPr>
          <w:rFonts w:eastAsia="Times New Roman" w:cstheme="minorHAnsi"/>
          <w:lang w:eastAsia="pl-PL"/>
        </w:rPr>
        <w:t>lecenia</w:t>
      </w:r>
      <w:r w:rsidRPr="00641E8A">
        <w:rPr>
          <w:rFonts w:eastAsia="Times New Roman" w:cstheme="minorHAnsi"/>
          <w:lang w:eastAsia="pl-PL"/>
        </w:rPr>
        <w:t xml:space="preserve"> określonej liczby </w:t>
      </w:r>
      <w:r w:rsidR="001F2963" w:rsidRPr="00641E8A">
        <w:rPr>
          <w:rFonts w:eastAsia="Times New Roman" w:cstheme="minorHAnsi"/>
          <w:lang w:eastAsia="pl-PL"/>
        </w:rPr>
        <w:t>analiz</w:t>
      </w:r>
      <w:r w:rsidRPr="00641E8A">
        <w:rPr>
          <w:rFonts w:eastAsia="Times New Roman" w:cstheme="minorHAnsi"/>
          <w:lang w:eastAsia="pl-PL"/>
        </w:rPr>
        <w:t xml:space="preserve"> </w:t>
      </w:r>
      <w:r w:rsidR="00D270B0" w:rsidRPr="00641E8A">
        <w:rPr>
          <w:rFonts w:eastAsia="Times New Roman" w:cstheme="minorHAnsi"/>
          <w:lang w:eastAsia="pl-PL"/>
        </w:rPr>
        <w:t xml:space="preserve">do </w:t>
      </w:r>
      <w:r w:rsidRPr="00641E8A">
        <w:rPr>
          <w:rFonts w:eastAsia="Times New Roman" w:cstheme="minorHAnsi"/>
          <w:lang w:eastAsia="pl-PL"/>
        </w:rPr>
        <w:t xml:space="preserve">wybranego </w:t>
      </w:r>
      <w:r w:rsidR="001F2963" w:rsidRPr="00641E8A">
        <w:rPr>
          <w:rFonts w:eastAsia="Times New Roman" w:cstheme="minorHAnsi"/>
          <w:lang w:eastAsia="pl-PL"/>
        </w:rPr>
        <w:t>Laboratorium</w:t>
      </w:r>
      <w:r w:rsidRPr="00641E8A">
        <w:rPr>
          <w:rFonts w:eastAsia="Times New Roman" w:cstheme="minorHAnsi"/>
          <w:lang w:eastAsia="pl-PL"/>
        </w:rPr>
        <w:t xml:space="preserve">. Zamawiający </w:t>
      </w:r>
      <w:r w:rsidR="00EF0299" w:rsidRPr="00641E8A">
        <w:rPr>
          <w:rFonts w:eastAsia="Times New Roman" w:cstheme="minorHAnsi"/>
          <w:lang w:eastAsia="pl-PL"/>
        </w:rPr>
        <w:t>zleci wykonanie usługi</w:t>
      </w:r>
      <w:r w:rsidRPr="00641E8A">
        <w:rPr>
          <w:rFonts w:eastAsia="Times New Roman" w:cstheme="minorHAnsi"/>
          <w:lang w:eastAsia="pl-PL"/>
        </w:rPr>
        <w:t xml:space="preserve"> </w:t>
      </w:r>
      <w:r w:rsidR="000A0CE4" w:rsidRPr="00641E8A">
        <w:rPr>
          <w:rFonts w:eastAsia="Times New Roman" w:cstheme="minorHAnsi"/>
          <w:lang w:eastAsia="pl-PL"/>
        </w:rPr>
        <w:t>do</w:t>
      </w:r>
      <w:r w:rsidRPr="00641E8A">
        <w:rPr>
          <w:rFonts w:eastAsia="Times New Roman" w:cstheme="minorHAnsi"/>
          <w:lang w:eastAsia="pl-PL"/>
        </w:rPr>
        <w:t xml:space="preserve"> wybranego </w:t>
      </w:r>
      <w:r w:rsidR="00EC3750" w:rsidRPr="00641E8A">
        <w:rPr>
          <w:rFonts w:eastAsia="Times New Roman" w:cstheme="minorHAnsi"/>
          <w:lang w:eastAsia="pl-PL"/>
        </w:rPr>
        <w:t>Laboratorium</w:t>
      </w:r>
      <w:r w:rsidRPr="00641E8A">
        <w:rPr>
          <w:rFonts w:eastAsia="Times New Roman" w:cstheme="minorHAnsi"/>
          <w:lang w:eastAsia="pl-PL"/>
        </w:rPr>
        <w:t xml:space="preserve"> </w:t>
      </w:r>
      <w:r w:rsidR="00103A8F" w:rsidRPr="00641E8A">
        <w:rPr>
          <w:rFonts w:eastAsia="Times New Roman" w:cstheme="minorHAnsi"/>
          <w:lang w:eastAsia="pl-PL"/>
        </w:rPr>
        <w:t xml:space="preserve">na podstawie bieżących zamówień </w:t>
      </w:r>
      <w:r w:rsidRPr="00641E8A">
        <w:rPr>
          <w:rFonts w:eastAsia="Times New Roman" w:cstheme="minorHAnsi"/>
          <w:lang w:eastAsia="pl-PL"/>
        </w:rPr>
        <w:t xml:space="preserve">jedynie w sytuacji, gdy w okresie obowiązywania umowy powstanie u Zamawiającego potrzeba ich </w:t>
      </w:r>
      <w:r w:rsidR="00E07ADA" w:rsidRPr="00641E8A">
        <w:rPr>
          <w:rFonts w:eastAsia="Times New Roman" w:cstheme="minorHAnsi"/>
          <w:lang w:eastAsia="pl-PL"/>
        </w:rPr>
        <w:t>realizacji</w:t>
      </w:r>
      <w:r w:rsidR="00324112" w:rsidRPr="00641E8A">
        <w:rPr>
          <w:rFonts w:eastAsia="Times New Roman" w:cstheme="minorHAnsi"/>
          <w:lang w:eastAsia="pl-PL"/>
        </w:rPr>
        <w:t>.</w:t>
      </w:r>
    </w:p>
    <w:p w14:paraId="0C4F0B90" w14:textId="6D7567BA" w:rsidR="009F744C" w:rsidRPr="00183293" w:rsidRDefault="009A5E62" w:rsidP="00183293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723"/>
        <w:jc w:val="both"/>
        <w:textAlignment w:val="baseline"/>
        <w:rPr>
          <w:rFonts w:cstheme="minorHAnsi"/>
        </w:rPr>
      </w:pPr>
      <w:r w:rsidRPr="00641E8A">
        <w:rPr>
          <w:rFonts w:eastAsia="Times New Roman" w:cstheme="minorHAnsi"/>
          <w:lang w:eastAsia="pl-PL"/>
        </w:rPr>
        <w:t>Możliwe jest składanie uzupełniających zamówień wybranemu Oferentowi wyłącznie, jeśli są one zgodne z głównym celem niniejszej umowy, o wartości nie przekraczającej 50% wartości niniejszego zamówienia. </w:t>
      </w:r>
    </w:p>
    <w:p w14:paraId="64BB1E8C" w14:textId="7389E625" w:rsidR="009A5E62" w:rsidRPr="00641E8A" w:rsidRDefault="009A5E62" w:rsidP="00433CAD">
      <w:pPr>
        <w:widowControl w:val="0"/>
        <w:spacing w:after="60" w:line="276" w:lineRule="auto"/>
        <w:rPr>
          <w:rFonts w:cstheme="minorHAnsi"/>
          <w:b/>
          <w:iCs/>
        </w:rPr>
      </w:pPr>
      <w:r w:rsidRPr="00641E8A">
        <w:rPr>
          <w:rFonts w:cstheme="minorHAnsi"/>
          <w:b/>
          <w:iCs/>
        </w:rPr>
        <w:t>Warunki udziału w postępowaniu:</w:t>
      </w:r>
    </w:p>
    <w:p w14:paraId="798FC975" w14:textId="77777777" w:rsidR="009A5E62" w:rsidRPr="00641E8A" w:rsidRDefault="009A5E62" w:rsidP="00433CAD">
      <w:pPr>
        <w:pStyle w:val="Akapitzlist"/>
        <w:widowControl w:val="0"/>
        <w:numPr>
          <w:ilvl w:val="0"/>
          <w:numId w:val="1"/>
        </w:numPr>
        <w:spacing w:line="276" w:lineRule="auto"/>
        <w:ind w:left="788" w:hanging="425"/>
        <w:jc w:val="both"/>
        <w:rPr>
          <w:rFonts w:cstheme="minorHAnsi"/>
        </w:rPr>
      </w:pPr>
      <w:r w:rsidRPr="00641E8A">
        <w:rPr>
          <w:rFonts w:cstheme="minorHAnsi"/>
        </w:rPr>
        <w:t xml:space="preserve">Zamówienie nie może być udzielone podmiotom powiązanym z Zamawiającym osobowo lub kapitałowo. Przez powiązania kapitałowe lub osobowe rozumie się wzajemne powiązania </w:t>
      </w:r>
      <w:r w:rsidRPr="00641E8A">
        <w:rPr>
          <w:rFonts w:cstheme="minorHAnsi"/>
        </w:rPr>
        <w:lastRenderedPageBreak/>
        <w:t xml:space="preserve">między Zamawiającym a Dostawcą lub osobami upoważnionymi do zaciągania zobowiązań w imieniu Zamawiającego lub osobami wykonującymi w imieniu Zamawiającego czynności związane z przygotowaniem i przeprowadzeniem procedury wyboru Dostawcy, polegające w szczególności na: </w:t>
      </w:r>
    </w:p>
    <w:p w14:paraId="1C307D39" w14:textId="77777777" w:rsidR="009A5E62" w:rsidRPr="00641E8A" w:rsidRDefault="009A5E62" w:rsidP="00433CAD">
      <w:pPr>
        <w:pStyle w:val="Akapitzlist"/>
        <w:widowControl w:val="0"/>
        <w:numPr>
          <w:ilvl w:val="0"/>
          <w:numId w:val="2"/>
        </w:numPr>
        <w:spacing w:line="276" w:lineRule="auto"/>
        <w:ind w:left="1440"/>
        <w:jc w:val="both"/>
        <w:rPr>
          <w:rFonts w:cstheme="minorHAnsi"/>
        </w:rPr>
      </w:pPr>
      <w:r w:rsidRPr="00641E8A">
        <w:rPr>
          <w:rFonts w:cstheme="minorHAnsi"/>
        </w:rPr>
        <w:t xml:space="preserve">uczestniczeniu w spółce jako wspólnik spółki cywilnej lub spółki osobowej, </w:t>
      </w:r>
    </w:p>
    <w:p w14:paraId="0B40C6F5" w14:textId="77777777" w:rsidR="009A5E62" w:rsidRPr="00641E8A" w:rsidRDefault="009A5E62" w:rsidP="00433CAD">
      <w:pPr>
        <w:pStyle w:val="Akapitzlist"/>
        <w:widowControl w:val="0"/>
        <w:numPr>
          <w:ilvl w:val="0"/>
          <w:numId w:val="2"/>
        </w:numPr>
        <w:spacing w:line="276" w:lineRule="auto"/>
        <w:ind w:left="1440" w:hanging="357"/>
        <w:jc w:val="both"/>
        <w:rPr>
          <w:rFonts w:cstheme="minorHAnsi"/>
        </w:rPr>
      </w:pPr>
      <w:r w:rsidRPr="00641E8A">
        <w:rPr>
          <w:rFonts w:cstheme="minorHAnsi"/>
        </w:rPr>
        <w:t>posiadaniu co najmniej 10% udziałów lub akcji,</w:t>
      </w:r>
    </w:p>
    <w:p w14:paraId="4F1D50E9" w14:textId="77777777" w:rsidR="009A5E62" w:rsidRPr="00641E8A" w:rsidRDefault="009A5E62" w:rsidP="00433CAD">
      <w:pPr>
        <w:pStyle w:val="Akapitzlist"/>
        <w:widowControl w:val="0"/>
        <w:numPr>
          <w:ilvl w:val="0"/>
          <w:numId w:val="2"/>
        </w:numPr>
        <w:spacing w:line="276" w:lineRule="auto"/>
        <w:ind w:left="1440" w:hanging="357"/>
        <w:jc w:val="both"/>
        <w:rPr>
          <w:rFonts w:cstheme="minorHAnsi"/>
        </w:rPr>
      </w:pPr>
      <w:r w:rsidRPr="00641E8A">
        <w:rPr>
          <w:rFonts w:cstheme="minorHAnsi"/>
        </w:rPr>
        <w:t xml:space="preserve">pełnieniu funkcji członka organu nadzorczego lub zarządzającego, prokurenta, pełnomocnika, </w:t>
      </w:r>
    </w:p>
    <w:p w14:paraId="31801127" w14:textId="77777777" w:rsidR="00693EA0" w:rsidRPr="00641E8A" w:rsidRDefault="009A5E62" w:rsidP="00433CAD">
      <w:pPr>
        <w:pStyle w:val="Akapitzlist"/>
        <w:widowControl w:val="0"/>
        <w:numPr>
          <w:ilvl w:val="0"/>
          <w:numId w:val="2"/>
        </w:numPr>
        <w:spacing w:after="60" w:line="276" w:lineRule="auto"/>
        <w:ind w:left="1440" w:hanging="357"/>
        <w:contextualSpacing w:val="0"/>
        <w:jc w:val="both"/>
        <w:rPr>
          <w:rFonts w:cstheme="minorHAnsi"/>
        </w:rPr>
      </w:pPr>
      <w:r w:rsidRPr="00641E8A">
        <w:rPr>
          <w:rFonts w:cstheme="minorHAnsi"/>
        </w:rPr>
        <w:t>pozostawaniu w związku małżeńskim, w stosunku pokrewieństwa lub powinowactwa w linii prostej, pokrewieństwa drugiego stopnia lub powinowactwa drugiego stopnia w linii bocznej lub w stosunku przysposobienia, opieki lub kurateli</w:t>
      </w:r>
      <w:r w:rsidR="00A86BC5" w:rsidRPr="00641E8A">
        <w:rPr>
          <w:rFonts w:cstheme="minorHAnsi"/>
        </w:rPr>
        <w:t>,</w:t>
      </w:r>
    </w:p>
    <w:p w14:paraId="5A5BF67C" w14:textId="5EB3C456" w:rsidR="00A86BC5" w:rsidRPr="00641E8A" w:rsidRDefault="00693EA0" w:rsidP="00433CAD">
      <w:pPr>
        <w:pStyle w:val="Akapitzlist"/>
        <w:widowControl w:val="0"/>
        <w:numPr>
          <w:ilvl w:val="0"/>
          <w:numId w:val="2"/>
        </w:numPr>
        <w:spacing w:after="60" w:line="276" w:lineRule="auto"/>
        <w:ind w:left="1440" w:hanging="357"/>
        <w:contextualSpacing w:val="0"/>
        <w:jc w:val="both"/>
        <w:rPr>
          <w:rFonts w:cstheme="minorHAnsi"/>
        </w:rPr>
      </w:pPr>
      <w:r w:rsidRPr="00641E8A">
        <w:rPr>
          <w:rFonts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72F0D7F" w14:textId="77777777" w:rsidR="009A5E62" w:rsidRPr="00641E8A" w:rsidRDefault="009A5E62" w:rsidP="00433CAD">
      <w:pPr>
        <w:widowControl w:val="0"/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W celu spełnienia tego warunku Dostawca zobowiązany jest do przesłania wraz z ofertą podpisanego oświadczenia o braku powiązań (</w:t>
      </w:r>
      <w:r w:rsidRPr="00641E8A">
        <w:rPr>
          <w:rFonts w:cstheme="minorHAnsi"/>
          <w:b/>
          <w:bCs/>
          <w:i/>
          <w:iCs/>
          <w:u w:val="single"/>
        </w:rPr>
        <w:t>Załącznik nr 1</w:t>
      </w:r>
      <w:r w:rsidRPr="00641E8A">
        <w:rPr>
          <w:rFonts w:cstheme="minorHAnsi"/>
        </w:rPr>
        <w:t xml:space="preserve"> do niniejszego zapytania ofertowego).</w:t>
      </w:r>
    </w:p>
    <w:p w14:paraId="33256986" w14:textId="77777777" w:rsidR="009A5E62" w:rsidRPr="00641E8A" w:rsidRDefault="009A5E62" w:rsidP="00433CAD">
      <w:pPr>
        <w:widowControl w:val="0"/>
        <w:spacing w:after="0" w:line="276" w:lineRule="auto"/>
        <w:jc w:val="both"/>
        <w:rPr>
          <w:rFonts w:cstheme="minorHAnsi"/>
        </w:rPr>
      </w:pPr>
    </w:p>
    <w:p w14:paraId="3D4E0FD9" w14:textId="77777777" w:rsidR="009A5E62" w:rsidRPr="00641E8A" w:rsidRDefault="009A5E62" w:rsidP="00433CAD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723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1E8A">
        <w:rPr>
          <w:rStyle w:val="eop"/>
          <w:rFonts w:asciiTheme="minorHAnsi" w:hAnsiTheme="minorHAnsi" w:cstheme="minorHAnsi"/>
          <w:sz w:val="22"/>
          <w:szCs w:val="22"/>
        </w:rPr>
        <w:t>Zamówienie nie może być skierowane do podmiotów:</w:t>
      </w:r>
    </w:p>
    <w:p w14:paraId="76C2CD52" w14:textId="77777777" w:rsidR="009A5E62" w:rsidRPr="00641E8A" w:rsidRDefault="009A5E62" w:rsidP="00433CAD">
      <w:pPr>
        <w:pStyle w:val="Akapitzlist"/>
        <w:numPr>
          <w:ilvl w:val="1"/>
          <w:numId w:val="11"/>
        </w:numPr>
        <w:spacing w:line="276" w:lineRule="auto"/>
        <w:jc w:val="both"/>
        <w:rPr>
          <w:rFonts w:cstheme="minorHAnsi"/>
        </w:rPr>
      </w:pPr>
      <w:r w:rsidRPr="00641E8A">
        <w:rPr>
          <w:rFonts w:cstheme="minorHAnsi"/>
        </w:rPr>
        <w:t>których mowa w art. 7 ust. 1 wymienionego w wykazach określonych                                            w rozporządzeniu 765/2006 i rozporządzeniu 269/2014 albo wpisanych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2A4BCCA9" w14:textId="77777777" w:rsidR="009A5E62" w:rsidRPr="00641E8A" w:rsidRDefault="009A5E62" w:rsidP="00433CAD">
      <w:pPr>
        <w:pStyle w:val="Akapitzlist"/>
        <w:numPr>
          <w:ilvl w:val="1"/>
          <w:numId w:val="11"/>
        </w:numPr>
        <w:spacing w:line="276" w:lineRule="auto"/>
        <w:jc w:val="both"/>
        <w:rPr>
          <w:rFonts w:cstheme="minorHAnsi"/>
        </w:rPr>
      </w:pPr>
      <w:r w:rsidRPr="00641E8A">
        <w:rPr>
          <w:rFonts w:cstheme="minorHAnsi"/>
        </w:rPr>
        <w:t>których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38F72B43" w14:textId="77777777" w:rsidR="009A5E62" w:rsidRPr="00641E8A" w:rsidRDefault="009A5E62" w:rsidP="00433CAD">
      <w:pPr>
        <w:pStyle w:val="Akapitzlist"/>
        <w:numPr>
          <w:ilvl w:val="1"/>
          <w:numId w:val="11"/>
        </w:numPr>
        <w:spacing w:line="276" w:lineRule="auto"/>
        <w:jc w:val="both"/>
        <w:rPr>
          <w:rFonts w:cstheme="minorHAnsi"/>
        </w:rPr>
      </w:pPr>
      <w:r w:rsidRPr="00641E8A">
        <w:rPr>
          <w:rFonts w:cstheme="minorHAnsi"/>
        </w:rPr>
        <w:t>których jednostką dominującą lub jednostką zależna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835)”.</w:t>
      </w:r>
    </w:p>
    <w:p w14:paraId="22CCE4B8" w14:textId="35D457F5" w:rsidR="009A5E62" w:rsidRPr="00641E8A" w:rsidRDefault="009A5E62" w:rsidP="00B95D7D">
      <w:pPr>
        <w:pStyle w:val="paragraph"/>
        <w:ind w:left="709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1E8A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W celu spełnienia tego warunku Dostawca zobowiązany jest do przesłania wraz z ofertą podpisanego oświadczenia sankcyjnego (</w:t>
      </w:r>
      <w:r w:rsidRPr="00641E8A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Załącznik</w:t>
      </w:r>
      <w:r w:rsidR="002573A2" w:rsidRPr="00641E8A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r w:rsidR="164F5B83" w:rsidRPr="00641E8A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nr 2</w:t>
      </w:r>
      <w:r w:rsidR="00D07693" w:rsidRPr="00641E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641E8A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1E8A">
        <w:rPr>
          <w:rStyle w:val="normaltextrun"/>
          <w:rFonts w:asciiTheme="minorHAnsi" w:hAnsiTheme="minorHAnsi" w:cstheme="minorHAnsi"/>
          <w:sz w:val="22"/>
          <w:szCs w:val="22"/>
        </w:rPr>
        <w:t>do niniejszego zapytania ofertowego).</w:t>
      </w:r>
      <w:r w:rsidRPr="00641E8A">
        <w:rPr>
          <w:rStyle w:val="eop"/>
          <w:rFonts w:asciiTheme="minorHAnsi" w:hAnsiTheme="minorHAnsi" w:cstheme="minorHAnsi"/>
          <w:sz w:val="22"/>
          <w:szCs w:val="22"/>
        </w:rPr>
        <w:t> </w:t>
      </w:r>
      <w:bookmarkEnd w:id="1"/>
      <w:bookmarkEnd w:id="3"/>
    </w:p>
    <w:p w14:paraId="1C5B1447" w14:textId="140705ED" w:rsidR="00D62A69" w:rsidRPr="00641E8A" w:rsidRDefault="00D53BED" w:rsidP="00B95D7D">
      <w:pPr>
        <w:pStyle w:val="paragraph"/>
        <w:numPr>
          <w:ilvl w:val="0"/>
          <w:numId w:val="11"/>
        </w:numPr>
        <w:spacing w:before="0" w:beforeAutospacing="0"/>
        <w:jc w:val="both"/>
        <w:textAlignment w:val="baseline"/>
        <w:rPr>
          <w:rStyle w:val="eop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41E8A">
        <w:rPr>
          <w:rStyle w:val="eop"/>
          <w:rFonts w:asciiTheme="minorHAnsi" w:hAnsiTheme="minorHAnsi" w:cstheme="minorHAnsi"/>
          <w:sz w:val="22"/>
          <w:szCs w:val="22"/>
        </w:rPr>
        <w:t>Zamówienie jest skierowane do podmiotów</w:t>
      </w:r>
      <w:r w:rsidR="00CF276F" w:rsidRPr="00641E8A">
        <w:rPr>
          <w:rStyle w:val="eop"/>
          <w:rFonts w:asciiTheme="minorHAnsi" w:hAnsiTheme="minorHAnsi" w:cstheme="minorHAnsi"/>
          <w:sz w:val="22"/>
          <w:szCs w:val="22"/>
        </w:rPr>
        <w:t>:</w:t>
      </w:r>
      <w:r w:rsidRPr="00641E8A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1FA6FDDD" w14:textId="4C89BB5A" w:rsidR="008D74D2" w:rsidRPr="0006649F" w:rsidRDefault="008D74D2" w:rsidP="00B95D7D">
      <w:pPr>
        <w:pStyle w:val="paragraph"/>
        <w:numPr>
          <w:ilvl w:val="0"/>
          <w:numId w:val="27"/>
        </w:numPr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6649F">
        <w:rPr>
          <w:rStyle w:val="normaltextrun"/>
          <w:rFonts w:asciiTheme="minorHAnsi" w:hAnsiTheme="minorHAnsi" w:cstheme="minorHAnsi"/>
          <w:sz w:val="22"/>
          <w:szCs w:val="22"/>
        </w:rPr>
        <w:t>posiadających certyfikat GM</w:t>
      </w:r>
      <w:r w:rsidR="00DA0463">
        <w:rPr>
          <w:rStyle w:val="normaltextrun"/>
          <w:rFonts w:asciiTheme="minorHAnsi" w:hAnsiTheme="minorHAnsi" w:cstheme="minorHAnsi"/>
          <w:sz w:val="22"/>
          <w:szCs w:val="22"/>
        </w:rPr>
        <w:t>P</w:t>
      </w:r>
      <w:r w:rsidR="002573A2" w:rsidRPr="0006649F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6465C925" w14:textId="3A70ADDC" w:rsidR="008D74D2" w:rsidRPr="0006649F" w:rsidRDefault="008D74D2" w:rsidP="00B95D7D">
      <w:pPr>
        <w:pStyle w:val="paragraph"/>
        <w:numPr>
          <w:ilvl w:val="0"/>
          <w:numId w:val="27"/>
        </w:numPr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6649F">
        <w:rPr>
          <w:rStyle w:val="normaltextrun"/>
          <w:rFonts w:asciiTheme="minorHAnsi" w:hAnsiTheme="minorHAnsi" w:cstheme="minorHAnsi"/>
          <w:sz w:val="22"/>
          <w:szCs w:val="22"/>
        </w:rPr>
        <w:t>posiadających zezwolenie na stosowanie chlorowodorku sitagliptyny i fosforanu sitagliptyny</w:t>
      </w:r>
      <w:r w:rsidR="002573A2" w:rsidRPr="0006649F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2FE283AF" w14:textId="0FCAB52E" w:rsidR="008D74D2" w:rsidRPr="0006649F" w:rsidRDefault="008D74D2" w:rsidP="00B95D7D">
      <w:pPr>
        <w:pStyle w:val="paragraph"/>
        <w:numPr>
          <w:ilvl w:val="0"/>
          <w:numId w:val="27"/>
        </w:numPr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6649F">
        <w:rPr>
          <w:rStyle w:val="normaltextrun"/>
          <w:rFonts w:asciiTheme="minorHAnsi" w:hAnsiTheme="minorHAnsi" w:cstheme="minorHAnsi"/>
          <w:sz w:val="22"/>
          <w:szCs w:val="22"/>
        </w:rPr>
        <w:t>posiadających odpowiednią infrastrukturę umożliwiająca analizę nitrozoamin techniką GC/MS i LC/MS</w:t>
      </w:r>
      <w:r w:rsidR="002573A2" w:rsidRPr="0006649F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1FE291FD" w14:textId="6E955A88" w:rsidR="008D74D2" w:rsidRPr="0006649F" w:rsidRDefault="008D74D2" w:rsidP="0033680A">
      <w:pPr>
        <w:pStyle w:val="paragraph"/>
        <w:numPr>
          <w:ilvl w:val="0"/>
          <w:numId w:val="27"/>
        </w:numPr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6649F">
        <w:rPr>
          <w:rStyle w:val="normaltextrun"/>
          <w:rFonts w:asciiTheme="minorHAnsi" w:hAnsiTheme="minorHAnsi" w:cstheme="minorHAnsi"/>
          <w:sz w:val="22"/>
          <w:szCs w:val="22"/>
        </w:rPr>
        <w:t>posiadających zwalidowaną metodę na oznaczanie NTTP w wyrobie gotowym</w:t>
      </w:r>
      <w:r w:rsidR="002573A2" w:rsidRPr="0006649F">
        <w:rPr>
          <w:rStyle w:val="normaltextrun"/>
          <w:rFonts w:asciiTheme="minorHAnsi" w:hAnsiTheme="minorHAnsi" w:cstheme="minorHAnsi"/>
          <w:sz w:val="22"/>
          <w:szCs w:val="22"/>
        </w:rPr>
        <w:t>,</w:t>
      </w:r>
    </w:p>
    <w:p w14:paraId="45C0BF93" w14:textId="77777777" w:rsidR="002573A2" w:rsidRPr="0006649F" w:rsidRDefault="008D74D2" w:rsidP="0033680A">
      <w:pPr>
        <w:pStyle w:val="paragraph"/>
        <w:numPr>
          <w:ilvl w:val="0"/>
          <w:numId w:val="27"/>
        </w:numPr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06649F">
        <w:rPr>
          <w:rStyle w:val="normaltextrun"/>
          <w:rFonts w:asciiTheme="minorHAnsi" w:hAnsiTheme="minorHAnsi" w:cstheme="minorHAnsi"/>
          <w:sz w:val="22"/>
          <w:szCs w:val="22"/>
        </w:rPr>
        <w:t>posiadających odpowiednio przeszkolony personel do samodzielnej obsługi sprzętu GC/MS, LC/MS oraz wiedzę merytoryczną pozwalającą na interpretacje otrzymanych wyników</w:t>
      </w:r>
      <w:r w:rsidR="002573A2" w:rsidRPr="0006649F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2652AE18" w14:textId="7E6D64CB" w:rsidR="006507A6" w:rsidRPr="00641E8A" w:rsidRDefault="008D74D2" w:rsidP="0033680A">
      <w:pPr>
        <w:pStyle w:val="paragraph"/>
        <w:ind w:left="1429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  <w:highlight w:val="yellow"/>
        </w:rPr>
      </w:pPr>
      <w:r w:rsidRPr="00641E8A">
        <w:rPr>
          <w:rStyle w:val="normaltextrun"/>
          <w:rFonts w:asciiTheme="minorHAnsi" w:hAnsiTheme="minorHAnsi" w:cstheme="minorHAnsi"/>
          <w:sz w:val="22"/>
          <w:szCs w:val="22"/>
        </w:rPr>
        <w:t>Wymagania te powinny być potwierdzone w formie oświadczeń, referencji lub certyfikatu ze szkolenia</w:t>
      </w:r>
      <w:r w:rsidR="009F255C" w:rsidRPr="00641E8A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="009F255C" w:rsidRPr="00641E8A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Załącznik nr 6</w:t>
      </w:r>
      <w:r w:rsidR="009F255C" w:rsidRPr="00641E8A">
        <w:rPr>
          <w:rStyle w:val="normaltextrun"/>
          <w:rFonts w:asciiTheme="minorHAnsi" w:hAnsiTheme="minorHAnsi" w:cstheme="minorHAnsi"/>
          <w:sz w:val="22"/>
          <w:szCs w:val="22"/>
        </w:rPr>
        <w:t>).</w:t>
      </w:r>
    </w:p>
    <w:p w14:paraId="15917AD8" w14:textId="77777777" w:rsidR="00395D23" w:rsidRPr="00641E8A" w:rsidRDefault="009A5E62" w:rsidP="001D349A">
      <w:pPr>
        <w:widowControl w:val="0"/>
        <w:spacing w:before="240" w:after="60" w:line="276" w:lineRule="auto"/>
        <w:rPr>
          <w:rFonts w:cstheme="minorHAnsi"/>
          <w:b/>
        </w:rPr>
      </w:pPr>
      <w:r w:rsidRPr="00641E8A">
        <w:rPr>
          <w:rFonts w:cstheme="minorHAnsi"/>
          <w:b/>
        </w:rPr>
        <w:t xml:space="preserve">Termin i sposób przygotowania ofert: </w:t>
      </w:r>
    </w:p>
    <w:p w14:paraId="7D504575" w14:textId="77777777" w:rsidR="00841876" w:rsidRPr="00641E8A" w:rsidRDefault="009A5E62" w:rsidP="00841876">
      <w:pPr>
        <w:pStyle w:val="Akapitzlist"/>
        <w:widowControl w:val="0"/>
        <w:spacing w:after="0" w:line="276" w:lineRule="auto"/>
        <w:rPr>
          <w:rFonts w:eastAsia="Times New Roman" w:cstheme="minorHAnsi"/>
          <w:b/>
          <w:bCs/>
          <w:kern w:val="36"/>
          <w:lang w:eastAsia="pl-PL"/>
        </w:rPr>
      </w:pPr>
      <w:r w:rsidRPr="00641E8A">
        <w:rPr>
          <w:rFonts w:cstheme="minorHAnsi"/>
        </w:rPr>
        <w:t>Każda korespondencja powinna zawierać w tytule wiadomości numer postępowania:</w:t>
      </w:r>
      <w:r w:rsidR="001D697E" w:rsidRPr="00641E8A">
        <w:rPr>
          <w:rFonts w:eastAsia="Times New Roman" w:cstheme="minorHAnsi"/>
          <w:b/>
          <w:bCs/>
          <w:kern w:val="36"/>
          <w:lang w:eastAsia="pl-PL"/>
        </w:rPr>
        <w:t xml:space="preserve"> </w:t>
      </w:r>
    </w:p>
    <w:p w14:paraId="3DA7A388" w14:textId="387BC722" w:rsidR="00395D23" w:rsidRPr="00641E8A" w:rsidRDefault="00841876" w:rsidP="00841876">
      <w:pPr>
        <w:pStyle w:val="Akapitzlist"/>
        <w:widowControl w:val="0"/>
        <w:spacing w:after="0" w:line="276" w:lineRule="auto"/>
        <w:rPr>
          <w:rFonts w:eastAsia="Times New Roman" w:cstheme="minorHAnsi"/>
          <w:b/>
          <w:bCs/>
          <w:kern w:val="36"/>
          <w:lang w:eastAsia="pl-PL"/>
        </w:rPr>
      </w:pPr>
      <w:r w:rsidRPr="00641E8A">
        <w:rPr>
          <w:rFonts w:eastAsia="Times New Roman" w:cstheme="minorHAnsi"/>
          <w:b/>
          <w:bCs/>
          <w:kern w:val="36"/>
          <w:lang w:eastAsia="pl-PL"/>
        </w:rPr>
        <w:t>RFP</w:t>
      </w:r>
      <w:r w:rsidR="003D31FA" w:rsidRPr="00641E8A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-</w:t>
      </w:r>
      <w:r w:rsidR="003D31FA" w:rsidRPr="00641E8A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025619</w:t>
      </w:r>
      <w:r w:rsidR="003D31FA" w:rsidRPr="00641E8A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-</w:t>
      </w:r>
      <w:r w:rsidR="003D31FA" w:rsidRPr="00641E8A"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641E8A">
        <w:rPr>
          <w:rFonts w:eastAsia="Times New Roman" w:cstheme="minorHAnsi"/>
          <w:b/>
          <w:bCs/>
          <w:kern w:val="36"/>
          <w:lang w:eastAsia="pl-PL"/>
        </w:rPr>
        <w:t>BADANIE NTTP W PRODUKCIE GOTOWYM</w:t>
      </w:r>
    </w:p>
    <w:p w14:paraId="48B827EA" w14:textId="25632892" w:rsidR="00395D23" w:rsidRPr="00641E8A" w:rsidRDefault="009A5E62" w:rsidP="001D349A">
      <w:pPr>
        <w:pStyle w:val="Akapitzlist"/>
        <w:widowControl w:val="0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641E8A">
        <w:rPr>
          <w:rFonts w:cstheme="minorHAnsi"/>
        </w:rPr>
        <w:t xml:space="preserve">Termin składania Ofert </w:t>
      </w:r>
      <w:r w:rsidRPr="00F41B78">
        <w:rPr>
          <w:rFonts w:cstheme="minorHAnsi"/>
        </w:rPr>
        <w:t>to</w:t>
      </w:r>
      <w:r w:rsidR="00FD2C1C" w:rsidRPr="00F41B78">
        <w:rPr>
          <w:rFonts w:cstheme="minorHAnsi"/>
        </w:rPr>
        <w:t xml:space="preserve"> </w:t>
      </w:r>
      <w:r w:rsidR="00F41B78" w:rsidRPr="00183293">
        <w:rPr>
          <w:rFonts w:cstheme="minorHAnsi"/>
          <w:b/>
          <w:bCs/>
        </w:rPr>
        <w:t>0</w:t>
      </w:r>
      <w:r w:rsidR="00592BCB">
        <w:rPr>
          <w:rFonts w:cstheme="minorHAnsi"/>
          <w:b/>
          <w:bCs/>
        </w:rPr>
        <w:t>7</w:t>
      </w:r>
      <w:r w:rsidR="00F41B78" w:rsidRPr="00183293">
        <w:rPr>
          <w:rFonts w:cstheme="minorHAnsi"/>
          <w:b/>
          <w:bCs/>
        </w:rPr>
        <w:t>.11</w:t>
      </w:r>
      <w:r w:rsidR="00841876" w:rsidRPr="00183293">
        <w:rPr>
          <w:rFonts w:cstheme="minorHAnsi"/>
          <w:b/>
          <w:bCs/>
        </w:rPr>
        <w:t>.</w:t>
      </w:r>
      <w:r w:rsidR="00D032ED" w:rsidRPr="00183293">
        <w:rPr>
          <w:rFonts w:cstheme="minorHAnsi"/>
          <w:b/>
          <w:bCs/>
        </w:rPr>
        <w:t>2024</w:t>
      </w:r>
      <w:r w:rsidRPr="00183293">
        <w:rPr>
          <w:rFonts w:cstheme="minorHAnsi"/>
          <w:b/>
          <w:bCs/>
        </w:rPr>
        <w:t xml:space="preserve"> godz. 23:59 CET</w:t>
      </w:r>
      <w:r w:rsidRPr="00F41B78">
        <w:rPr>
          <w:rFonts w:cstheme="minorHAnsi"/>
          <w:b/>
          <w:bCs/>
        </w:rPr>
        <w:t>.</w:t>
      </w:r>
      <w:r w:rsidRPr="00641E8A">
        <w:rPr>
          <w:rFonts w:cstheme="minorHAnsi"/>
        </w:rPr>
        <w:t xml:space="preserve"> </w:t>
      </w:r>
    </w:p>
    <w:p w14:paraId="0DA1C25D" w14:textId="4CB93055" w:rsidR="00395D23" w:rsidRPr="00E918D4" w:rsidRDefault="00A003CE" w:rsidP="00F579AB">
      <w:pPr>
        <w:pStyle w:val="Akapitzlist"/>
        <w:widowControl w:val="0"/>
        <w:spacing w:after="0" w:line="276" w:lineRule="auto"/>
        <w:jc w:val="both"/>
        <w:rPr>
          <w:rFonts w:cstheme="minorHAnsi"/>
        </w:rPr>
      </w:pPr>
      <w:r w:rsidRPr="00641E8A">
        <w:rPr>
          <w:rFonts w:cstheme="minorHAnsi"/>
        </w:rPr>
        <w:t xml:space="preserve">Termin może ulec zmianie, o czym wszyscy Dostawcy zostaną poinformowani poprzez </w:t>
      </w:r>
      <w:r w:rsidR="003D31FA" w:rsidRPr="00641E8A">
        <w:rPr>
          <w:rFonts w:cstheme="minorHAnsi"/>
        </w:rPr>
        <w:t xml:space="preserve">Bazę </w:t>
      </w:r>
      <w:r w:rsidR="003D31FA" w:rsidRPr="00E918D4">
        <w:rPr>
          <w:rFonts w:cstheme="minorHAnsi"/>
        </w:rPr>
        <w:t>Konkurencyjności.</w:t>
      </w:r>
    </w:p>
    <w:p w14:paraId="29D8B366" w14:textId="2D218583" w:rsidR="00C1198C" w:rsidRPr="00183293" w:rsidRDefault="00C1198C" w:rsidP="00183293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183293">
        <w:rPr>
          <w:rFonts w:eastAsia="Times New Roman" w:cstheme="minorHAnsi"/>
          <w:sz w:val="24"/>
          <w:szCs w:val="24"/>
          <w:lang w:eastAsia="pl-PL"/>
        </w:rPr>
        <w:t xml:space="preserve">Pytania należy składać poprzez Bazę konkurencyjności </w:t>
      </w:r>
      <w:hyperlink r:id="rId10" w:history="1">
        <w:r w:rsidRPr="00183293">
          <w:rPr>
            <w:rFonts w:eastAsia="Times New Roman" w:cstheme="minorHAnsi"/>
            <w:color w:val="0563C1" w:themeColor="hyperlink"/>
            <w:sz w:val="24"/>
            <w:szCs w:val="24"/>
            <w:u w:val="single"/>
            <w:lang w:eastAsia="pl-PL"/>
          </w:rPr>
          <w:t>https://bazakonkurencyjnosci.funduszeeuropejskie.gov.pl/</w:t>
        </w:r>
      </w:hyperlink>
      <w:r w:rsidRPr="00183293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9670D91" w14:textId="77777777" w:rsidR="00C1198C" w:rsidRPr="00C1198C" w:rsidRDefault="00C1198C" w:rsidP="00C1198C">
      <w:pPr>
        <w:spacing w:after="0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018078C1" w14:textId="043876D1" w:rsidR="00C1198C" w:rsidRPr="00183293" w:rsidRDefault="00C1198C" w:rsidP="00C1198C">
      <w:pPr>
        <w:spacing w:after="0"/>
        <w:ind w:left="36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183293">
        <w:rPr>
          <w:rFonts w:eastAsia="Times New Roman" w:cstheme="minorHAnsi"/>
          <w:sz w:val="24"/>
          <w:szCs w:val="24"/>
          <w:lang w:eastAsia="pl-PL"/>
        </w:rPr>
        <w:t>W wyjątkowych przypadkach, gdy zadanie pytania przy użyciu Bazy konkurencyjności wiąże się z ryzykiem ujawnienia informacji szczególnie wrażliwych, Zamawiający dopuszcza możliwość zadania pytania drogą e-mailową z wykorzystaniem arkusza</w:t>
      </w:r>
      <w:r w:rsidRPr="001832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183293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Załącznik_5_RFP_</w:t>
      </w:r>
      <w:r w:rsidR="007722FF" w:rsidRPr="007722F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025619</w:t>
      </w:r>
      <w:r w:rsidRPr="00183293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_Pytania_[NazwaFirmy]</w:t>
      </w:r>
      <w:r w:rsidRPr="0018329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183293">
        <w:rPr>
          <w:rFonts w:eastAsia="Times New Roman" w:cstheme="minorHAnsi"/>
          <w:sz w:val="24"/>
          <w:szCs w:val="24"/>
          <w:lang w:eastAsia="pl-PL"/>
        </w:rPr>
        <w:t>W takich sytuacjach:</w:t>
      </w:r>
    </w:p>
    <w:p w14:paraId="38A52801" w14:textId="77777777" w:rsidR="00C1198C" w:rsidRPr="00183293" w:rsidRDefault="00C1198C" w:rsidP="00C1198C">
      <w:pPr>
        <w:spacing w:after="0"/>
        <w:ind w:left="363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FC886E" w14:textId="77777777" w:rsidR="00C1198C" w:rsidRPr="00183293" w:rsidRDefault="00C1198C" w:rsidP="00C1198C">
      <w:pPr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183293">
        <w:rPr>
          <w:rFonts w:eastAsia="Times New Roman" w:cstheme="minorHAnsi"/>
          <w:sz w:val="24"/>
          <w:szCs w:val="24"/>
          <w:lang w:eastAsia="pl-PL"/>
        </w:rPr>
        <w:t xml:space="preserve">- obowiązkiem Wykonawcy jest uzasadnienie, że publikacja pytania w Bazie konkurencyjności przez Wykonawcę może narażać go na ujawnienie informacji szczególnie wrażliwych, </w:t>
      </w:r>
    </w:p>
    <w:p w14:paraId="1D0AAFA4" w14:textId="77777777" w:rsidR="00C1198C" w:rsidRPr="00183293" w:rsidRDefault="00C1198C" w:rsidP="00C1198C">
      <w:pPr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00EB96" w14:textId="77777777" w:rsidR="00C1198C" w:rsidRPr="00183293" w:rsidRDefault="00C1198C" w:rsidP="00C1198C">
      <w:pPr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183293">
        <w:rPr>
          <w:rFonts w:eastAsia="Times New Roman" w:cstheme="minorHAnsi"/>
          <w:sz w:val="24"/>
          <w:szCs w:val="24"/>
          <w:lang w:eastAsia="pl-PL"/>
        </w:rPr>
        <w:t>- Zamawiający zastrzega prawo do publikacji pytania w Bazie konkurencyjności w formie zanonimizowanej.</w:t>
      </w:r>
    </w:p>
    <w:p w14:paraId="445ABE7F" w14:textId="77777777" w:rsidR="00C1198C" w:rsidRPr="00C1198C" w:rsidRDefault="00C1198C" w:rsidP="00C1198C">
      <w:pPr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684AE247" w14:textId="4B7ED49A" w:rsidR="00C1198C" w:rsidRPr="00183293" w:rsidRDefault="00C1198C" w:rsidP="00C1198C">
      <w:pPr>
        <w:spacing w:after="0" w:line="240" w:lineRule="auto"/>
        <w:ind w:left="426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183293">
        <w:rPr>
          <w:rFonts w:cstheme="minorHAnsi"/>
          <w:bCs/>
          <w:sz w:val="24"/>
          <w:szCs w:val="24"/>
        </w:rPr>
        <w:t xml:space="preserve">Odpowiedzi na zadane pytania będą udzielane do końca trwania postępowania. Późne zadanie pytań z punktu widzenia terminu zakończenia postępowania może spowodować brak czasu na udzielenie wymaganej odpowiedzi. </w:t>
      </w:r>
      <w:r w:rsidRPr="00183293">
        <w:rPr>
          <w:rFonts w:eastAsia="Times New Roman" w:cstheme="minorHAnsi"/>
          <w:sz w:val="24"/>
          <w:szCs w:val="24"/>
          <w:lang w:eastAsia="pl-PL"/>
        </w:rPr>
        <w:t xml:space="preserve">W celu zapewnienia równego dostępu </w:t>
      </w:r>
      <w:r w:rsidRPr="00183293">
        <w:rPr>
          <w:rFonts w:eastAsia="Times New Roman" w:cstheme="minorHAnsi"/>
          <w:sz w:val="24"/>
          <w:szCs w:val="24"/>
          <w:lang w:eastAsia="pl-PL"/>
        </w:rPr>
        <w:lastRenderedPageBreak/>
        <w:t>do informacji wszystkim Oferentom biorącym udział w postępowaniu, pytania i odpowiedzi (z ukryciem autora pytań) przesłane zostaną do wszystkich Oferentów</w:t>
      </w:r>
      <w:r w:rsidR="00BB5516">
        <w:rPr>
          <w:rFonts w:eastAsia="Times New Roman" w:cstheme="minorHAnsi"/>
          <w:sz w:val="24"/>
          <w:szCs w:val="24"/>
          <w:lang w:eastAsia="pl-PL"/>
        </w:rPr>
        <w:t>.</w:t>
      </w:r>
    </w:p>
    <w:p w14:paraId="6CD7A0EF" w14:textId="77777777" w:rsidR="00C1198C" w:rsidRPr="00641E8A" w:rsidRDefault="00C1198C" w:rsidP="0018329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B98EB1" w14:textId="12C6019C" w:rsidR="00A15622" w:rsidRPr="00641E8A" w:rsidRDefault="009A5E62" w:rsidP="00395D23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Każdy Dostawca może złożyć tylko jedną ofertę. </w:t>
      </w:r>
    </w:p>
    <w:p w14:paraId="050A2CE0" w14:textId="0532E641" w:rsidR="003E01EF" w:rsidRPr="00183293" w:rsidRDefault="009A5E62" w:rsidP="5ACB8F7C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Zamawiający </w:t>
      </w:r>
      <w:r w:rsidR="00A15622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 </w:t>
      </w:r>
      <w:r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dopuszcza </w:t>
      </w:r>
      <w:r w:rsidR="0049271D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składania </w:t>
      </w:r>
      <w:r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>ofert częściowych</w:t>
      </w:r>
      <w:r w:rsidR="00445B7B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zakresie wybranych pozycji</w:t>
      </w:r>
      <w:r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445B7B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079FD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Nie ma możliwości składania oferty na </w:t>
      </w:r>
      <w:r w:rsidR="00A15622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wykonanie poszczególnych analiz</w:t>
      </w:r>
      <w:r w:rsidR="001443CB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ilości mniejsze</w:t>
      </w:r>
      <w:r w:rsidR="00E0692A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>j</w:t>
      </w:r>
      <w:r w:rsidR="001443CB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niż</w:t>
      </w:r>
      <w:r w:rsidR="00E0692A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przedstawion</w:t>
      </w:r>
      <w:r w:rsidR="001D349A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>e</w:t>
      </w:r>
      <w:r w:rsidR="009C759C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w Załączniku nr 3</w:t>
      </w:r>
      <w:r w:rsidR="001443CB"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Pr="0018329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BDFA738" w14:textId="1D68F0F8" w:rsidR="00333DE9" w:rsidRPr="00641E8A" w:rsidRDefault="00BE5F18" w:rsidP="00395D23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Oferta powinna zostać </w:t>
      </w:r>
      <w:r w:rsidR="00F83E90" w:rsidRPr="00641E8A">
        <w:rPr>
          <w:rFonts w:asciiTheme="minorHAnsi" w:hAnsiTheme="minorHAnsi" w:cstheme="minorHAnsi"/>
          <w:color w:val="auto"/>
          <w:sz w:val="22"/>
          <w:szCs w:val="22"/>
        </w:rPr>
        <w:t>przygotowana</w:t>
      </w: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 za pośrednictwem pliku </w:t>
      </w:r>
      <w:r w:rsidR="004A4F84" w:rsidRPr="00641E8A">
        <w:rPr>
          <w:rFonts w:asciiTheme="minorHAnsi" w:hAnsiTheme="minorHAnsi" w:cstheme="minorHAnsi"/>
          <w:color w:val="auto"/>
          <w:sz w:val="22"/>
          <w:szCs w:val="22"/>
        </w:rPr>
        <w:t>Exce</w:t>
      </w:r>
      <w:r w:rsidR="00F83E90" w:rsidRPr="00641E8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DA498D"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 dołączonego do niniejszego postępowania</w:t>
      </w:r>
      <w:r w:rsidR="006975F3"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83E90" w:rsidRPr="00641E8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F83E90" w:rsidRPr="00641E8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</w:rPr>
        <w:t>Załącznik_3_RFP_</w:t>
      </w:r>
      <w:r w:rsidR="004A5B03" w:rsidRPr="00641E8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</w:rPr>
        <w:t>025619</w:t>
      </w:r>
      <w:r w:rsidR="00F83E90" w:rsidRPr="00641E8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</w:rPr>
        <w:t>_Oferta</w:t>
      </w:r>
      <w:r w:rsidR="00282E8D" w:rsidRPr="00641E8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</w:rPr>
        <w:t>_NazwaFirmy</w:t>
      </w:r>
      <w:r w:rsidR="00F83E90" w:rsidRPr="00641E8A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9A7FF6"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A4F84" w:rsidRPr="00641E8A">
        <w:rPr>
          <w:rFonts w:asciiTheme="minorHAnsi" w:hAnsiTheme="minorHAnsi" w:cstheme="minorHAnsi"/>
          <w:color w:val="auto"/>
          <w:sz w:val="22"/>
          <w:szCs w:val="22"/>
        </w:rPr>
        <w:t>Bez wypełnionego Załącznika nr 3, oferta nie będzie brana pod uwagę.</w:t>
      </w:r>
    </w:p>
    <w:p w14:paraId="5F08E2E9" w14:textId="5A8AC577" w:rsidR="009A5E62" w:rsidRPr="00641E8A" w:rsidRDefault="009A5E62" w:rsidP="004E6420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Ofertę wraz z wymaganymi Załącznikami należy złożyć w </w:t>
      </w:r>
      <w:r w:rsidR="004A5B03" w:rsidRPr="00641E8A">
        <w:rPr>
          <w:rFonts w:asciiTheme="minorHAnsi" w:hAnsiTheme="minorHAnsi" w:cstheme="minorHAnsi"/>
          <w:color w:val="auto"/>
          <w:sz w:val="22"/>
          <w:szCs w:val="22"/>
        </w:rPr>
        <w:t>Bazie Konkur</w:t>
      </w:r>
      <w:r w:rsidR="004E6420" w:rsidRPr="00641E8A">
        <w:rPr>
          <w:rFonts w:asciiTheme="minorHAnsi" w:hAnsiTheme="minorHAnsi" w:cstheme="minorHAnsi"/>
          <w:color w:val="auto"/>
          <w:sz w:val="22"/>
          <w:szCs w:val="22"/>
        </w:rPr>
        <w:t>encyjności.</w:t>
      </w: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B4819" w14:textId="7ED7C009" w:rsidR="00333DE9" w:rsidRPr="00641E8A" w:rsidRDefault="009A5E62" w:rsidP="00395D23">
      <w:pPr>
        <w:pStyle w:val="Akapitzlist"/>
        <w:widowControl w:val="0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41E8A">
        <w:rPr>
          <w:rFonts w:cstheme="minorHAnsi"/>
        </w:rPr>
        <w:t xml:space="preserve">Oferta Dostawcy winna być sporządzona w języku polskim lub angielskim, w sposób czytelny, elektronicznie. </w:t>
      </w:r>
    </w:p>
    <w:p w14:paraId="36A79FFC" w14:textId="157B1B21" w:rsidR="001956B9" w:rsidRPr="00641E8A" w:rsidRDefault="009A5E62" w:rsidP="1A0E8450">
      <w:pPr>
        <w:pStyle w:val="Akapitzlist"/>
        <w:widowControl w:val="0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641E8A">
        <w:rPr>
          <w:rFonts w:cstheme="minorHAnsi"/>
        </w:rPr>
        <w:t>Oferta powinna zawierać minimum następujące informacje: nazwę i adres Dostawcy, numer zapytania ofertowego,</w:t>
      </w:r>
      <w:r w:rsidR="00C92872" w:rsidRPr="00641E8A">
        <w:rPr>
          <w:rFonts w:cstheme="minorHAnsi"/>
        </w:rPr>
        <w:t xml:space="preserve"> datę,</w:t>
      </w:r>
      <w:r w:rsidRPr="00641E8A">
        <w:rPr>
          <w:rFonts w:cstheme="minorHAnsi"/>
        </w:rPr>
        <w:t xml:space="preserve"> cenę (PLN</w:t>
      </w:r>
      <w:r w:rsidR="00C32C6C" w:rsidRPr="00641E8A">
        <w:rPr>
          <w:rFonts w:cstheme="minorHAnsi"/>
        </w:rPr>
        <w:t>/EUR</w:t>
      </w:r>
      <w:r w:rsidRPr="00641E8A">
        <w:rPr>
          <w:rFonts w:cstheme="minorHAnsi"/>
        </w:rPr>
        <w:t xml:space="preserve">), termin </w:t>
      </w:r>
      <w:r w:rsidR="1EBB5204" w:rsidRPr="00641E8A">
        <w:rPr>
          <w:rFonts w:cstheme="minorHAnsi"/>
        </w:rPr>
        <w:t>realizacji (</w:t>
      </w:r>
      <w:r w:rsidRPr="00641E8A">
        <w:rPr>
          <w:rFonts w:cstheme="minorHAnsi"/>
        </w:rPr>
        <w:t xml:space="preserve">podany w dniach), </w:t>
      </w:r>
      <w:r w:rsidR="008713C2" w:rsidRPr="00641E8A">
        <w:rPr>
          <w:rFonts w:cstheme="minorHAnsi"/>
        </w:rPr>
        <w:t>i</w:t>
      </w:r>
      <w:r w:rsidRPr="00641E8A">
        <w:rPr>
          <w:rFonts w:cstheme="minorHAnsi"/>
        </w:rPr>
        <w:t>lość (zakres oferty), termin płatności</w:t>
      </w:r>
      <w:r w:rsidR="004556BC" w:rsidRPr="00641E8A">
        <w:rPr>
          <w:rFonts w:cstheme="minorHAnsi"/>
        </w:rPr>
        <w:t xml:space="preserve"> (podany w dniach)</w:t>
      </w:r>
      <w:r w:rsidRPr="00641E8A">
        <w:rPr>
          <w:rFonts w:cstheme="minorHAnsi"/>
        </w:rPr>
        <w:t>.</w:t>
      </w:r>
    </w:p>
    <w:p w14:paraId="57C113ED" w14:textId="7D4BB21A" w:rsidR="00F5249C" w:rsidRPr="00641E8A" w:rsidRDefault="00840EA3" w:rsidP="00840EA3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>Jeśli ceny w ofercie będą wyrażone w inne</w:t>
      </w:r>
      <w:r w:rsidR="00DA0463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 walucie niż PLN to zostaną one przeliczane przy zastosowaniu średniego kursu NBP z dnia publikacji przetargu. Jeśli w dniu publikacji tego ogłoszenia o zamówieniu nie zostanie opublikowana tabela średnich kursów NBP; zastosowany zostanie kurs z ostatniej tabeli kursów średnich opublikowanej przed dniem publikacji ogłoszenia o zamówieniu.</w:t>
      </w:r>
    </w:p>
    <w:p w14:paraId="48AB174C" w14:textId="44E3D1A7" w:rsidR="00F5249C" w:rsidRPr="00641E8A" w:rsidRDefault="009A5E62" w:rsidP="00395D23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>Zamawiający dołącza do zapytania podpisaną listę kontrolną (</w:t>
      </w:r>
      <w:r w:rsidRPr="00641E8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</w:rPr>
        <w:t xml:space="preserve">Załącznik nr </w:t>
      </w:r>
      <w:r w:rsidR="00540D2C" w:rsidRPr="00641E8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</w:rPr>
        <w:t>4</w:t>
      </w: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), która pozwoli potwierdzić czy wszystkie wymagane dokumenty zostały dostarczone. </w:t>
      </w:r>
    </w:p>
    <w:p w14:paraId="15698D02" w14:textId="7AEAF12C" w:rsidR="00F5249C" w:rsidRPr="00641E8A" w:rsidRDefault="009A5E62" w:rsidP="00395D23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>Oferty złożone po terminie nie będą brane pod uwagę.</w:t>
      </w:r>
    </w:p>
    <w:p w14:paraId="12352E88" w14:textId="77777777" w:rsidR="009A5E62" w:rsidRPr="00641E8A" w:rsidRDefault="009A5E62" w:rsidP="00DE26F5">
      <w:pPr>
        <w:pStyle w:val="Defaul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>Oferent przed upływem terminu do składania ofert ma prawo:</w:t>
      </w:r>
    </w:p>
    <w:p w14:paraId="53548449" w14:textId="4729A05A" w:rsidR="00CE0A74" w:rsidRPr="00641E8A" w:rsidRDefault="009A5E62" w:rsidP="00DE26F5">
      <w:pPr>
        <w:pStyle w:val="Default"/>
        <w:numPr>
          <w:ilvl w:val="0"/>
          <w:numId w:val="18"/>
        </w:numPr>
        <w:spacing w:line="276" w:lineRule="auto"/>
        <w:ind w:left="1443"/>
        <w:jc w:val="both"/>
        <w:rPr>
          <w:rFonts w:asciiTheme="minorHAnsi" w:hAnsiTheme="minorHAnsi" w:cstheme="minorHAnsi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>wycofać ofertę poprzez złożenie pisemnego powiadomienia drogą opisaną dla składania ofert,</w:t>
      </w:r>
    </w:p>
    <w:p w14:paraId="434BEA75" w14:textId="427310B3" w:rsidR="009A5E62" w:rsidRPr="00641E8A" w:rsidRDefault="009A5E62" w:rsidP="00DE26F5">
      <w:pPr>
        <w:pStyle w:val="Default"/>
        <w:numPr>
          <w:ilvl w:val="0"/>
          <w:numId w:val="18"/>
        </w:numPr>
        <w:spacing w:line="276" w:lineRule="auto"/>
        <w:ind w:left="1443"/>
        <w:jc w:val="both"/>
        <w:rPr>
          <w:rFonts w:asciiTheme="minorHAnsi" w:hAnsiTheme="minorHAnsi" w:cstheme="minorHAnsi"/>
          <w:sz w:val="22"/>
          <w:szCs w:val="22"/>
        </w:rPr>
      </w:pPr>
      <w:r w:rsidRPr="00641E8A">
        <w:rPr>
          <w:rFonts w:asciiTheme="minorHAnsi" w:hAnsiTheme="minorHAnsi" w:cstheme="minorHAnsi"/>
          <w:color w:val="auto"/>
          <w:sz w:val="22"/>
          <w:szCs w:val="22"/>
        </w:rPr>
        <w:t xml:space="preserve">zmienić ofertę – powiadomienie o wprowadzeniu zmian musi być złożone wg takich samych zasad jak składana oferta, odpowiednio oznakowanych z dopiskiem „ZMIANA OFERTY”. </w:t>
      </w:r>
    </w:p>
    <w:p w14:paraId="526E7114" w14:textId="77777777" w:rsidR="009A5E62" w:rsidRPr="00641E8A" w:rsidRDefault="009A5E62" w:rsidP="00395D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F4FFA7" w14:textId="77777777" w:rsidR="009A5E62" w:rsidRPr="00641E8A" w:rsidRDefault="009A5E62" w:rsidP="00433CAD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641E8A">
        <w:rPr>
          <w:rFonts w:eastAsia="Times New Roman" w:cstheme="minorHAnsi"/>
          <w:b/>
          <w:bCs/>
          <w:lang w:eastAsia="pl-PL"/>
        </w:rPr>
        <w:t xml:space="preserve">Kryteria wyboru i sposób oceny złożonych ofert: </w:t>
      </w:r>
    </w:p>
    <w:p w14:paraId="5F009F61" w14:textId="77777777" w:rsidR="009A5E62" w:rsidRPr="00641E8A" w:rsidRDefault="009A5E62" w:rsidP="00433CAD">
      <w:pPr>
        <w:spacing w:after="0" w:line="276" w:lineRule="auto"/>
        <w:ind w:left="789" w:hanging="426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1.     Zamawiający ma prawo odrzucenia oferty złożonej przez Dostawcę niespełniającego warunków udziału w postępowaniu lub jeśli oferta jest niezgodna z niniejszym zapytaniem.</w:t>
      </w:r>
    </w:p>
    <w:p w14:paraId="35EF33DD" w14:textId="77777777" w:rsidR="009A5E62" w:rsidRPr="00641E8A" w:rsidRDefault="009A5E62" w:rsidP="00433CAD">
      <w:pPr>
        <w:spacing w:after="0" w:line="276" w:lineRule="auto"/>
        <w:ind w:left="789" w:hanging="426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 xml:space="preserve">2.     Kryteria wyboru ofert: </w:t>
      </w:r>
    </w:p>
    <w:p w14:paraId="34A58724" w14:textId="25FD0ED8" w:rsidR="009A5E62" w:rsidRPr="00641E8A" w:rsidRDefault="009A5E62" w:rsidP="5ACB8F7C">
      <w:pPr>
        <w:pStyle w:val="Akapitzlist"/>
        <w:numPr>
          <w:ilvl w:val="1"/>
          <w:numId w:val="9"/>
        </w:numPr>
        <w:spacing w:after="0" w:line="276" w:lineRule="auto"/>
        <w:ind w:left="1443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b/>
          <w:bCs/>
          <w:u w:val="single"/>
          <w:lang w:eastAsia="pl-PL"/>
        </w:rPr>
        <w:t>Cena netto</w:t>
      </w:r>
      <w:r w:rsidRPr="00641E8A">
        <w:rPr>
          <w:rFonts w:eastAsia="Times New Roman" w:cstheme="minorHAnsi"/>
          <w:u w:val="single"/>
          <w:lang w:eastAsia="pl-PL"/>
        </w:rPr>
        <w:t xml:space="preserve"> (PLN/EUR)</w:t>
      </w:r>
      <w:r w:rsidRPr="00641E8A">
        <w:rPr>
          <w:rFonts w:eastAsia="Times New Roman" w:cstheme="minorHAnsi"/>
          <w:lang w:eastAsia="pl-PL"/>
        </w:rPr>
        <w:t xml:space="preserve">, waga kryterium - </w:t>
      </w:r>
      <w:r w:rsidR="00E65FDE" w:rsidRPr="00641E8A">
        <w:rPr>
          <w:rFonts w:eastAsia="Times New Roman" w:cstheme="minorHAnsi"/>
          <w:u w:val="single"/>
          <w:lang w:eastAsia="pl-PL"/>
        </w:rPr>
        <w:t>8</w:t>
      </w:r>
      <w:r w:rsidRPr="00641E8A">
        <w:rPr>
          <w:rFonts w:eastAsia="Times New Roman" w:cstheme="minorHAnsi"/>
          <w:u w:val="single"/>
          <w:lang w:eastAsia="pl-PL"/>
        </w:rPr>
        <w:t>0% całościowej oceny</w:t>
      </w:r>
      <w:r w:rsidR="00102C38" w:rsidRPr="00641E8A">
        <w:rPr>
          <w:rFonts w:eastAsia="Times New Roman" w:cstheme="minorHAnsi"/>
          <w:lang w:eastAsia="pl-PL"/>
        </w:rPr>
        <w:t>,</w:t>
      </w:r>
    </w:p>
    <w:p w14:paraId="4D3E5275" w14:textId="3FDAC33F" w:rsidR="009A5E62" w:rsidRPr="00641E8A" w:rsidRDefault="009A5E62" w:rsidP="5ACB8F7C">
      <w:pPr>
        <w:pStyle w:val="Akapitzlist"/>
        <w:widowControl w:val="0"/>
        <w:numPr>
          <w:ilvl w:val="1"/>
          <w:numId w:val="9"/>
        </w:numPr>
        <w:spacing w:after="0" w:line="276" w:lineRule="auto"/>
        <w:ind w:left="1443"/>
        <w:jc w:val="both"/>
        <w:rPr>
          <w:rFonts w:cstheme="minorHAnsi"/>
        </w:rPr>
      </w:pPr>
      <w:r w:rsidRPr="00641E8A">
        <w:rPr>
          <w:rFonts w:cstheme="minorHAnsi"/>
          <w:b/>
          <w:bCs/>
          <w:u w:val="single"/>
        </w:rPr>
        <w:t xml:space="preserve">Termin płatności </w:t>
      </w:r>
      <w:r w:rsidRPr="00641E8A">
        <w:rPr>
          <w:rFonts w:cstheme="minorHAnsi"/>
          <w:u w:val="single"/>
        </w:rPr>
        <w:t>(</w:t>
      </w:r>
      <w:r w:rsidR="00977FBC" w:rsidRPr="00641E8A">
        <w:rPr>
          <w:rFonts w:cstheme="minorHAnsi"/>
          <w:u w:val="single"/>
        </w:rPr>
        <w:t>dni</w:t>
      </w:r>
      <w:r w:rsidRPr="00641E8A">
        <w:rPr>
          <w:rFonts w:cstheme="minorHAnsi"/>
          <w:u w:val="single"/>
        </w:rPr>
        <w:t>)</w:t>
      </w:r>
      <w:r w:rsidRPr="00641E8A">
        <w:rPr>
          <w:rFonts w:cstheme="minorHAnsi"/>
        </w:rPr>
        <w:t xml:space="preserve"> – </w:t>
      </w:r>
      <w:r w:rsidR="00FF3AC6" w:rsidRPr="00641E8A">
        <w:rPr>
          <w:rFonts w:cstheme="minorHAnsi"/>
          <w:u w:val="single"/>
        </w:rPr>
        <w:t>2</w:t>
      </w:r>
      <w:r w:rsidRPr="00641E8A">
        <w:rPr>
          <w:rFonts w:cstheme="minorHAnsi"/>
          <w:u w:val="single"/>
        </w:rPr>
        <w:t>0% całościowej oceny.</w:t>
      </w:r>
    </w:p>
    <w:p w14:paraId="6AEE3F4C" w14:textId="77777777" w:rsidR="009A5E62" w:rsidRDefault="009A5E62" w:rsidP="00433CA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Zamawiający dokona oceny ofert na podstawie wyniku osiągniętej liczby punktów wyliczonych w oparciu o w/w kryterium i ustaloną punktację:</w:t>
      </w:r>
    </w:p>
    <w:p w14:paraId="7C9F15FD" w14:textId="77777777" w:rsidR="00183293" w:rsidRDefault="00183293" w:rsidP="00183293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E3098B2" w14:textId="77777777" w:rsidR="00183293" w:rsidRPr="00183293" w:rsidRDefault="00183293" w:rsidP="00183293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AD0FC61" w14:textId="77777777" w:rsidR="009A5E62" w:rsidRPr="00641E8A" w:rsidRDefault="009A5E62" w:rsidP="00433CAD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tbl>
      <w:tblPr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6237"/>
      </w:tblGrid>
      <w:tr w:rsidR="009A5E62" w:rsidRPr="00641E8A" w14:paraId="51874EF0" w14:textId="77777777" w:rsidTr="009B51C1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FC7D" w14:textId="77777777" w:rsidR="009A5E62" w:rsidRPr="00641E8A" w:rsidRDefault="009A5E62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Kryterium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2CF0" w14:textId="77777777" w:rsidR="009A5E62" w:rsidRPr="00641E8A" w:rsidRDefault="009A5E62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b/>
                <w:bCs/>
                <w:lang w:eastAsia="pl-PL"/>
              </w:rPr>
              <w:t>Waga [%]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D1D2" w14:textId="77777777" w:rsidR="009A5E62" w:rsidRPr="00641E8A" w:rsidRDefault="009A5E62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b/>
                <w:bCs/>
                <w:lang w:eastAsia="pl-PL"/>
              </w:rPr>
              <w:t>Sposób oceny zgodnie z wzorem</w:t>
            </w:r>
          </w:p>
        </w:tc>
      </w:tr>
      <w:tr w:rsidR="009A5E62" w:rsidRPr="00641E8A" w14:paraId="1D56A280" w14:textId="77777777" w:rsidTr="009B51C1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2B5F" w14:textId="6DC6BF3E" w:rsidR="009A5E62" w:rsidRPr="00641E8A" w:rsidRDefault="009A5E62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lang w:eastAsia="pl-PL"/>
              </w:rPr>
              <w:t>Cena</w:t>
            </w:r>
            <w:r w:rsidR="007A7C41">
              <w:rPr>
                <w:rFonts w:eastAsia="Times New Roman" w:cstheme="minorHAnsi"/>
                <w:lang w:eastAsia="pl-PL"/>
              </w:rPr>
              <w:t xml:space="preserve"> netto</w:t>
            </w:r>
            <w:r w:rsidR="00157E4F" w:rsidRPr="00641E8A">
              <w:rPr>
                <w:rFonts w:eastAsia="Times New Roman" w:cstheme="minorHAnsi"/>
                <w:lang w:eastAsia="pl-PL"/>
              </w:rPr>
              <w:t xml:space="preserve"> [PLN/EUR]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C1B7" w14:textId="317BAFE7" w:rsidR="009A5E62" w:rsidRPr="00641E8A" w:rsidRDefault="00FF3AC6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lang w:eastAsia="pl-PL"/>
              </w:rPr>
              <w:t>8</w:t>
            </w:r>
            <w:r w:rsidR="009A5E62" w:rsidRPr="00641E8A">
              <w:rPr>
                <w:rFonts w:eastAsia="Times New Roman" w:cstheme="minorHAnsi"/>
                <w:lang w:eastAsia="pl-PL"/>
              </w:rPr>
              <w:t>0%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5A07" w14:textId="77777777" w:rsidR="009A5E62" w:rsidRPr="00641E8A" w:rsidRDefault="009A5E62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lang w:eastAsia="pl-PL"/>
              </w:rPr>
              <w:t>cena netto oferty najniższej / cena netto oferty badanej x 100 x waga% = ilość punktów</w:t>
            </w:r>
          </w:p>
        </w:tc>
      </w:tr>
      <w:tr w:rsidR="009A5E62" w:rsidRPr="00641E8A" w14:paraId="5767B785" w14:textId="77777777" w:rsidTr="009B51C1"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4C7D1" w14:textId="0CB7F32E" w:rsidR="009A5E62" w:rsidRPr="00641E8A" w:rsidRDefault="007A7C41" w:rsidP="00433CAD">
            <w:pPr>
              <w:spacing w:before="100" w:beforeAutospacing="1"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Czas</w:t>
            </w:r>
            <w:r w:rsidR="000E314C">
              <w:rPr>
                <w:rFonts w:eastAsia="Times New Roman" w:cstheme="minorHAnsi"/>
                <w:lang w:eastAsia="pl-PL"/>
              </w:rPr>
              <w:t xml:space="preserve"> realizacji</w:t>
            </w:r>
            <w:r w:rsidR="009A5E62" w:rsidRPr="00641E8A">
              <w:rPr>
                <w:rFonts w:eastAsia="Times New Roman" w:cstheme="minorHAnsi"/>
                <w:lang w:eastAsia="pl-PL"/>
              </w:rPr>
              <w:t xml:space="preserve"> </w:t>
            </w:r>
            <w:r w:rsidR="00157E4F" w:rsidRPr="00641E8A">
              <w:rPr>
                <w:rFonts w:eastAsia="Times New Roman" w:cstheme="minorHAnsi"/>
                <w:lang w:eastAsia="pl-PL"/>
              </w:rPr>
              <w:t>[dni]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6310" w14:textId="63E363A3" w:rsidR="009A5E62" w:rsidRPr="00641E8A" w:rsidRDefault="00FF3AC6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641E8A">
              <w:rPr>
                <w:rFonts w:eastAsia="Times New Roman" w:cstheme="minorHAnsi"/>
                <w:lang w:eastAsia="pl-PL"/>
              </w:rPr>
              <w:t>2</w:t>
            </w:r>
            <w:r w:rsidR="009A5E62" w:rsidRPr="00641E8A">
              <w:rPr>
                <w:rFonts w:eastAsia="Times New Roman" w:cstheme="minorHAnsi"/>
                <w:lang w:eastAsia="pl-PL"/>
              </w:rPr>
              <w:t>0%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10E2" w14:textId="07F8DB98" w:rsidR="009A5E62" w:rsidRPr="00641E8A" w:rsidRDefault="007D3DFE" w:rsidP="00433CAD">
            <w:pPr>
              <w:spacing w:before="100" w:beforeAutospacing="1" w:after="0" w:line="276" w:lineRule="auto"/>
              <w:jc w:val="both"/>
              <w:rPr>
                <w:rFonts w:eastAsia="Times New Roman" w:cstheme="minorHAnsi"/>
                <w:lang w:eastAsia="pl-PL"/>
              </w:rPr>
            </w:pPr>
            <w:r w:rsidRPr="00183293">
              <w:rPr>
                <w:rFonts w:eastAsia="Times New Roman" w:cstheme="minorHAnsi"/>
                <w:lang w:eastAsia="pl-PL"/>
              </w:rPr>
              <w:t>Najkrótszy czas realizacji / czas realizacji oferty badanej x 100 x waga % = ilość punktów</w:t>
            </w:r>
            <w:r w:rsidRPr="009601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40F84840" w14:textId="77777777" w:rsidR="009A5E62" w:rsidRPr="00641E8A" w:rsidRDefault="009A5E62" w:rsidP="00433CAD">
      <w:pPr>
        <w:spacing w:after="0" w:line="276" w:lineRule="auto"/>
        <w:ind w:hanging="425"/>
        <w:jc w:val="both"/>
        <w:rPr>
          <w:rFonts w:eastAsia="Times New Roman" w:cstheme="minorHAnsi"/>
          <w:lang w:eastAsia="pl-PL"/>
        </w:rPr>
      </w:pPr>
    </w:p>
    <w:p w14:paraId="0FF89E6A" w14:textId="77777777" w:rsidR="009A5E62" w:rsidRPr="00641E8A" w:rsidRDefault="009A5E62" w:rsidP="00433CAD">
      <w:pPr>
        <w:spacing w:after="0" w:line="276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 xml:space="preserve">4.     Za najkorzystniejszą zostanie uznana oferta, która uzyska najwyższą końcową ilość punktów. </w:t>
      </w:r>
    </w:p>
    <w:p w14:paraId="4FE1EFD8" w14:textId="77777777" w:rsidR="009A5E62" w:rsidRPr="00641E8A" w:rsidRDefault="009A5E62" w:rsidP="00433CAD">
      <w:pPr>
        <w:spacing w:after="0" w:line="276" w:lineRule="auto"/>
        <w:ind w:left="709" w:hanging="426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5.     Wyniki działań matematycznych dokonywanych przy ocenie badania ofert podlegają zaokrągleniu do drugiego miejsca po przecinku. W przypadku uzyskania równej punktacji dla co najmniej dwóch ofert Zamawiający spośród ofert z równą najwyższą końcową ilością punktów dokona wyboru oferty bardziej korzystnej, gdy chodzi o oddziaływanie na środowisko. W tym celu Zamawiający ma prawo wezwać Oferentów, których oferty uzyskały najwyższą końcową ilość punktów o uzupełnienie oferty poprzez podanie wskazanych przez Zamawiającego informacji dotyczących oddziaływania przedmiotu oferty na środowisko. Termin na uzupełnienie oferty zostanie określony przez Zamawiającego, jednak nie może być on krótszy niż 3 dni robocze od otrzymania wezwania.</w:t>
      </w:r>
    </w:p>
    <w:p w14:paraId="29BB192C" w14:textId="77777777" w:rsidR="009A5E62" w:rsidRPr="00641E8A" w:rsidRDefault="009A5E62" w:rsidP="00433CAD">
      <w:pPr>
        <w:spacing w:before="100" w:beforeAutospacing="1" w:after="60" w:line="276" w:lineRule="auto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b/>
          <w:bCs/>
          <w:lang w:eastAsia="pl-PL"/>
        </w:rPr>
        <w:t>Wybór Wykonawcy i sposób ogłaszania:</w:t>
      </w:r>
    </w:p>
    <w:p w14:paraId="09C16F73" w14:textId="77777777" w:rsidR="009A5E62" w:rsidRPr="00641E8A" w:rsidRDefault="009A5E62" w:rsidP="00433CAD">
      <w:pPr>
        <w:pStyle w:val="Akapitzlist"/>
        <w:widowControl w:val="0"/>
        <w:numPr>
          <w:ilvl w:val="0"/>
          <w:numId w:val="6"/>
        </w:numPr>
        <w:spacing w:after="0" w:line="276" w:lineRule="auto"/>
        <w:ind w:left="789" w:hanging="426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Zamawiający dokona wyboru najkorzystniejszej oferty na podstawie kryteriów oceny ofert określonych w niniejszym zapytaniu ofertowym.</w:t>
      </w:r>
    </w:p>
    <w:p w14:paraId="5CDD46AC" w14:textId="28EEBBFC" w:rsidR="009A5E62" w:rsidRPr="00641E8A" w:rsidRDefault="009A5E62" w:rsidP="00433CAD">
      <w:pPr>
        <w:pStyle w:val="Akapitzlist"/>
        <w:widowControl w:val="0"/>
        <w:numPr>
          <w:ilvl w:val="0"/>
          <w:numId w:val="6"/>
        </w:numPr>
        <w:spacing w:after="0" w:line="276" w:lineRule="auto"/>
        <w:ind w:left="789" w:hanging="426"/>
        <w:jc w:val="both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 xml:space="preserve">Informację o wynikach postępowania Zamawiający umieści </w:t>
      </w:r>
      <w:r w:rsidR="005778D9" w:rsidRPr="00641E8A">
        <w:rPr>
          <w:rFonts w:eastAsia="Times New Roman" w:cstheme="minorHAnsi"/>
          <w:lang w:eastAsia="pl-PL"/>
        </w:rPr>
        <w:t>w Bazie Konkurencyjności.</w:t>
      </w:r>
    </w:p>
    <w:p w14:paraId="2FED21A8" w14:textId="77777777" w:rsidR="009A5E62" w:rsidRPr="00641E8A" w:rsidRDefault="009A5E62" w:rsidP="00433CAD">
      <w:pPr>
        <w:pStyle w:val="Akapitzlist"/>
        <w:widowControl w:val="0"/>
        <w:spacing w:after="0" w:line="276" w:lineRule="auto"/>
        <w:ind w:left="0"/>
        <w:jc w:val="both"/>
        <w:rPr>
          <w:rFonts w:eastAsia="Times New Roman" w:cstheme="minorHAnsi"/>
          <w:lang w:eastAsia="pl-PL"/>
        </w:rPr>
      </w:pPr>
    </w:p>
    <w:p w14:paraId="2E7403E2" w14:textId="77777777" w:rsidR="009A5E62" w:rsidRPr="00641E8A" w:rsidRDefault="009A5E62" w:rsidP="00433CAD">
      <w:pPr>
        <w:pStyle w:val="Akapitzlist"/>
        <w:widowControl w:val="0"/>
        <w:spacing w:after="0" w:line="276" w:lineRule="auto"/>
        <w:ind w:left="0"/>
        <w:jc w:val="both"/>
        <w:rPr>
          <w:rFonts w:cstheme="minorHAnsi"/>
        </w:rPr>
      </w:pPr>
    </w:p>
    <w:p w14:paraId="33C5B983" w14:textId="77777777" w:rsidR="009A5E62" w:rsidRPr="00641E8A" w:rsidRDefault="009A5E62" w:rsidP="00433CAD">
      <w:pPr>
        <w:widowControl w:val="0"/>
        <w:spacing w:after="60" w:line="276" w:lineRule="auto"/>
        <w:jc w:val="both"/>
        <w:rPr>
          <w:rFonts w:cstheme="minorHAnsi"/>
          <w:b/>
        </w:rPr>
      </w:pPr>
      <w:r w:rsidRPr="00641E8A">
        <w:rPr>
          <w:rFonts w:cstheme="minorHAnsi"/>
          <w:b/>
        </w:rPr>
        <w:t xml:space="preserve">Postanowienia ogólne </w:t>
      </w:r>
    </w:p>
    <w:p w14:paraId="436AAA36" w14:textId="77777777" w:rsidR="009A5E62" w:rsidRPr="00641E8A" w:rsidRDefault="009A5E62" w:rsidP="00433CAD">
      <w:pPr>
        <w:pStyle w:val="Akapitzlist"/>
        <w:numPr>
          <w:ilvl w:val="0"/>
          <w:numId w:val="3"/>
        </w:numPr>
        <w:spacing w:after="100" w:afterAutospacing="1" w:line="276" w:lineRule="auto"/>
        <w:ind w:left="709"/>
        <w:jc w:val="both"/>
        <w:textAlignment w:val="baseline"/>
        <w:rPr>
          <w:rFonts w:eastAsia="Times New Roman" w:cstheme="minorHAnsi"/>
          <w:strike/>
          <w:lang w:eastAsia="pl-PL"/>
        </w:rPr>
      </w:pPr>
      <w:r w:rsidRPr="00641E8A">
        <w:rPr>
          <w:rFonts w:cstheme="minorHAnsi"/>
        </w:rPr>
        <w:t xml:space="preserve">Zamawiający wymaga, aby oferta była ważna 90 dni. </w:t>
      </w:r>
    </w:p>
    <w:p w14:paraId="6E10A85D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 xml:space="preserve">Zamawiający zastrzega sobie prawo do unieważnienia postępowania bez podania przyczyny. </w:t>
      </w:r>
    </w:p>
    <w:p w14:paraId="1017F452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 xml:space="preserve">W przypadku unieważnienia postępowania o zamówienie wykonawcom nie przysługuje roszczenie o zwrot kosztów uczestnictwa w postępowaniu. </w:t>
      </w:r>
    </w:p>
    <w:p w14:paraId="02049D13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 xml:space="preserve">Złożenie wniosku o rejestrację w postepowaniu lub oferty jest równoznaczne z przyjęciem bez zastrzeżeń wszystkich warunków postępowania. </w:t>
      </w:r>
    </w:p>
    <w:p w14:paraId="060A869F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 xml:space="preserve">Odstąpienie przez Zamawiającego od zawarcia umowy w przypadku zawiadomienia wykonawcy o wyborze jego oferty nie może być podstawą roszczeń poniesionych kosztów udziału w postępowaniu. </w:t>
      </w:r>
    </w:p>
    <w:p w14:paraId="5CDB3563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W toku dokonywania oceny złożonych wniosków Zamawiający może żądać udzielenia przez wykonawców wyjaśnień dotyczących treści złożonych przez nich dokumentów.</w:t>
      </w:r>
    </w:p>
    <w:p w14:paraId="609C0D91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Jeżeli wniosek nie zawiera wszystkich wymaganych elementów, Zamawiający może w uzasadnionych przypadkach wezwać Wykonawcę do jego uzupełnienia.</w:t>
      </w:r>
    </w:p>
    <w:p w14:paraId="5DC152D5" w14:textId="77777777" w:rsidR="009A5E62" w:rsidRPr="00641E8A" w:rsidRDefault="009A5E62" w:rsidP="00433CAD">
      <w:pPr>
        <w:pStyle w:val="Akapitzlist"/>
        <w:widowControl w:val="0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  <w:iCs/>
        </w:rPr>
        <w:t>Zamawiający rezerwuje prawo do nagrywania dźwięku podczas spotkań technicznych z dostawcami. Przesłanie oferty będzie traktowane jako udzielenie zgody na nagrywanie spotkań.</w:t>
      </w:r>
    </w:p>
    <w:p w14:paraId="5C93A971" w14:textId="77777777" w:rsidR="009A5E62" w:rsidRPr="00641E8A" w:rsidRDefault="009A5E62" w:rsidP="00433CAD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Zamawiający zastrzega sobie prawo negocjacji ceny ze wszystkimi oferentami.</w:t>
      </w:r>
    </w:p>
    <w:p w14:paraId="27D83BC1" w14:textId="77777777" w:rsidR="009A5E62" w:rsidRDefault="009A5E62" w:rsidP="00433CAD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lastRenderedPageBreak/>
        <w:t xml:space="preserve">Zamawiający w wyniku rozstrzygnięcia przedmiotu postępowania zawrze umowę z wybranymi Dostawcami. </w:t>
      </w:r>
    </w:p>
    <w:p w14:paraId="240F2971" w14:textId="77777777" w:rsidR="00C1198C" w:rsidRPr="00183293" w:rsidRDefault="00C1198C" w:rsidP="00183293">
      <w:pPr>
        <w:numPr>
          <w:ilvl w:val="0"/>
          <w:numId w:val="3"/>
        </w:numPr>
        <w:spacing w:after="0" w:line="240" w:lineRule="auto"/>
        <w:ind w:left="711"/>
        <w:rPr>
          <w:rFonts w:eastAsia="Times New Roman"/>
        </w:rPr>
      </w:pPr>
      <w:r w:rsidRPr="00183293">
        <w:rPr>
          <w:rFonts w:eastAsia="Times New Roman"/>
        </w:rPr>
        <w:t>Odstąpienie przez Oferenta od zawarcia umowy w przypadku zawiadomienia wykonawcy o wyborze jego oferty może być podstawą roszczeń Zamawiającego, w tym z tytułu poniesionej szkody (związanej m.in. z opóźnianiami wynikającymi z konieczności wyboru innego wykonawcy). W takich przydatkach przepisy Kodeksu Cywilnego stosuje się odpowiednio. W związku z powyższym Zamawiający zwraca się z prośbą o składanie przemyślanych ofert, zgodnych ze wszystkimi oczekiwanymi warunkami zamówienia, mając na uwadze wskazane przewidywalne terminy jego realizacji.</w:t>
      </w:r>
    </w:p>
    <w:p w14:paraId="712659F9" w14:textId="710D0C50" w:rsidR="00C1198C" w:rsidRPr="00E36E41" w:rsidRDefault="00C1198C" w:rsidP="00183293">
      <w:pPr>
        <w:numPr>
          <w:ilvl w:val="0"/>
          <w:numId w:val="3"/>
        </w:numPr>
        <w:spacing w:after="0" w:line="240" w:lineRule="auto"/>
        <w:ind w:left="711"/>
        <w:rPr>
          <w:rFonts w:cstheme="minorHAnsi"/>
        </w:rPr>
      </w:pPr>
      <w:r w:rsidRPr="00183293">
        <w:rPr>
          <w:rFonts w:eastAsia="Times New Roman"/>
        </w:rPr>
        <w:t>Zamawiający zachowuje prawo do wykluczenia z postępowania oferenta, który w innym przetargu Adamed uchylił się od zawarcia umowy</w:t>
      </w:r>
      <w:r w:rsidR="00E36E41" w:rsidRPr="00E36E41">
        <w:rPr>
          <w:rFonts w:cstheme="minorHAnsi"/>
        </w:rPr>
        <w:t>.</w:t>
      </w:r>
    </w:p>
    <w:p w14:paraId="2D791D93" w14:textId="77777777" w:rsidR="009A5E62" w:rsidRPr="00641E8A" w:rsidRDefault="009A5E62" w:rsidP="00433CAD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Warunki zmiany umowy:</w:t>
      </w:r>
    </w:p>
    <w:p w14:paraId="1A706EAA" w14:textId="77777777" w:rsidR="009A5E62" w:rsidRPr="00641E8A" w:rsidRDefault="009A5E62" w:rsidP="00433CAD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Zamawiający przewiduje możliwość wprowadzenia istotnych zmian umowy zawartej w wyniku przeprowadzonego postępowania o udzielenie zamówienia w stosunku do treści oferty, na podstawie której dokonano wyboru wykonawcy, w przypadku ziszczenia się konieczności zmiany wskazanego w ofercie/umówionego zakresu dostawy wynikającej z:</w:t>
      </w:r>
    </w:p>
    <w:p w14:paraId="4BE68655" w14:textId="3E74512B" w:rsidR="000A0F27" w:rsidRPr="00641E8A" w:rsidRDefault="000A0F27" w:rsidP="00641E8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1443"/>
        <w:jc w:val="both"/>
        <w:textAlignment w:val="baseline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Ilości przekazywanych serii do badań</w:t>
      </w:r>
      <w:r w:rsidR="008C6DF5">
        <w:rPr>
          <w:rFonts w:eastAsia="Times New Roman" w:cstheme="minorHAnsi"/>
          <w:lang w:eastAsia="pl-PL"/>
        </w:rPr>
        <w:t>,</w:t>
      </w:r>
    </w:p>
    <w:p w14:paraId="65BC4923" w14:textId="0F5AA37C" w:rsidR="000A0F27" w:rsidRPr="00641E8A" w:rsidRDefault="000A0F27" w:rsidP="00641E8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1443"/>
        <w:jc w:val="both"/>
        <w:textAlignment w:val="baseline"/>
        <w:rPr>
          <w:rFonts w:eastAsia="Times New Roman" w:cstheme="minorHAnsi"/>
          <w:lang w:eastAsia="pl-PL"/>
        </w:rPr>
      </w:pPr>
      <w:r w:rsidRPr="00641E8A">
        <w:rPr>
          <w:rFonts w:eastAsia="Times New Roman" w:cstheme="minorHAnsi"/>
          <w:lang w:eastAsia="pl-PL"/>
        </w:rPr>
        <w:t>Zmiany harmonogramu przekazywania prób do badań</w:t>
      </w:r>
      <w:r w:rsidR="008C6DF5">
        <w:rPr>
          <w:rFonts w:eastAsia="Times New Roman" w:cstheme="minorHAnsi"/>
          <w:lang w:eastAsia="pl-PL"/>
        </w:rPr>
        <w:t>,</w:t>
      </w:r>
    </w:p>
    <w:p w14:paraId="034EB0E4" w14:textId="233E7CC1" w:rsidR="000A0F27" w:rsidRPr="00641E8A" w:rsidRDefault="000A0F27" w:rsidP="00641E8A">
      <w:pPr>
        <w:pStyle w:val="Akapitzlist"/>
        <w:numPr>
          <w:ilvl w:val="0"/>
          <w:numId w:val="29"/>
        </w:numPr>
        <w:spacing w:before="100" w:beforeAutospacing="1" w:after="100" w:afterAutospacing="1" w:line="240" w:lineRule="auto"/>
        <w:ind w:left="1443"/>
        <w:jc w:val="both"/>
        <w:textAlignment w:val="baseline"/>
        <w:rPr>
          <w:rFonts w:eastAsia="Times New Roman" w:cstheme="minorHAnsi"/>
          <w:color w:val="00B0F0"/>
          <w:lang w:eastAsia="pl-PL"/>
        </w:rPr>
      </w:pPr>
      <w:r w:rsidRPr="00641E8A">
        <w:rPr>
          <w:rFonts w:eastAsia="Times New Roman" w:cstheme="minorHAnsi"/>
          <w:lang w:eastAsia="pl-PL"/>
        </w:rPr>
        <w:t>Zamknięcia rozwoju projektu w Adamed Pharma S.A</w:t>
      </w:r>
      <w:r w:rsidRPr="00641E8A">
        <w:rPr>
          <w:rFonts w:eastAsia="Times New Roman" w:cstheme="minorHAnsi"/>
          <w:color w:val="00B0F0"/>
          <w:lang w:eastAsia="pl-PL"/>
        </w:rPr>
        <w:t>.</w:t>
      </w:r>
      <w:r w:rsidR="008C6DF5">
        <w:rPr>
          <w:rFonts w:eastAsia="Times New Roman" w:cstheme="minorHAnsi"/>
          <w:color w:val="00B0F0"/>
          <w:lang w:eastAsia="pl-PL"/>
        </w:rPr>
        <w:t>.</w:t>
      </w:r>
    </w:p>
    <w:p w14:paraId="092C23C2" w14:textId="035B84F9" w:rsidR="009A5E62" w:rsidRPr="00641E8A" w:rsidRDefault="009A5E62" w:rsidP="00433CAD">
      <w:pPr>
        <w:spacing w:after="0" w:line="276" w:lineRule="auto"/>
        <w:ind w:left="709"/>
        <w:jc w:val="both"/>
        <w:rPr>
          <w:rFonts w:cstheme="minorHAnsi"/>
        </w:rPr>
      </w:pPr>
      <w:r w:rsidRPr="00641E8A">
        <w:rPr>
          <w:rFonts w:cstheme="minorHAnsi"/>
        </w:rPr>
        <w:t>Wszelkie zmiany i uzupełnienia do umowy zawartej z wybranym Wykonawcą będą dokonywane w formie pisemnych aneksów do umowy podpisanych przez obie strony, pod rygorem nieważności.</w:t>
      </w:r>
    </w:p>
    <w:p w14:paraId="7D647B4D" w14:textId="77777777" w:rsidR="009A5E62" w:rsidRPr="00641E8A" w:rsidRDefault="009A5E62" w:rsidP="00433CAD">
      <w:pPr>
        <w:pStyle w:val="Akapitzlist"/>
        <w:spacing w:after="0" w:line="276" w:lineRule="auto"/>
        <w:ind w:left="0"/>
        <w:jc w:val="both"/>
        <w:rPr>
          <w:rFonts w:cstheme="minorHAnsi"/>
        </w:rPr>
      </w:pPr>
    </w:p>
    <w:p w14:paraId="12DB3129" w14:textId="77777777" w:rsidR="009A5E62" w:rsidRPr="00C068ED" w:rsidRDefault="009A5E62" w:rsidP="00433CAD">
      <w:pPr>
        <w:widowControl w:val="0"/>
        <w:spacing w:after="60" w:line="276" w:lineRule="auto"/>
        <w:jc w:val="both"/>
        <w:rPr>
          <w:rFonts w:cstheme="minorHAnsi"/>
        </w:rPr>
      </w:pPr>
      <w:r w:rsidRPr="00C068ED">
        <w:rPr>
          <w:rFonts w:cstheme="minorHAnsi"/>
          <w:b/>
        </w:rPr>
        <w:t xml:space="preserve">Współpraca i komunikacja w trakcie przygotowania odpowiedzi </w:t>
      </w:r>
    </w:p>
    <w:p w14:paraId="5631357C" w14:textId="3F3A8EBC" w:rsidR="00C1198C" w:rsidRPr="00183293" w:rsidRDefault="00EA3F1E" w:rsidP="001271F9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83293">
        <w:rPr>
          <w:rFonts w:eastAsia="Times New Roman" w:cstheme="minorHAnsi"/>
          <w:lang w:eastAsia="pl-PL"/>
        </w:rPr>
        <w:t>Wszelkie pytania należy składać za pomocą Bazy Konkurencyjności</w:t>
      </w:r>
      <w:r w:rsidR="004B7768">
        <w:rPr>
          <w:rFonts w:eastAsia="Times New Roman" w:cstheme="minorHAnsi"/>
          <w:lang w:eastAsia="pl-PL"/>
        </w:rPr>
        <w:t xml:space="preserve">, </w:t>
      </w:r>
      <w:r w:rsidR="001271F9" w:rsidRPr="00183293">
        <w:rPr>
          <w:rFonts w:eastAsia="Times New Roman" w:cstheme="minorHAnsi"/>
          <w:lang w:eastAsia="pl-PL"/>
        </w:rPr>
        <w:t>z z</w:t>
      </w:r>
      <w:r w:rsidR="00C1198C" w:rsidRPr="00183293">
        <w:rPr>
          <w:rFonts w:eastAsia="Times New Roman" w:cstheme="minorHAnsi"/>
          <w:sz w:val="24"/>
          <w:szCs w:val="24"/>
          <w:lang w:eastAsia="pl-PL"/>
        </w:rPr>
        <w:t>astrzeżeniem pkt 2 sekcji Termin i sposób przygotowanie oferty niniejszego Zapytania.</w:t>
      </w:r>
    </w:p>
    <w:p w14:paraId="38F7B3E7" w14:textId="2CD5E2A2" w:rsidR="00EA3F1E" w:rsidRPr="00183293" w:rsidRDefault="00EA3F1E" w:rsidP="000D7CBF">
      <w:pPr>
        <w:pStyle w:val="Akapitzlist"/>
        <w:numPr>
          <w:ilvl w:val="0"/>
          <w:numId w:val="23"/>
        </w:num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183293">
        <w:rPr>
          <w:rFonts w:eastAsia="Times New Roman" w:cstheme="minorHAnsi"/>
          <w:lang w:eastAsia="pl-PL"/>
        </w:rPr>
        <w:t>Wszelkie odpowiedzi będą udzielane Wykonawcom za pomocą Bazy Konkurencyjności przedmiotowego postępowania.  </w:t>
      </w:r>
    </w:p>
    <w:p w14:paraId="0E434FF5" w14:textId="77777777" w:rsidR="00C227FC" w:rsidRPr="00641E8A" w:rsidRDefault="00C227FC" w:rsidP="00433CAD">
      <w:pPr>
        <w:spacing w:line="276" w:lineRule="auto"/>
        <w:rPr>
          <w:rFonts w:cstheme="minorHAnsi"/>
        </w:rPr>
      </w:pPr>
    </w:p>
    <w:sectPr w:rsidR="00C227FC" w:rsidRPr="00641E8A" w:rsidSect="00B14671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7F013" w14:textId="77777777" w:rsidR="00F95ABD" w:rsidRDefault="00F95ABD">
      <w:pPr>
        <w:spacing w:after="0" w:line="240" w:lineRule="auto"/>
      </w:pPr>
      <w:r>
        <w:separator/>
      </w:r>
    </w:p>
  </w:endnote>
  <w:endnote w:type="continuationSeparator" w:id="0">
    <w:p w14:paraId="1B89B89D" w14:textId="77777777" w:rsidR="00F95ABD" w:rsidRDefault="00F9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07521" w14:textId="77777777" w:rsidR="00F95ABD" w:rsidRDefault="00F95ABD">
      <w:pPr>
        <w:spacing w:after="0" w:line="240" w:lineRule="auto"/>
      </w:pPr>
      <w:r>
        <w:separator/>
      </w:r>
    </w:p>
  </w:footnote>
  <w:footnote w:type="continuationSeparator" w:id="0">
    <w:p w14:paraId="3B7AE71B" w14:textId="77777777" w:rsidR="00F95ABD" w:rsidRDefault="00F9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3E769" w14:textId="4451EF70" w:rsidR="009A5E62" w:rsidRDefault="0049271D" w:rsidP="009B51C1">
    <w:pPr>
      <w:pStyle w:val="Nagwek"/>
      <w:jc w:val="center"/>
    </w:pPr>
    <w:r w:rsidRPr="005E3163">
      <w:rPr>
        <w:noProof/>
      </w:rPr>
      <w:drawing>
        <wp:inline distT="0" distB="0" distL="0" distR="0" wp14:anchorId="5C495307" wp14:editId="58A2995A">
          <wp:extent cx="5760720" cy="869950"/>
          <wp:effectExtent l="0" t="0" r="0" b="0"/>
          <wp:docPr id="493496384" name="Obraz 493496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17945" w14:textId="77777777" w:rsidR="009A5E62" w:rsidRDefault="009A5E62" w:rsidP="009B51C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C43FF" w14:textId="5AFC6BB1" w:rsidR="009A5E62" w:rsidRDefault="0049271D" w:rsidP="009B51C1">
    <w:pPr>
      <w:pStyle w:val="Nagwek"/>
      <w:jc w:val="center"/>
    </w:pPr>
    <w:r w:rsidRPr="005E3163">
      <w:rPr>
        <w:noProof/>
      </w:rPr>
      <w:drawing>
        <wp:inline distT="0" distB="0" distL="0" distR="0" wp14:anchorId="20BC583E" wp14:editId="60B2BDCF">
          <wp:extent cx="5760720" cy="869950"/>
          <wp:effectExtent l="0" t="0" r="0" b="0"/>
          <wp:docPr id="1756052588" name="Obraz 1756052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CB3"/>
    <w:multiLevelType w:val="hybridMultilevel"/>
    <w:tmpl w:val="56767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A73"/>
    <w:multiLevelType w:val="hybridMultilevel"/>
    <w:tmpl w:val="16C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64F"/>
    <w:multiLevelType w:val="multilevel"/>
    <w:tmpl w:val="A642E17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482055"/>
    <w:multiLevelType w:val="hybridMultilevel"/>
    <w:tmpl w:val="1048D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4654"/>
    <w:multiLevelType w:val="multilevel"/>
    <w:tmpl w:val="A03A7C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22B32"/>
    <w:multiLevelType w:val="multilevel"/>
    <w:tmpl w:val="EE8AD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color w:val="auto"/>
      </w:rPr>
    </w:lvl>
  </w:abstractNum>
  <w:abstractNum w:abstractNumId="7" w15:restartNumberingAfterBreak="0">
    <w:nsid w:val="17BA01EA"/>
    <w:multiLevelType w:val="hybridMultilevel"/>
    <w:tmpl w:val="9D6A55BA"/>
    <w:lvl w:ilvl="0" w:tplc="584E08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7EA3"/>
    <w:multiLevelType w:val="hybridMultilevel"/>
    <w:tmpl w:val="7A0804D0"/>
    <w:lvl w:ilvl="0" w:tplc="ECC4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37D06"/>
    <w:multiLevelType w:val="hybridMultilevel"/>
    <w:tmpl w:val="55D4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550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6345AE"/>
    <w:multiLevelType w:val="hybridMultilevel"/>
    <w:tmpl w:val="F2509D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F550A"/>
    <w:multiLevelType w:val="multilevel"/>
    <w:tmpl w:val="2C3A3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907D8"/>
    <w:multiLevelType w:val="hybridMultilevel"/>
    <w:tmpl w:val="DC1CCD8E"/>
    <w:lvl w:ilvl="0" w:tplc="6B5C0F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F2B77"/>
    <w:multiLevelType w:val="hybridMultilevel"/>
    <w:tmpl w:val="18F6D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107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E0061D"/>
    <w:multiLevelType w:val="hybridMultilevel"/>
    <w:tmpl w:val="5958F6A4"/>
    <w:lvl w:ilvl="0" w:tplc="81FE82A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A1328"/>
    <w:multiLevelType w:val="hybridMultilevel"/>
    <w:tmpl w:val="50EA84FC"/>
    <w:lvl w:ilvl="0" w:tplc="5C408C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A1699"/>
    <w:multiLevelType w:val="hybridMultilevel"/>
    <w:tmpl w:val="5C2806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D1880"/>
    <w:multiLevelType w:val="hybridMultilevel"/>
    <w:tmpl w:val="2390B71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8D4B67"/>
    <w:multiLevelType w:val="hybridMultilevel"/>
    <w:tmpl w:val="F14ED7D0"/>
    <w:lvl w:ilvl="0" w:tplc="04150019">
      <w:start w:val="1"/>
      <w:numFmt w:val="lowerLetter"/>
      <w:lvlText w:val="%1.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1" w15:restartNumberingAfterBreak="0">
    <w:nsid w:val="52D50DE2"/>
    <w:multiLevelType w:val="hybridMultilevel"/>
    <w:tmpl w:val="70F0447E"/>
    <w:lvl w:ilvl="0" w:tplc="463822EA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F446"/>
    <w:multiLevelType w:val="hybridMultilevel"/>
    <w:tmpl w:val="FFFFFFFF"/>
    <w:lvl w:ilvl="0" w:tplc="5BB829EA">
      <w:start w:val="1"/>
      <w:numFmt w:val="decimal"/>
      <w:lvlText w:val="%1."/>
      <w:lvlJc w:val="left"/>
      <w:pPr>
        <w:ind w:left="720" w:hanging="360"/>
      </w:pPr>
    </w:lvl>
    <w:lvl w:ilvl="1" w:tplc="664E4D7C">
      <w:start w:val="1"/>
      <w:numFmt w:val="lowerLetter"/>
      <w:lvlText w:val="%2."/>
      <w:lvlJc w:val="left"/>
      <w:pPr>
        <w:ind w:left="1440" w:hanging="360"/>
      </w:pPr>
    </w:lvl>
    <w:lvl w:ilvl="2" w:tplc="278A2110">
      <w:start w:val="1"/>
      <w:numFmt w:val="lowerRoman"/>
      <w:lvlText w:val="%3."/>
      <w:lvlJc w:val="right"/>
      <w:pPr>
        <w:ind w:left="2160" w:hanging="180"/>
      </w:pPr>
    </w:lvl>
    <w:lvl w:ilvl="3" w:tplc="BD4CBB62">
      <w:start w:val="1"/>
      <w:numFmt w:val="decimal"/>
      <w:lvlText w:val="%4."/>
      <w:lvlJc w:val="left"/>
      <w:pPr>
        <w:ind w:left="2880" w:hanging="360"/>
      </w:pPr>
    </w:lvl>
    <w:lvl w:ilvl="4" w:tplc="2642FF70">
      <w:start w:val="1"/>
      <w:numFmt w:val="lowerLetter"/>
      <w:lvlText w:val="%5."/>
      <w:lvlJc w:val="left"/>
      <w:pPr>
        <w:ind w:left="3600" w:hanging="360"/>
      </w:pPr>
    </w:lvl>
    <w:lvl w:ilvl="5" w:tplc="054EE928">
      <w:start w:val="1"/>
      <w:numFmt w:val="lowerRoman"/>
      <w:lvlText w:val="%6."/>
      <w:lvlJc w:val="right"/>
      <w:pPr>
        <w:ind w:left="4320" w:hanging="180"/>
      </w:pPr>
    </w:lvl>
    <w:lvl w:ilvl="6" w:tplc="44640B08">
      <w:start w:val="1"/>
      <w:numFmt w:val="decimal"/>
      <w:lvlText w:val="%7."/>
      <w:lvlJc w:val="left"/>
      <w:pPr>
        <w:ind w:left="5040" w:hanging="360"/>
      </w:pPr>
    </w:lvl>
    <w:lvl w:ilvl="7" w:tplc="7D627C44">
      <w:start w:val="1"/>
      <w:numFmt w:val="lowerLetter"/>
      <w:lvlText w:val="%8."/>
      <w:lvlJc w:val="left"/>
      <w:pPr>
        <w:ind w:left="5760" w:hanging="360"/>
      </w:pPr>
    </w:lvl>
    <w:lvl w:ilvl="8" w:tplc="A3E04B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D1D76"/>
    <w:multiLevelType w:val="multilevel"/>
    <w:tmpl w:val="F1062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F50C1"/>
    <w:multiLevelType w:val="multilevel"/>
    <w:tmpl w:val="062C0AA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color w:val="auto"/>
      </w:rPr>
    </w:lvl>
  </w:abstractNum>
  <w:abstractNum w:abstractNumId="26" w15:restartNumberingAfterBreak="0">
    <w:nsid w:val="64D220A3"/>
    <w:multiLevelType w:val="hybridMultilevel"/>
    <w:tmpl w:val="8A6CBE28"/>
    <w:lvl w:ilvl="0" w:tplc="7FBA7B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23E6"/>
    <w:multiLevelType w:val="hybridMultilevel"/>
    <w:tmpl w:val="FFFFFFFF"/>
    <w:lvl w:ilvl="0" w:tplc="B49AF4CE">
      <w:start w:val="2"/>
      <w:numFmt w:val="decimal"/>
      <w:lvlText w:val="%1."/>
      <w:lvlJc w:val="left"/>
      <w:pPr>
        <w:ind w:left="720" w:hanging="360"/>
      </w:pPr>
    </w:lvl>
    <w:lvl w:ilvl="1" w:tplc="463822EA">
      <w:start w:val="1"/>
      <w:numFmt w:val="lowerLetter"/>
      <w:lvlText w:val="%2."/>
      <w:lvlJc w:val="left"/>
      <w:pPr>
        <w:ind w:left="1440" w:hanging="360"/>
      </w:pPr>
    </w:lvl>
    <w:lvl w:ilvl="2" w:tplc="ED4AC41C">
      <w:start w:val="1"/>
      <w:numFmt w:val="lowerRoman"/>
      <w:lvlText w:val="%3."/>
      <w:lvlJc w:val="right"/>
      <w:pPr>
        <w:ind w:left="2160" w:hanging="180"/>
      </w:pPr>
    </w:lvl>
    <w:lvl w:ilvl="3" w:tplc="E4644F40">
      <w:start w:val="1"/>
      <w:numFmt w:val="decimal"/>
      <w:lvlText w:val="%4."/>
      <w:lvlJc w:val="left"/>
      <w:pPr>
        <w:ind w:left="2880" w:hanging="360"/>
      </w:pPr>
    </w:lvl>
    <w:lvl w:ilvl="4" w:tplc="AB742B88">
      <w:start w:val="1"/>
      <w:numFmt w:val="lowerLetter"/>
      <w:lvlText w:val="%5."/>
      <w:lvlJc w:val="left"/>
      <w:pPr>
        <w:ind w:left="3600" w:hanging="360"/>
      </w:pPr>
    </w:lvl>
    <w:lvl w:ilvl="5" w:tplc="6ABAC772">
      <w:start w:val="1"/>
      <w:numFmt w:val="lowerRoman"/>
      <w:lvlText w:val="%6."/>
      <w:lvlJc w:val="right"/>
      <w:pPr>
        <w:ind w:left="4320" w:hanging="180"/>
      </w:pPr>
    </w:lvl>
    <w:lvl w:ilvl="6" w:tplc="1BA60E30">
      <w:start w:val="1"/>
      <w:numFmt w:val="decimal"/>
      <w:lvlText w:val="%7."/>
      <w:lvlJc w:val="left"/>
      <w:pPr>
        <w:ind w:left="5040" w:hanging="360"/>
      </w:pPr>
    </w:lvl>
    <w:lvl w:ilvl="7" w:tplc="A49A374E">
      <w:start w:val="1"/>
      <w:numFmt w:val="lowerLetter"/>
      <w:lvlText w:val="%8."/>
      <w:lvlJc w:val="left"/>
      <w:pPr>
        <w:ind w:left="5760" w:hanging="360"/>
      </w:pPr>
    </w:lvl>
    <w:lvl w:ilvl="8" w:tplc="24D2E6D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F5049"/>
    <w:multiLevelType w:val="multilevel"/>
    <w:tmpl w:val="9D624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CD0483"/>
    <w:multiLevelType w:val="hybridMultilevel"/>
    <w:tmpl w:val="1A381C36"/>
    <w:lvl w:ilvl="0" w:tplc="9572DA4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5847310">
    <w:abstractNumId w:val="10"/>
  </w:num>
  <w:num w:numId="2" w16cid:durableId="788401026">
    <w:abstractNumId w:val="3"/>
  </w:num>
  <w:num w:numId="3" w16cid:durableId="583491232">
    <w:abstractNumId w:val="2"/>
  </w:num>
  <w:num w:numId="4" w16cid:durableId="1813667141">
    <w:abstractNumId w:val="15"/>
  </w:num>
  <w:num w:numId="5" w16cid:durableId="1987313748">
    <w:abstractNumId w:val="16"/>
  </w:num>
  <w:num w:numId="6" w16cid:durableId="8361888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9113332">
    <w:abstractNumId w:val="14"/>
  </w:num>
  <w:num w:numId="8" w16cid:durableId="1612469026">
    <w:abstractNumId w:val="24"/>
  </w:num>
  <w:num w:numId="9" w16cid:durableId="282857023">
    <w:abstractNumId w:val="4"/>
  </w:num>
  <w:num w:numId="10" w16cid:durableId="204433">
    <w:abstractNumId w:val="25"/>
  </w:num>
  <w:num w:numId="11" w16cid:durableId="1438790094">
    <w:abstractNumId w:val="5"/>
  </w:num>
  <w:num w:numId="12" w16cid:durableId="1381633671">
    <w:abstractNumId w:val="6"/>
  </w:num>
  <w:num w:numId="13" w16cid:durableId="614558828">
    <w:abstractNumId w:val="22"/>
  </w:num>
  <w:num w:numId="14" w16cid:durableId="1502158254">
    <w:abstractNumId w:val="27"/>
  </w:num>
  <w:num w:numId="15" w16cid:durableId="1493179171">
    <w:abstractNumId w:val="23"/>
  </w:num>
  <w:num w:numId="16" w16cid:durableId="1382286356">
    <w:abstractNumId w:val="11"/>
  </w:num>
  <w:num w:numId="17" w16cid:durableId="1575899122">
    <w:abstractNumId w:val="20"/>
  </w:num>
  <w:num w:numId="18" w16cid:durableId="1992709304">
    <w:abstractNumId w:val="18"/>
  </w:num>
  <w:num w:numId="19" w16cid:durableId="1891840500">
    <w:abstractNumId w:val="7"/>
  </w:num>
  <w:num w:numId="20" w16cid:durableId="1731072873">
    <w:abstractNumId w:val="21"/>
  </w:num>
  <w:num w:numId="21" w16cid:durableId="995187598">
    <w:abstractNumId w:val="12"/>
  </w:num>
  <w:num w:numId="22" w16cid:durableId="1279527296">
    <w:abstractNumId w:val="9"/>
  </w:num>
  <w:num w:numId="23" w16cid:durableId="1141458056">
    <w:abstractNumId w:val="26"/>
  </w:num>
  <w:num w:numId="24" w16cid:durableId="1945188965">
    <w:abstractNumId w:val="1"/>
  </w:num>
  <w:num w:numId="25" w16cid:durableId="1249390863">
    <w:abstractNumId w:val="28"/>
  </w:num>
  <w:num w:numId="26" w16cid:durableId="2080472724">
    <w:abstractNumId w:val="0"/>
  </w:num>
  <w:num w:numId="27" w16cid:durableId="795635387">
    <w:abstractNumId w:val="19"/>
  </w:num>
  <w:num w:numId="28" w16cid:durableId="432479446">
    <w:abstractNumId w:val="13"/>
  </w:num>
  <w:num w:numId="29" w16cid:durableId="1234707083">
    <w:abstractNumId w:val="29"/>
  </w:num>
  <w:num w:numId="30" w16cid:durableId="188220917">
    <w:abstractNumId w:val="8"/>
  </w:num>
  <w:num w:numId="31" w16cid:durableId="73166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62"/>
    <w:rsid w:val="00017D77"/>
    <w:rsid w:val="00037A15"/>
    <w:rsid w:val="000429EF"/>
    <w:rsid w:val="0006649F"/>
    <w:rsid w:val="000729DE"/>
    <w:rsid w:val="000749A3"/>
    <w:rsid w:val="000A0CE4"/>
    <w:rsid w:val="000A0F27"/>
    <w:rsid w:val="000A5292"/>
    <w:rsid w:val="000D1778"/>
    <w:rsid w:val="000D7CBF"/>
    <w:rsid w:val="000E314C"/>
    <w:rsid w:val="00102C38"/>
    <w:rsid w:val="00103A8F"/>
    <w:rsid w:val="00117249"/>
    <w:rsid w:val="0012271A"/>
    <w:rsid w:val="001271F9"/>
    <w:rsid w:val="001443CB"/>
    <w:rsid w:val="0015665A"/>
    <w:rsid w:val="00156E34"/>
    <w:rsid w:val="00157E4F"/>
    <w:rsid w:val="00163681"/>
    <w:rsid w:val="00164845"/>
    <w:rsid w:val="001778DD"/>
    <w:rsid w:val="00183293"/>
    <w:rsid w:val="00184C4F"/>
    <w:rsid w:val="00191AAD"/>
    <w:rsid w:val="00192237"/>
    <w:rsid w:val="00193517"/>
    <w:rsid w:val="001956B9"/>
    <w:rsid w:val="001A094D"/>
    <w:rsid w:val="001C64BA"/>
    <w:rsid w:val="001C6D12"/>
    <w:rsid w:val="001D349A"/>
    <w:rsid w:val="001D697E"/>
    <w:rsid w:val="001D7E6D"/>
    <w:rsid w:val="001E4F53"/>
    <w:rsid w:val="001F2963"/>
    <w:rsid w:val="001F719B"/>
    <w:rsid w:val="0021143E"/>
    <w:rsid w:val="002573A2"/>
    <w:rsid w:val="0026170C"/>
    <w:rsid w:val="00270610"/>
    <w:rsid w:val="00272646"/>
    <w:rsid w:val="00282E8D"/>
    <w:rsid w:val="00283498"/>
    <w:rsid w:val="00284155"/>
    <w:rsid w:val="0028461C"/>
    <w:rsid w:val="00284EAF"/>
    <w:rsid w:val="002855ED"/>
    <w:rsid w:val="0029027D"/>
    <w:rsid w:val="002904D9"/>
    <w:rsid w:val="0029202D"/>
    <w:rsid w:val="002A6083"/>
    <w:rsid w:val="002C180B"/>
    <w:rsid w:val="002D1789"/>
    <w:rsid w:val="002E1D4D"/>
    <w:rsid w:val="002F0C8D"/>
    <w:rsid w:val="003116B3"/>
    <w:rsid w:val="00322F7C"/>
    <w:rsid w:val="00324112"/>
    <w:rsid w:val="00326E6F"/>
    <w:rsid w:val="003315F9"/>
    <w:rsid w:val="00333DE9"/>
    <w:rsid w:val="0033680A"/>
    <w:rsid w:val="00342438"/>
    <w:rsid w:val="00344F9C"/>
    <w:rsid w:val="00354F4C"/>
    <w:rsid w:val="00356BC6"/>
    <w:rsid w:val="0037001F"/>
    <w:rsid w:val="0038249B"/>
    <w:rsid w:val="00391122"/>
    <w:rsid w:val="00395D23"/>
    <w:rsid w:val="003A03DA"/>
    <w:rsid w:val="003B2FFF"/>
    <w:rsid w:val="003D31FA"/>
    <w:rsid w:val="003D7C26"/>
    <w:rsid w:val="003E01EF"/>
    <w:rsid w:val="003E1D18"/>
    <w:rsid w:val="0041722F"/>
    <w:rsid w:val="00425927"/>
    <w:rsid w:val="00432BE8"/>
    <w:rsid w:val="00433CAD"/>
    <w:rsid w:val="00445B7B"/>
    <w:rsid w:val="00451113"/>
    <w:rsid w:val="0045391E"/>
    <w:rsid w:val="004556BC"/>
    <w:rsid w:val="00455D0C"/>
    <w:rsid w:val="00482BF7"/>
    <w:rsid w:val="004832F1"/>
    <w:rsid w:val="0049271D"/>
    <w:rsid w:val="004A4F84"/>
    <w:rsid w:val="004A5B03"/>
    <w:rsid w:val="004B7768"/>
    <w:rsid w:val="004C1BAF"/>
    <w:rsid w:val="004E38D6"/>
    <w:rsid w:val="004E6420"/>
    <w:rsid w:val="005029CC"/>
    <w:rsid w:val="00503555"/>
    <w:rsid w:val="00513D46"/>
    <w:rsid w:val="00540D2C"/>
    <w:rsid w:val="005613BB"/>
    <w:rsid w:val="00561525"/>
    <w:rsid w:val="00577713"/>
    <w:rsid w:val="005778D9"/>
    <w:rsid w:val="0058799F"/>
    <w:rsid w:val="00592BCB"/>
    <w:rsid w:val="00593C55"/>
    <w:rsid w:val="00595D44"/>
    <w:rsid w:val="005A2F64"/>
    <w:rsid w:val="005B070B"/>
    <w:rsid w:val="005C697C"/>
    <w:rsid w:val="005C7CBA"/>
    <w:rsid w:val="005E6B71"/>
    <w:rsid w:val="00603F57"/>
    <w:rsid w:val="00614264"/>
    <w:rsid w:val="00641E8A"/>
    <w:rsid w:val="0064398A"/>
    <w:rsid w:val="006507A6"/>
    <w:rsid w:val="006515C3"/>
    <w:rsid w:val="00655DCD"/>
    <w:rsid w:val="006632DB"/>
    <w:rsid w:val="00672DA5"/>
    <w:rsid w:val="00693EA0"/>
    <w:rsid w:val="006975F3"/>
    <w:rsid w:val="006B414C"/>
    <w:rsid w:val="006D02B7"/>
    <w:rsid w:val="006F54EC"/>
    <w:rsid w:val="0070154C"/>
    <w:rsid w:val="00714C2A"/>
    <w:rsid w:val="00716F33"/>
    <w:rsid w:val="00720337"/>
    <w:rsid w:val="00720E45"/>
    <w:rsid w:val="0073794B"/>
    <w:rsid w:val="00743414"/>
    <w:rsid w:val="0075045F"/>
    <w:rsid w:val="00752C1F"/>
    <w:rsid w:val="00762D33"/>
    <w:rsid w:val="00762E0D"/>
    <w:rsid w:val="007722FF"/>
    <w:rsid w:val="007872C9"/>
    <w:rsid w:val="00793D2B"/>
    <w:rsid w:val="007A0F15"/>
    <w:rsid w:val="007A3932"/>
    <w:rsid w:val="007A5180"/>
    <w:rsid w:val="007A637A"/>
    <w:rsid w:val="007A7C41"/>
    <w:rsid w:val="007C1DF7"/>
    <w:rsid w:val="007D3DFE"/>
    <w:rsid w:val="00826B43"/>
    <w:rsid w:val="00830F45"/>
    <w:rsid w:val="00840EA3"/>
    <w:rsid w:val="00841876"/>
    <w:rsid w:val="008713C2"/>
    <w:rsid w:val="00883DF8"/>
    <w:rsid w:val="00884AC9"/>
    <w:rsid w:val="008909CF"/>
    <w:rsid w:val="00897CE9"/>
    <w:rsid w:val="008C6DF5"/>
    <w:rsid w:val="008D74D2"/>
    <w:rsid w:val="009474AA"/>
    <w:rsid w:val="00963179"/>
    <w:rsid w:val="00977FBC"/>
    <w:rsid w:val="009A5E62"/>
    <w:rsid w:val="009A7FF6"/>
    <w:rsid w:val="009B51C1"/>
    <w:rsid w:val="009C2BEC"/>
    <w:rsid w:val="009C759C"/>
    <w:rsid w:val="009D6A86"/>
    <w:rsid w:val="009F255C"/>
    <w:rsid w:val="009F744C"/>
    <w:rsid w:val="009F7B8D"/>
    <w:rsid w:val="00A003CE"/>
    <w:rsid w:val="00A01C64"/>
    <w:rsid w:val="00A15622"/>
    <w:rsid w:val="00A25238"/>
    <w:rsid w:val="00A3189B"/>
    <w:rsid w:val="00A349F6"/>
    <w:rsid w:val="00A40982"/>
    <w:rsid w:val="00A56A7D"/>
    <w:rsid w:val="00A61915"/>
    <w:rsid w:val="00A826B4"/>
    <w:rsid w:val="00A86BC5"/>
    <w:rsid w:val="00AD330D"/>
    <w:rsid w:val="00AE5A02"/>
    <w:rsid w:val="00B10CA0"/>
    <w:rsid w:val="00B14671"/>
    <w:rsid w:val="00B226D8"/>
    <w:rsid w:val="00B2789C"/>
    <w:rsid w:val="00B33AE6"/>
    <w:rsid w:val="00B43413"/>
    <w:rsid w:val="00B6105C"/>
    <w:rsid w:val="00B70DE2"/>
    <w:rsid w:val="00B8685A"/>
    <w:rsid w:val="00B9375D"/>
    <w:rsid w:val="00B95D7D"/>
    <w:rsid w:val="00BA2120"/>
    <w:rsid w:val="00BB2BA5"/>
    <w:rsid w:val="00BB5516"/>
    <w:rsid w:val="00BC23F0"/>
    <w:rsid w:val="00BD2E1C"/>
    <w:rsid w:val="00BE5F18"/>
    <w:rsid w:val="00C046D4"/>
    <w:rsid w:val="00C068ED"/>
    <w:rsid w:val="00C1198C"/>
    <w:rsid w:val="00C224DD"/>
    <w:rsid w:val="00C227FC"/>
    <w:rsid w:val="00C32C6C"/>
    <w:rsid w:val="00C512AB"/>
    <w:rsid w:val="00C53616"/>
    <w:rsid w:val="00C707F0"/>
    <w:rsid w:val="00C7556F"/>
    <w:rsid w:val="00C82461"/>
    <w:rsid w:val="00C92872"/>
    <w:rsid w:val="00CE0A74"/>
    <w:rsid w:val="00CE1074"/>
    <w:rsid w:val="00CF276F"/>
    <w:rsid w:val="00CF4442"/>
    <w:rsid w:val="00D032ED"/>
    <w:rsid w:val="00D07693"/>
    <w:rsid w:val="00D14D9A"/>
    <w:rsid w:val="00D270B0"/>
    <w:rsid w:val="00D447FE"/>
    <w:rsid w:val="00D469BE"/>
    <w:rsid w:val="00D53BED"/>
    <w:rsid w:val="00D62A69"/>
    <w:rsid w:val="00D65849"/>
    <w:rsid w:val="00D71C38"/>
    <w:rsid w:val="00D72A20"/>
    <w:rsid w:val="00D764EE"/>
    <w:rsid w:val="00D94DAB"/>
    <w:rsid w:val="00D95D4C"/>
    <w:rsid w:val="00DA0463"/>
    <w:rsid w:val="00DA36E9"/>
    <w:rsid w:val="00DA498D"/>
    <w:rsid w:val="00DE26F5"/>
    <w:rsid w:val="00E03201"/>
    <w:rsid w:val="00E0692A"/>
    <w:rsid w:val="00E079FD"/>
    <w:rsid w:val="00E07ADA"/>
    <w:rsid w:val="00E12117"/>
    <w:rsid w:val="00E364B6"/>
    <w:rsid w:val="00E36E41"/>
    <w:rsid w:val="00E4004D"/>
    <w:rsid w:val="00E42968"/>
    <w:rsid w:val="00E55EA9"/>
    <w:rsid w:val="00E65FDE"/>
    <w:rsid w:val="00E80253"/>
    <w:rsid w:val="00E8345F"/>
    <w:rsid w:val="00E918D4"/>
    <w:rsid w:val="00EA010A"/>
    <w:rsid w:val="00EA3F1E"/>
    <w:rsid w:val="00EC3750"/>
    <w:rsid w:val="00ED1A1B"/>
    <w:rsid w:val="00EE0447"/>
    <w:rsid w:val="00EF0299"/>
    <w:rsid w:val="00EF02A5"/>
    <w:rsid w:val="00EF19ED"/>
    <w:rsid w:val="00F30B91"/>
    <w:rsid w:val="00F35AE7"/>
    <w:rsid w:val="00F41B78"/>
    <w:rsid w:val="00F476B7"/>
    <w:rsid w:val="00F5249C"/>
    <w:rsid w:val="00F579AB"/>
    <w:rsid w:val="00F619E2"/>
    <w:rsid w:val="00F63AF2"/>
    <w:rsid w:val="00F64C72"/>
    <w:rsid w:val="00F771C8"/>
    <w:rsid w:val="00F83E90"/>
    <w:rsid w:val="00F94AA5"/>
    <w:rsid w:val="00F95ABD"/>
    <w:rsid w:val="00FB2BAC"/>
    <w:rsid w:val="00FD2C1C"/>
    <w:rsid w:val="00FE18A0"/>
    <w:rsid w:val="00FF3AC6"/>
    <w:rsid w:val="01CD2F04"/>
    <w:rsid w:val="0EAFAE42"/>
    <w:rsid w:val="115ADC32"/>
    <w:rsid w:val="1507AE83"/>
    <w:rsid w:val="164F5B83"/>
    <w:rsid w:val="1A0E8450"/>
    <w:rsid w:val="1C491588"/>
    <w:rsid w:val="1EBB5204"/>
    <w:rsid w:val="1FB52B4E"/>
    <w:rsid w:val="24316568"/>
    <w:rsid w:val="25484779"/>
    <w:rsid w:val="2C88B09B"/>
    <w:rsid w:val="2FF50E80"/>
    <w:rsid w:val="32AB5CA4"/>
    <w:rsid w:val="3386EADF"/>
    <w:rsid w:val="3AA3F5B7"/>
    <w:rsid w:val="3AA50269"/>
    <w:rsid w:val="3DE92674"/>
    <w:rsid w:val="4802EA31"/>
    <w:rsid w:val="490CDB78"/>
    <w:rsid w:val="50A3CDDD"/>
    <w:rsid w:val="56F4BD00"/>
    <w:rsid w:val="5ACB8F7C"/>
    <w:rsid w:val="5EF03B6F"/>
    <w:rsid w:val="6150C43E"/>
    <w:rsid w:val="61E12154"/>
    <w:rsid w:val="69F97D25"/>
    <w:rsid w:val="6B01F780"/>
    <w:rsid w:val="6D820FD4"/>
    <w:rsid w:val="710FFA0E"/>
    <w:rsid w:val="7165C709"/>
    <w:rsid w:val="721F0258"/>
    <w:rsid w:val="754FEDE1"/>
    <w:rsid w:val="78F6C521"/>
    <w:rsid w:val="7DA7AE9E"/>
    <w:rsid w:val="7F5DA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F807"/>
  <w15:chartTrackingRefBased/>
  <w15:docId w15:val="{6B66408A-6083-4612-B63A-85DFE108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E62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E62"/>
    <w:pPr>
      <w:ind w:left="720"/>
      <w:contextualSpacing/>
    </w:pPr>
  </w:style>
  <w:style w:type="character" w:styleId="Hipercze">
    <w:name w:val="Hyperlink"/>
    <w:rsid w:val="009A5E62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5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E62"/>
    <w:rPr>
      <w:kern w:val="0"/>
      <w14:ligatures w14:val="none"/>
    </w:rPr>
  </w:style>
  <w:style w:type="character" w:customStyle="1" w:styleId="normaltextrun">
    <w:name w:val="normaltextrun"/>
    <w:basedOn w:val="Domylnaczcionkaakapitu"/>
    <w:rsid w:val="009A5E62"/>
  </w:style>
  <w:style w:type="paragraph" w:customStyle="1" w:styleId="Default">
    <w:name w:val="Default"/>
    <w:rsid w:val="009A5E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ny"/>
    <w:rsid w:val="009A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A5E62"/>
  </w:style>
  <w:style w:type="character" w:styleId="Odwoaniedokomentarza">
    <w:name w:val="annotation reference"/>
    <w:basedOn w:val="Domylnaczcionkaakapitu"/>
    <w:uiPriority w:val="99"/>
    <w:semiHidden/>
    <w:unhideWhenUsed/>
    <w:rsid w:val="00290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0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04D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D9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830F45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rsid w:val="00C046D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04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Stopka">
    <w:name w:val="footer"/>
    <w:basedOn w:val="Normalny"/>
    <w:link w:val="StopkaZnak"/>
    <w:uiPriority w:val="99"/>
    <w:unhideWhenUsed/>
    <w:rsid w:val="0029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0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1b818-8333-4e6e-bfc8-98d85a2706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B967D4E976EF49A9E12C2805B7187C" ma:contentTypeVersion="18" ma:contentTypeDescription="Utwórz nowy dokument." ma:contentTypeScope="" ma:versionID="6f05e080c9b779788dcb83951372f873">
  <xsd:schema xmlns:xsd="http://www.w3.org/2001/XMLSchema" xmlns:xs="http://www.w3.org/2001/XMLSchema" xmlns:p="http://schemas.microsoft.com/office/2006/metadata/properties" xmlns:ns3="a621b818-8333-4e6e-bfc8-98d85a270634" xmlns:ns4="76dff1b2-4403-4c75-99e2-f863ac73d790" targetNamespace="http://schemas.microsoft.com/office/2006/metadata/properties" ma:root="true" ma:fieldsID="7c046b4cd791873bd4e4f6470aed4db7" ns3:_="" ns4:_="">
    <xsd:import namespace="a621b818-8333-4e6e-bfc8-98d85a270634"/>
    <xsd:import namespace="76dff1b2-4403-4c75-99e2-f863ac73d7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1b818-8333-4e6e-bfc8-98d85a270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ff1b2-4403-4c75-99e2-f863ac73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03347-C745-41C6-879D-7ACAD6347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5CA21-1F40-4C8A-8B30-A7CDC54AA8F5}">
  <ds:schemaRefs>
    <ds:schemaRef ds:uri="http://schemas.microsoft.com/office/2006/metadata/properties"/>
    <ds:schemaRef ds:uri="http://schemas.microsoft.com/office/infopath/2007/PartnerControls"/>
    <ds:schemaRef ds:uri="a621b818-8333-4e6e-bfc8-98d85a270634"/>
  </ds:schemaRefs>
</ds:datastoreItem>
</file>

<file path=customXml/itemProps3.xml><?xml version="1.0" encoding="utf-8"?>
<ds:datastoreItem xmlns:ds="http://schemas.openxmlformats.org/officeDocument/2006/customXml" ds:itemID="{BAEF3CD6-37FC-4736-A8CB-7EA5AA32B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1b818-8333-4e6e-bfc8-98d85a270634"/>
    <ds:schemaRef ds:uri="76dff1b2-4403-4c75-99e2-f863ac73d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2063</Words>
  <Characters>12381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Mazek-Knapik Magdalena</cp:lastModifiedBy>
  <cp:revision>26</cp:revision>
  <dcterms:created xsi:type="dcterms:W3CDTF">2024-10-18T14:44:00Z</dcterms:created>
  <dcterms:modified xsi:type="dcterms:W3CDTF">2024-10-28T08:44:00Z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2023-10-24T11:58:32Z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3b5dfc3b-366d-4320-b8fd-cae97400bf90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0x01010024B967D4E976EF49A9E12C2805B7187C</vt:lpwstr>
  </property>
</Properties>
</file>