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4DC5" w:rsidRDefault="00592A79" w:rsidP="00984DC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Załącznik nr 1</w:t>
      </w:r>
      <w:r w:rsidR="00B63EA5">
        <w:rPr>
          <w:rFonts w:ascii="Arial" w:eastAsia="Arial" w:hAnsi="Arial" w:cs="Arial"/>
          <w:b/>
          <w:sz w:val="18"/>
          <w:szCs w:val="18"/>
        </w:rPr>
        <w:t>A</w:t>
      </w:r>
    </w:p>
    <w:p w:rsidR="00971741" w:rsidRDefault="00704AD4" w:rsidP="00B70F73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do zapytania ofertowego </w:t>
      </w:r>
      <w:r w:rsidR="00984DC5">
        <w:rPr>
          <w:rFonts w:ascii="Arial" w:eastAsia="Arial" w:hAnsi="Arial" w:cs="Arial"/>
          <w:b/>
          <w:sz w:val="18"/>
          <w:szCs w:val="18"/>
        </w:rPr>
        <w:t>nr</w:t>
      </w:r>
      <w:r w:rsidR="00842FBD">
        <w:rPr>
          <w:rFonts w:ascii="Arial" w:eastAsia="Arial" w:hAnsi="Arial" w:cs="Arial"/>
          <w:b/>
          <w:sz w:val="18"/>
          <w:szCs w:val="18"/>
        </w:rPr>
        <w:t xml:space="preserve"> FSTZN/042</w:t>
      </w:r>
      <w:r w:rsidR="009925A2">
        <w:rPr>
          <w:rFonts w:ascii="Arial" w:eastAsia="Arial" w:hAnsi="Arial" w:cs="Arial"/>
          <w:b/>
          <w:sz w:val="18"/>
          <w:szCs w:val="18"/>
        </w:rPr>
        <w:t>/</w:t>
      </w:r>
      <w:r w:rsidR="00673DFB">
        <w:rPr>
          <w:rFonts w:ascii="Arial" w:eastAsia="Arial" w:hAnsi="Arial" w:cs="Arial"/>
          <w:b/>
          <w:sz w:val="18"/>
          <w:szCs w:val="18"/>
        </w:rPr>
        <w:t>1</w:t>
      </w:r>
      <w:r w:rsidR="006803EC">
        <w:rPr>
          <w:rFonts w:ascii="Arial" w:eastAsia="Arial" w:hAnsi="Arial" w:cs="Arial"/>
          <w:b/>
          <w:sz w:val="18"/>
          <w:szCs w:val="18"/>
        </w:rPr>
        <w:t>/202</w:t>
      </w:r>
      <w:r w:rsidR="00842FBD">
        <w:rPr>
          <w:rFonts w:ascii="Arial" w:eastAsia="Arial" w:hAnsi="Arial" w:cs="Arial"/>
          <w:b/>
          <w:sz w:val="18"/>
          <w:szCs w:val="18"/>
        </w:rPr>
        <w:t>4</w:t>
      </w:r>
    </w:p>
    <w:p w:rsidR="00B70F73" w:rsidRDefault="00B70F73" w:rsidP="00B70F73">
      <w:pPr>
        <w:spacing w:after="0" w:line="240" w:lineRule="auto"/>
        <w:jc w:val="right"/>
      </w:pPr>
    </w:p>
    <w:p w:rsidR="00984DC5" w:rsidRDefault="00984DC5" w:rsidP="00984DC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SZCZEGÓŁOWE INFORMACJE O PRZEDMIOCIE ZAMÓWIENIA</w:t>
      </w:r>
    </w:p>
    <w:p w:rsidR="00984DC5" w:rsidRDefault="00984DC5"/>
    <w:tbl>
      <w:tblPr>
        <w:tblpPr w:leftFromText="141" w:rightFromText="141" w:vertAnchor="text" w:horzAnchor="margin" w:tblpXSpec="center" w:tblpY="-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4DC5" w:rsidRPr="00645379" w:rsidTr="00E50C00">
        <w:trPr>
          <w:trHeight w:val="557"/>
        </w:trPr>
        <w:tc>
          <w:tcPr>
            <w:tcW w:w="9072" w:type="dxa"/>
            <w:shd w:val="clear" w:color="auto" w:fill="F2F2F2"/>
            <w:vAlign w:val="center"/>
          </w:tcPr>
          <w:p w:rsidR="00984DC5" w:rsidRDefault="00984DC5" w:rsidP="00592A79">
            <w:pPr>
              <w:spacing w:after="0" w:line="360" w:lineRule="auto"/>
              <w:rPr>
                <w:rFonts w:ascii="Arial" w:hAnsi="Arial" w:cs="Arial"/>
                <w:sz w:val="18"/>
              </w:rPr>
            </w:pPr>
            <w:r w:rsidRPr="00645379">
              <w:rPr>
                <w:rFonts w:ascii="Arial" w:hAnsi="Arial" w:cs="Arial"/>
                <w:sz w:val="18"/>
              </w:rPr>
              <w:t xml:space="preserve">Opis przedmiotu zamówienia   -     </w:t>
            </w:r>
          </w:p>
          <w:p w:rsidR="00494DFD" w:rsidRPr="00494DFD" w:rsidRDefault="00494DFD" w:rsidP="00494DF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94DFD">
              <w:rPr>
                <w:rFonts w:ascii="Arial" w:hAnsi="Arial" w:cs="Arial"/>
                <w:b/>
                <w:sz w:val="18"/>
                <w:szCs w:val="20"/>
              </w:rPr>
              <w:t>Kursy dla uczniów dające dodatkowe kwalifikacje i umiejętności:</w:t>
            </w:r>
          </w:p>
          <w:p w:rsidR="00494DFD" w:rsidRDefault="00494DFD" w:rsidP="00494D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FD">
              <w:rPr>
                <w:rFonts w:ascii="Arial" w:hAnsi="Arial" w:cs="Arial"/>
                <w:b/>
                <w:sz w:val="18"/>
                <w:szCs w:val="20"/>
                <w:u w:val="single"/>
              </w:rPr>
              <w:t>Część A:</w:t>
            </w:r>
            <w:r w:rsidRPr="00494DFD">
              <w:rPr>
                <w:rFonts w:ascii="Arial" w:hAnsi="Arial" w:cs="Arial"/>
                <w:b/>
                <w:sz w:val="18"/>
                <w:szCs w:val="20"/>
              </w:rPr>
              <w:t xml:space="preserve"> Kurs "Nowoczesne metody montażu i napraw pakietów elektronicznych zawierających elementy SPACE i BGA ze szczególnym zwróceniem uwagi na ochronę antystatyczną we współczesnej branży elektronicznej” z egzaminem - 80 osób.</w:t>
            </w:r>
          </w:p>
          <w:p w:rsidR="00984DC5" w:rsidRPr="00F34685" w:rsidRDefault="00F34685" w:rsidP="00F34685">
            <w:pPr>
              <w:jc w:val="both"/>
              <w:rPr>
                <w:rFonts w:ascii="Arial" w:hAnsi="Arial" w:cs="Arial"/>
              </w:rPr>
            </w:pPr>
            <w:r w:rsidRPr="00F34685">
              <w:rPr>
                <w:rFonts w:ascii="Arial" w:hAnsi="Arial" w:cs="Arial"/>
                <w:sz w:val="18"/>
              </w:rPr>
              <w:t>Zadanie realizowane w ramach projektu: „Wsparcie Technicznych Zakładów Naukowych w kształceniu zgodnym z wymogami Przemysłu 4.0” współfinansowanego ze środków Funduszy Europejskich dla Śląskiego 2021-2027 (Fundusz na rzecz Sprawiedliwej Transformacji) dla Priorytetu: FESL.10.00-Fundusze Europejskie na transformację; dla Działania: FESL.10.23-Edukacja zawodowa w procesie sprawiedliwej transformacji regionu</w:t>
            </w:r>
          </w:p>
        </w:tc>
      </w:tr>
    </w:tbl>
    <w:p w:rsidR="006C338F" w:rsidRPr="00984DC5" w:rsidRDefault="006C338F" w:rsidP="006C338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984DC5">
        <w:rPr>
          <w:rFonts w:ascii="Arial" w:eastAsia="Arial" w:hAnsi="Arial" w:cs="Arial"/>
          <w:b/>
          <w:sz w:val="18"/>
          <w:szCs w:val="18"/>
          <w:u w:val="single"/>
        </w:rPr>
        <w:t>W ramach realizacji tej części zadania do zadań i obowiązków Wykonawcy należeć będzie:</w:t>
      </w:r>
    </w:p>
    <w:p w:rsidR="006C338F" w:rsidRDefault="006C338F" w:rsidP="006C33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657826">
        <w:rPr>
          <w:rFonts w:ascii="Arial" w:eastAsia="Arial" w:hAnsi="Arial" w:cs="Arial"/>
          <w:sz w:val="18"/>
          <w:szCs w:val="18"/>
        </w:rPr>
        <w:t xml:space="preserve"> </w:t>
      </w:r>
      <w:r w:rsidRPr="00E23D92">
        <w:rPr>
          <w:rFonts w:ascii="Arial" w:eastAsia="Arial" w:hAnsi="Arial" w:cs="Arial"/>
          <w:sz w:val="18"/>
          <w:szCs w:val="18"/>
        </w:rPr>
        <w:t xml:space="preserve">z egzaminem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dla 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80 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osiemdziesięciu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>) osób/uczestników projektu</w:t>
      </w:r>
      <w:r>
        <w:rPr>
          <w:rFonts w:ascii="Arial" w:eastAsia="Arial" w:hAnsi="Arial" w:cs="Arial"/>
          <w:color w:val="000000"/>
          <w:sz w:val="18"/>
          <w:szCs w:val="18"/>
        </w:rPr>
        <w:t>, a w tym:</w:t>
      </w:r>
    </w:p>
    <w:p w:rsidR="006C338F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C7FFE">
        <w:rPr>
          <w:rFonts w:ascii="Arial" w:eastAsia="Arial" w:hAnsi="Arial" w:cs="Arial"/>
          <w:color w:val="000000"/>
          <w:sz w:val="18"/>
          <w:szCs w:val="18"/>
        </w:rPr>
        <w:t>Kurs musi składać się z części praktycznej i teoretycznej zgodnie z obowiązującymi przepisami i warunkami dopuszczającymi kursanta do egzaminu, a w tym:</w:t>
      </w:r>
    </w:p>
    <w:p w:rsidR="006C338F" w:rsidRPr="00A738FD" w:rsidRDefault="006C338F" w:rsidP="006C338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Kurs kończy się egzaminem potwierdzającym zdobycie kompetencji;</w:t>
      </w:r>
    </w:p>
    <w:p w:rsidR="006C338F" w:rsidRPr="00A738FD" w:rsidRDefault="006C338F" w:rsidP="006C338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Kurs dla jednego u</w:t>
      </w:r>
      <w:r w:rsidR="00673DFB">
        <w:rPr>
          <w:rFonts w:ascii="Arial" w:hAnsi="Arial" w:cs="Arial"/>
          <w:sz w:val="18"/>
          <w:szCs w:val="18"/>
        </w:rPr>
        <w:t xml:space="preserve">czestnika musi trwać łącznie: </w:t>
      </w:r>
      <w:r w:rsidR="00ED57E3">
        <w:rPr>
          <w:rFonts w:ascii="Arial" w:hAnsi="Arial" w:cs="Arial"/>
          <w:sz w:val="18"/>
          <w:szCs w:val="18"/>
        </w:rPr>
        <w:t>48</w:t>
      </w:r>
      <w:r w:rsidRPr="00A738FD">
        <w:rPr>
          <w:rFonts w:ascii="Arial" w:hAnsi="Arial" w:cs="Arial"/>
          <w:sz w:val="18"/>
          <w:szCs w:val="18"/>
        </w:rPr>
        <w:t xml:space="preserve"> godziny lekcyjnych;</w:t>
      </w:r>
    </w:p>
    <w:p w:rsidR="006C338F" w:rsidRPr="00A738FD" w:rsidRDefault="006C338F" w:rsidP="006C338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1 godzina lekcyjna= 45 minut;</w:t>
      </w:r>
    </w:p>
    <w:p w:rsidR="006C338F" w:rsidRPr="00E8640A" w:rsidRDefault="006C338F" w:rsidP="00673DFB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8640A">
        <w:rPr>
          <w:rFonts w:ascii="Arial" w:hAnsi="Arial" w:cs="Arial"/>
          <w:sz w:val="18"/>
          <w:szCs w:val="18"/>
        </w:rPr>
        <w:t xml:space="preserve">Ilość grup szkoleniowych: </w:t>
      </w:r>
      <w:r w:rsidR="00E8640A" w:rsidRPr="00E8640A">
        <w:rPr>
          <w:rFonts w:ascii="Arial" w:hAnsi="Arial" w:cs="Arial"/>
          <w:sz w:val="18"/>
          <w:szCs w:val="18"/>
        </w:rPr>
        <w:t>8</w:t>
      </w:r>
      <w:r w:rsidRPr="00E8640A">
        <w:rPr>
          <w:rFonts w:ascii="Arial" w:hAnsi="Arial" w:cs="Arial"/>
          <w:sz w:val="18"/>
          <w:szCs w:val="18"/>
        </w:rPr>
        <w:t xml:space="preserve">, każda po </w:t>
      </w:r>
      <w:r w:rsidR="00E8640A" w:rsidRPr="00E8640A">
        <w:rPr>
          <w:rFonts w:ascii="Arial" w:hAnsi="Arial" w:cs="Arial"/>
          <w:sz w:val="18"/>
          <w:szCs w:val="18"/>
        </w:rPr>
        <w:t>10</w:t>
      </w:r>
      <w:r w:rsidRPr="00E8640A">
        <w:rPr>
          <w:rFonts w:ascii="Arial" w:hAnsi="Arial" w:cs="Arial"/>
          <w:sz w:val="18"/>
          <w:szCs w:val="18"/>
        </w:rPr>
        <w:t xml:space="preserve"> uczestników</w:t>
      </w:r>
    </w:p>
    <w:p w:rsidR="006C338F" w:rsidRPr="00A738FD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A738FD">
        <w:rPr>
          <w:rFonts w:ascii="Arial" w:eastAsia="Arial" w:hAnsi="Arial" w:cs="Arial"/>
          <w:color w:val="000000"/>
          <w:sz w:val="18"/>
          <w:szCs w:val="18"/>
        </w:rPr>
        <w:t xml:space="preserve">Zapewnienie materiałów szkoleniowych dla uczestników: </w:t>
      </w:r>
    </w:p>
    <w:p w:rsidR="00E8640A" w:rsidRPr="002D65E2" w:rsidRDefault="00E8640A" w:rsidP="00E8640A">
      <w:pPr>
        <w:numPr>
          <w:ilvl w:val="0"/>
          <w:numId w:val="34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Materiały zużywalne: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Topnik w płynie oraz w żelu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 xml:space="preserve">taśma absorbująca spoiwo lutownicze oraz taśma </w:t>
      </w:r>
      <w:proofErr w:type="spellStart"/>
      <w:r w:rsidRPr="002D65E2">
        <w:rPr>
          <w:rFonts w:ascii="Arial" w:hAnsi="Arial" w:cs="Arial"/>
          <w:iCs/>
          <w:kern w:val="1"/>
          <w:sz w:val="18"/>
          <w:szCs w:val="18"/>
        </w:rPr>
        <w:t>kaptonowa</w:t>
      </w:r>
      <w:proofErr w:type="spellEnd"/>
      <w:r w:rsidRPr="002D65E2">
        <w:rPr>
          <w:rFonts w:ascii="Arial" w:hAnsi="Arial" w:cs="Arial"/>
          <w:iCs/>
          <w:kern w:val="1"/>
          <w:sz w:val="18"/>
          <w:szCs w:val="18"/>
        </w:rPr>
        <w:t xml:space="preserve"> samoprzylepna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 xml:space="preserve">środki do czyszczenia pakietów elektronicznych - tłumik dozujący do środków chemicznych umożliwiający bezpośrednie podłączenie ze środkiem czyszczącym, wykonany z materiałów dedykowanych do stref, gdzie pracuje się z elektroniką wrażliwą na wyładowania elektrostatyczne oraz środek czyszczący o silnym działaniu, usuwający większość rodzajów topników i nie wpływający chemicznie na </w:t>
      </w:r>
      <w:proofErr w:type="spellStart"/>
      <w:r w:rsidRPr="002D65E2">
        <w:rPr>
          <w:rFonts w:ascii="Arial" w:hAnsi="Arial" w:cs="Arial"/>
          <w:iCs/>
          <w:kern w:val="1"/>
          <w:sz w:val="18"/>
          <w:szCs w:val="18"/>
        </w:rPr>
        <w:t>Solder</w:t>
      </w:r>
      <w:proofErr w:type="spellEnd"/>
      <w:r w:rsidRPr="002D65E2">
        <w:rPr>
          <w:rFonts w:ascii="Arial" w:hAnsi="Arial" w:cs="Arial"/>
          <w:iCs/>
          <w:kern w:val="1"/>
          <w:sz w:val="18"/>
          <w:szCs w:val="18"/>
        </w:rPr>
        <w:t xml:space="preserve"> maskę; mający możliwość bezpośredniego podłączenia z tłumikiem dozującym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spoiwo lutownicze Sn96,5Ag3,0Cu0,5 (SAC305), średnica: 0,6mm oraz Sn96,5Ag3,0Cu0,5 (SAC305), średnica: 0,4mm zgodne z dyrektywą ROHS i normą J-STD-006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ogólny - 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PTH - 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SMD -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mieszany -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</w:t>
      </w:r>
      <w:proofErr w:type="spellStart"/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rework</w:t>
      </w:r>
      <w:proofErr w:type="spellEnd"/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-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laminaty -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specjalistyczne komponenty i płytki drukowane - zestaw egzaminacyjny - stosowane w </w:t>
      </w:r>
      <w:r w:rsidRPr="002D65E2">
        <w:rPr>
          <w:rFonts w:ascii="Arial" w:hAnsi="Arial" w:cs="Arial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color w:val="000000"/>
          <w:sz w:val="18"/>
          <w:szCs w:val="18"/>
        </w:rPr>
        <w:t>z uwzględnieniem 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specjalistyczne komponenty i płytki drukowane - demontaż komponentów BGA -  w tym </w:t>
      </w:r>
      <w:r w:rsidRPr="002D65E2">
        <w:rPr>
          <w:rFonts w:ascii="Arial" w:hAnsi="Arial" w:cs="Arial"/>
          <w:iCs/>
          <w:sz w:val="18"/>
          <w:szCs w:val="18"/>
        </w:rPr>
        <w:t xml:space="preserve">komponenty BGA </w:t>
      </w:r>
      <w:r w:rsidRPr="002D65E2">
        <w:rPr>
          <w:rFonts w:ascii="Arial" w:hAnsi="Arial" w:cs="Arial"/>
          <w:color w:val="000000"/>
          <w:sz w:val="18"/>
          <w:szCs w:val="18"/>
        </w:rPr>
        <w:t>występujące w pakietach elektronicznych oraz aplikacjach działających w przestrzeni kosmicznej</w:t>
      </w: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lastRenderedPageBreak/>
        <w:t xml:space="preserve">specjalistyczne komponenty i płytki drukowane - montaż komponentów BGA -  w tym </w:t>
      </w:r>
      <w:r w:rsidRPr="002D65E2">
        <w:rPr>
          <w:rFonts w:ascii="Arial" w:hAnsi="Arial" w:cs="Arial"/>
          <w:iCs/>
          <w:sz w:val="18"/>
          <w:szCs w:val="18"/>
        </w:rPr>
        <w:t xml:space="preserve">komponenty BGA </w:t>
      </w:r>
      <w:r w:rsidRPr="002D65E2">
        <w:rPr>
          <w:rFonts w:ascii="Arial" w:hAnsi="Arial" w:cs="Arial"/>
          <w:color w:val="000000"/>
          <w:sz w:val="18"/>
          <w:szCs w:val="18"/>
        </w:rPr>
        <w:t>występujące w pakietach elektronicznych oraz aplikacjach działających w przestrzeni kosmicznej</w:t>
      </w: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specjalistyczne komponenty i płytki drukowane - </w:t>
      </w:r>
      <w:proofErr w:type="spellStart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reballing</w:t>
      </w:r>
      <w:proofErr w:type="spellEnd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komponentów BGA -  w tym </w:t>
      </w:r>
      <w:r w:rsidRPr="002D65E2">
        <w:rPr>
          <w:rFonts w:ascii="Arial" w:hAnsi="Arial" w:cs="Arial"/>
          <w:iCs/>
          <w:sz w:val="18"/>
          <w:szCs w:val="18"/>
        </w:rPr>
        <w:t xml:space="preserve">komponenty BGA </w:t>
      </w:r>
      <w:r w:rsidRPr="002D65E2">
        <w:rPr>
          <w:rFonts w:ascii="Arial" w:hAnsi="Arial" w:cs="Arial"/>
          <w:color w:val="000000"/>
          <w:sz w:val="18"/>
          <w:szCs w:val="18"/>
        </w:rPr>
        <w:t>występujące w pakietach elektronicznych oraz aplikacjach działających w przestrzeni kosmicznej</w:t>
      </w: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– 2 zestawy,</w:t>
      </w:r>
    </w:p>
    <w:p w:rsidR="00E8640A" w:rsidRPr="002D65E2" w:rsidRDefault="00E8640A" w:rsidP="00E8640A">
      <w:pPr>
        <w:pStyle w:val="Akapitzlist"/>
        <w:numPr>
          <w:ilvl w:val="0"/>
          <w:numId w:val="35"/>
        </w:numPr>
        <w:suppressAutoHyphens/>
        <w:spacing w:after="0" w:line="276" w:lineRule="auto"/>
        <w:contextualSpacing w:val="0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specjalistyczne komponenty i płytki drukowane - zestaw egzaminacyjny komponenty BGA -  w tym </w:t>
      </w:r>
      <w:r w:rsidRPr="002D65E2">
        <w:rPr>
          <w:rFonts w:ascii="Arial" w:hAnsi="Arial" w:cs="Arial"/>
          <w:iCs/>
          <w:sz w:val="18"/>
          <w:szCs w:val="18"/>
        </w:rPr>
        <w:t xml:space="preserve">komponenty BGA </w:t>
      </w:r>
      <w:r w:rsidRPr="002D65E2">
        <w:rPr>
          <w:rFonts w:ascii="Arial" w:hAnsi="Arial" w:cs="Arial"/>
          <w:color w:val="000000"/>
          <w:sz w:val="18"/>
          <w:szCs w:val="18"/>
        </w:rPr>
        <w:t>występujące w pakietach elektronicznych oraz aplikacjach działających w przestrzeni kosmicznej</w:t>
      </w: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– 1 zestaw,</w:t>
      </w:r>
    </w:p>
    <w:p w:rsidR="00E8640A" w:rsidRPr="002D65E2" w:rsidRDefault="00E8640A" w:rsidP="00E8640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 xml:space="preserve">specjalistyczne komponenty i płytki drukowane - zestaw SMD - w tym stosowane w </w:t>
      </w:r>
      <w:r w:rsidRPr="002D65E2">
        <w:rPr>
          <w:rFonts w:ascii="Arial" w:hAnsi="Arial" w:cs="Arial"/>
          <w:color w:val="000000"/>
          <w:sz w:val="18"/>
          <w:szCs w:val="18"/>
        </w:rPr>
        <w:t xml:space="preserve">pakietach elektronicznych </w:t>
      </w:r>
      <w:r w:rsidRPr="002D65E2">
        <w:rPr>
          <w:rFonts w:ascii="Arial" w:hAnsi="Arial" w:cs="Arial"/>
          <w:iCs/>
          <w:color w:val="000000"/>
          <w:sz w:val="18"/>
          <w:szCs w:val="18"/>
        </w:rPr>
        <w:t>- do symulacji uszkodzeń ESD,</w:t>
      </w:r>
    </w:p>
    <w:p w:rsidR="00E8640A" w:rsidRPr="002D65E2" w:rsidRDefault="00E8640A" w:rsidP="00E8640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 xml:space="preserve">specjalistyczne materiały do prowadzenia zajęć obrazujących problemy antystatyczne wraz z materiałami eksploatacyjnymi </w:t>
      </w:r>
      <w:r w:rsidRPr="002D65E2">
        <w:rPr>
          <w:rFonts w:ascii="Arial" w:hAnsi="Arial" w:cs="Arial"/>
          <w:sz w:val="18"/>
          <w:szCs w:val="18"/>
        </w:rPr>
        <w:t>oraz swobodny dostęp do materiałów do tworzenia stref EPA w tym: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tester opasek/obuwia (śluza EPA),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oznaczenia strefy wyjścia/wejścia,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materiały statycznie bezpieczne, tj.: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buty,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opaski nadgarstkowe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opaski na obuwie,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rękawice antystatyczne,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fartuchy,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krzesła,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maty podłogowe,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maty stołowe,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materiały do tworzenia podłogi antystatycznej,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pojemniki,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kuwety,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opakowania,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naklejki na wyposażenie,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jonizatory powietrza,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odzież do </w:t>
      </w:r>
      <w:proofErr w:type="spellStart"/>
      <w:r w:rsidRPr="002D65E2">
        <w:rPr>
          <w:rFonts w:ascii="Arial" w:hAnsi="Arial" w:cs="Arial"/>
          <w:sz w:val="18"/>
          <w:szCs w:val="18"/>
        </w:rPr>
        <w:t>clean</w:t>
      </w:r>
      <w:proofErr w:type="spellEnd"/>
      <w:r w:rsidRPr="002D65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D65E2">
        <w:rPr>
          <w:rFonts w:ascii="Arial" w:hAnsi="Arial" w:cs="Arial"/>
          <w:sz w:val="18"/>
          <w:szCs w:val="18"/>
        </w:rPr>
        <w:t>room</w:t>
      </w:r>
      <w:proofErr w:type="spellEnd"/>
      <w:r w:rsidRPr="002D65E2">
        <w:rPr>
          <w:rFonts w:ascii="Arial" w:hAnsi="Arial" w:cs="Arial"/>
          <w:sz w:val="18"/>
          <w:szCs w:val="18"/>
        </w:rPr>
        <w:t>-ów,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mierniki pomiaru wilgotności,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mierniki pomiaru rezystancji powierzchniowej,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mierniki służące do pomiaru wartości generowanych i zgromadzonych ładunków, </w:t>
      </w:r>
    </w:p>
    <w:p w:rsidR="00E8640A" w:rsidRPr="002D65E2" w:rsidRDefault="00E8640A" w:rsidP="00E8640A">
      <w:pPr>
        <w:pStyle w:val="Bezodstpw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proofErr w:type="spellStart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Walking</w:t>
      </w:r>
      <w:proofErr w:type="spellEnd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 test,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matę stołową i stację lutowniczą z grotami – jedna sztuka dla każdego uczestnika,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stację rozlutowującą – jedna sztuka dla każdego uczestnika,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stację nadmuchu gorącego powietrza oraz głowice do demontażu komponentów elektronicznych (w tym BGA) oraz komputer ze specjalistycznym oprogramowaniem współpracującym ze stacją – jedna sztuka na dwóch uczestników (rotacyjność zadań),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chwytaki płyt drukowanych – 1 zestaw na dwóch uczestników (rotacyjność zadań),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narzędzia ręczne – zestaw dla każdego uczestnika,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lupę – jedna sztuka dla każdego uczestnika,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tygiel lutowniczy – jeden na dwóch uczestników,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swobodny dostęp do mikroskopu – 1 szuka na 5 uczestników,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 xml:space="preserve">szablony i kulki do </w:t>
      </w:r>
      <w:proofErr w:type="spellStart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reballingu</w:t>
      </w:r>
      <w:proofErr w:type="spellEnd"/>
      <w:r w:rsidRPr="002D65E2">
        <w:rPr>
          <w:rFonts w:ascii="Arial" w:hAnsi="Arial" w:cs="Arial"/>
          <w:iCs/>
          <w:color w:val="000000" w:themeColor="text1"/>
          <w:sz w:val="18"/>
          <w:szCs w:val="18"/>
        </w:rPr>
        <w:t>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swobodny dostęp do zaawansowanej stacji lutująco-rozlutowującej wraz z kompletem głowic dobranych do komponentów </w:t>
      </w:r>
      <w:r w:rsidRPr="002D65E2">
        <w:rPr>
          <w:rFonts w:ascii="Arial" w:hAnsi="Arial" w:cs="Arial"/>
          <w:sz w:val="18"/>
          <w:szCs w:val="18"/>
        </w:rPr>
        <w:t xml:space="preserve">elektronicznych oraz </w:t>
      </w:r>
      <w:r w:rsidRPr="002D65E2">
        <w:rPr>
          <w:rFonts w:ascii="Arial" w:hAnsi="Arial" w:cs="Arial"/>
          <w:color w:val="000000"/>
          <w:sz w:val="18"/>
          <w:szCs w:val="18"/>
        </w:rPr>
        <w:t>elementów SPACE</w:t>
      </w: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 – 1 szuka na 5 uczestników,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wiertarki ręczne oraz specjalistyczne wiertła do napraw płyt drukowanych – 1 zestaw na 2 uczestników (przewidziana jest rotacyjność grup przy poszczególnych zadaniach, dlatego i tak każdy uczestnik będzie w stanie pracować indywidualnie na danym zestawie);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żywice epoksydowe, kleje, środki koloryzujące, taśmy </w:t>
      </w:r>
      <w:proofErr w:type="spellStart"/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kaptonowe</w:t>
      </w:r>
      <w:proofErr w:type="spellEnd"/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 – 1 zestaw na dwóch uczestników (przewidziana jest rotacyjność grup przy poszczególnych zadaniach, dlatego i tak każdy uczestnik będzie w stanie pracować indywidualnie na danym zestawie),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color w:val="000000" w:themeColor="text1"/>
          <w:kern w:val="2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>specjalistyczne materiały służące do napraw płyt drukowanych – 1 zestaw na 2 uczestników (przewidziana jest rotacyjność grup przy poszczególnych zadaniach, dlatego i tak każdy uczestnik będzie w stanie pracować indywidualnie na danym zestawie),</w:t>
      </w:r>
    </w:p>
    <w:p w:rsidR="00E8640A" w:rsidRPr="002D65E2" w:rsidRDefault="00E8640A" w:rsidP="00E8640A">
      <w:pPr>
        <w:numPr>
          <w:ilvl w:val="0"/>
          <w:numId w:val="36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D65E2">
        <w:rPr>
          <w:rFonts w:ascii="Arial" w:hAnsi="Arial" w:cs="Arial"/>
          <w:iCs/>
          <w:color w:val="000000" w:themeColor="text1"/>
          <w:kern w:val="2"/>
          <w:sz w:val="18"/>
          <w:szCs w:val="18"/>
        </w:rPr>
        <w:t xml:space="preserve">przewody połączeniowe - jedna sztuka na każdego uczestnika, </w:t>
      </w:r>
    </w:p>
    <w:p w:rsidR="00E8640A" w:rsidRPr="002D65E2" w:rsidRDefault="00E8640A" w:rsidP="00E8640A">
      <w:pPr>
        <w:numPr>
          <w:ilvl w:val="0"/>
          <w:numId w:val="34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podręcznik kursanta „</w:t>
      </w:r>
      <w:r w:rsidRPr="002D65E2">
        <w:rPr>
          <w:rFonts w:ascii="Arial" w:hAnsi="Arial" w:cs="Arial"/>
          <w:color w:val="000000"/>
          <w:sz w:val="18"/>
          <w:szCs w:val="18"/>
        </w:rPr>
        <w:t xml:space="preserve">Nowoczesne metody montażu i napraw pakietów elektronicznych zawierających elementy SPACE i BGA ze szczególnym zwróceniem uwagi na ochronę antystatyczną we współczesnej branży elektronicznej: </w:t>
      </w:r>
      <w:r w:rsidRPr="002D65E2">
        <w:rPr>
          <w:rFonts w:ascii="Arial" w:hAnsi="Arial" w:cs="Arial"/>
          <w:iCs/>
          <w:kern w:val="1"/>
          <w:sz w:val="18"/>
          <w:szCs w:val="18"/>
        </w:rPr>
        <w:t>opracowany na podstawie normy IPC-7711/7721 rewizja C w języku polskim,</w:t>
      </w:r>
      <w:r w:rsidRPr="002D65E2">
        <w:rPr>
          <w:rFonts w:ascii="Arial" w:hAnsi="Arial" w:cs="Arial"/>
          <w:sz w:val="18"/>
          <w:szCs w:val="18"/>
        </w:rPr>
        <w:t xml:space="preserve"> wzbogacony o </w:t>
      </w:r>
      <w:r w:rsidRPr="002D65E2">
        <w:rPr>
          <w:rFonts w:ascii="Arial" w:hAnsi="Arial" w:cs="Arial"/>
          <w:sz w:val="18"/>
          <w:szCs w:val="18"/>
        </w:rPr>
        <w:lastRenderedPageBreak/>
        <w:t>wybrane sesje szkoleniowe z normy IPC-A-610, IPC-J-STD-001 oraz norm SPACE (ECSS-Q-ST-70-08, ECSS-Q-ST-70-38, ECSS-Q-ST-70-28, ECSS-Q-ST-70-61)  (dotyczące ogólnych kryteriów lutowania oraz kryteriów montażu elementów THT i SMD i napraw pakietów elektronicznych),</w:t>
      </w:r>
    </w:p>
    <w:p w:rsidR="00E8640A" w:rsidRPr="002D65E2" w:rsidRDefault="00E8640A" w:rsidP="00E8640A">
      <w:pPr>
        <w:numPr>
          <w:ilvl w:val="0"/>
          <w:numId w:val="34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na czas trwania szkolenia każdy z uczestników powinien mieć zapewniony standard (najnowsza rewizja w języku polskim dostępna na rynku) IPC-A-610, IPC-7711/7721 i IPC-J-STD-001 – po 1 sztuce każdego standardu dla kursanta 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standard ECSS-Q-ST-70-08 </w:t>
      </w:r>
      <w:r w:rsidRPr="002D65E2">
        <w:rPr>
          <w:rFonts w:ascii="Arial" w:hAnsi="Arial" w:cs="Arial"/>
          <w:iCs/>
          <w:kern w:val="1"/>
          <w:sz w:val="18"/>
          <w:szCs w:val="18"/>
        </w:rPr>
        <w:t>(najnowsza rewizja w języku polskim dostępna na rynku)</w:t>
      </w:r>
      <w:r w:rsidRPr="002D65E2">
        <w:rPr>
          <w:rFonts w:ascii="Arial" w:hAnsi="Arial" w:cs="Arial"/>
          <w:sz w:val="18"/>
          <w:szCs w:val="18"/>
        </w:rPr>
        <w:t xml:space="preserve"> do wykorzystania w trakcie zajęć – obowiązkowo jedna sztuka standardu dla  każdego kursanta, </w:t>
      </w:r>
      <w:r w:rsidRPr="002D65E2">
        <w:rPr>
          <w:rFonts w:ascii="Arial" w:hAnsi="Arial" w:cs="Arial"/>
          <w:iCs/>
          <w:kern w:val="1"/>
          <w:sz w:val="18"/>
          <w:szCs w:val="18"/>
        </w:rPr>
        <w:t>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standard ECSS-Q-ST-70-38 </w:t>
      </w:r>
      <w:r w:rsidRPr="002D65E2">
        <w:rPr>
          <w:rFonts w:ascii="Arial" w:hAnsi="Arial" w:cs="Arial"/>
          <w:iCs/>
          <w:kern w:val="1"/>
          <w:sz w:val="18"/>
          <w:szCs w:val="18"/>
        </w:rPr>
        <w:t>(najnowsza rewizja w języku polskim dostępna na rynku)</w:t>
      </w:r>
      <w:r w:rsidRPr="002D65E2">
        <w:rPr>
          <w:rFonts w:ascii="Arial" w:hAnsi="Arial" w:cs="Arial"/>
          <w:sz w:val="18"/>
          <w:szCs w:val="18"/>
        </w:rPr>
        <w:t xml:space="preserve"> do wykorzystania w trakcie zajęć – obowiązkowo jedna sztuka standardu dla  każdego kursanta, </w:t>
      </w:r>
      <w:r w:rsidRPr="002D65E2">
        <w:rPr>
          <w:rFonts w:ascii="Arial" w:hAnsi="Arial" w:cs="Arial"/>
          <w:iCs/>
          <w:kern w:val="1"/>
          <w:sz w:val="18"/>
          <w:szCs w:val="18"/>
        </w:rPr>
        <w:t>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standard ECSS-Q-ST-70-28 </w:t>
      </w:r>
      <w:r w:rsidRPr="002D65E2">
        <w:rPr>
          <w:rFonts w:ascii="Arial" w:hAnsi="Arial" w:cs="Arial"/>
          <w:iCs/>
          <w:kern w:val="1"/>
          <w:sz w:val="18"/>
          <w:szCs w:val="18"/>
        </w:rPr>
        <w:t>(najnowsza rewizja w języku polskim dostępna na rynku)</w:t>
      </w:r>
      <w:r w:rsidRPr="002D65E2">
        <w:rPr>
          <w:rFonts w:ascii="Arial" w:hAnsi="Arial" w:cs="Arial"/>
          <w:sz w:val="18"/>
          <w:szCs w:val="18"/>
        </w:rPr>
        <w:t xml:space="preserve"> do wykorzystania w trakcie zajęć – obowiązkowo jedna sztuka standardu dla  każdego kursanta, </w:t>
      </w:r>
      <w:r w:rsidRPr="002D65E2">
        <w:rPr>
          <w:rFonts w:ascii="Arial" w:hAnsi="Arial" w:cs="Arial"/>
          <w:iCs/>
          <w:kern w:val="1"/>
          <w:sz w:val="18"/>
          <w:szCs w:val="18"/>
        </w:rPr>
        <w:t>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standard ECSS-Q-ST-70-61 </w:t>
      </w:r>
      <w:r w:rsidRPr="002D65E2">
        <w:rPr>
          <w:rFonts w:ascii="Arial" w:hAnsi="Arial" w:cs="Arial"/>
          <w:iCs/>
          <w:kern w:val="1"/>
          <w:sz w:val="18"/>
          <w:szCs w:val="18"/>
        </w:rPr>
        <w:t>(najnowsza rewizja w języku polskim dostępna na rynku)</w:t>
      </w:r>
      <w:r w:rsidRPr="002D65E2">
        <w:rPr>
          <w:rFonts w:ascii="Arial" w:hAnsi="Arial" w:cs="Arial"/>
          <w:sz w:val="18"/>
          <w:szCs w:val="18"/>
        </w:rPr>
        <w:t xml:space="preserve"> do wykorzystania w trakcie zajęć – obowiązkowo jedna sztuka standardu dla  każdego kursanta, </w:t>
      </w:r>
      <w:r w:rsidRPr="002D65E2">
        <w:rPr>
          <w:rFonts w:ascii="Arial" w:hAnsi="Arial" w:cs="Arial"/>
          <w:iCs/>
          <w:kern w:val="1"/>
          <w:sz w:val="18"/>
          <w:szCs w:val="18"/>
        </w:rPr>
        <w:t>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pakiet standardów PKN,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pakiet międzynarodowych standardów ANSI,</w:t>
      </w:r>
    </w:p>
    <w:p w:rsidR="00E8640A" w:rsidRPr="002D65E2" w:rsidRDefault="00E8640A" w:rsidP="00E8640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tablet lub laptop do realizacji egzaminów w wersji on-line </w:t>
      </w:r>
      <w:r w:rsidRPr="002D65E2">
        <w:rPr>
          <w:rFonts w:ascii="Arial" w:hAnsi="Arial" w:cs="Arial"/>
          <w:iCs/>
          <w:kern w:val="1"/>
          <w:sz w:val="18"/>
          <w:szCs w:val="18"/>
        </w:rPr>
        <w:t>(materiały zwrotne po szkoleniu);</w:t>
      </w:r>
    </w:p>
    <w:p w:rsidR="00E8640A" w:rsidRPr="002D65E2" w:rsidRDefault="00E8640A" w:rsidP="00E8640A">
      <w:pPr>
        <w:numPr>
          <w:ilvl w:val="0"/>
          <w:numId w:val="34"/>
        </w:numPr>
        <w:suppressAutoHyphens/>
        <w:spacing w:after="0" w:line="276" w:lineRule="auto"/>
        <w:ind w:left="284" w:hanging="284"/>
        <w:jc w:val="both"/>
        <w:rPr>
          <w:rFonts w:ascii="Arial" w:hAnsi="Arial" w:cs="Arial"/>
          <w:iCs/>
          <w:kern w:val="1"/>
          <w:sz w:val="18"/>
          <w:szCs w:val="18"/>
        </w:rPr>
      </w:pPr>
      <w:r w:rsidRPr="002D65E2">
        <w:rPr>
          <w:rFonts w:ascii="Arial" w:hAnsi="Arial" w:cs="Arial"/>
          <w:iCs/>
          <w:kern w:val="1"/>
          <w:sz w:val="18"/>
          <w:szCs w:val="18"/>
        </w:rPr>
        <w:t>materiały dydaktyczne w tym wzory dokumentów i formularzy do ćwiczeń, długopis,</w:t>
      </w:r>
    </w:p>
    <w:p w:rsidR="006C338F" w:rsidRPr="00B911B5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eastAsia="Arial" w:hAnsi="Arial" w:cs="Arial"/>
          <w:sz w:val="18"/>
          <w:szCs w:val="18"/>
        </w:rPr>
        <w:t xml:space="preserve">Zapewnienie </w:t>
      </w:r>
      <w:r w:rsidR="00B911B5">
        <w:rPr>
          <w:rFonts w:ascii="Arial" w:eastAsia="Arial" w:hAnsi="Arial" w:cs="Arial"/>
          <w:sz w:val="18"/>
          <w:szCs w:val="18"/>
        </w:rPr>
        <w:t xml:space="preserve">min 2 </w:t>
      </w:r>
      <w:r w:rsidRPr="00B911B5">
        <w:rPr>
          <w:rFonts w:ascii="Arial" w:eastAsia="Arial" w:hAnsi="Arial" w:cs="Arial"/>
          <w:sz w:val="18"/>
          <w:szCs w:val="18"/>
        </w:rPr>
        <w:t xml:space="preserve"> trenów posiadających uprawnienia do przeprowadzenia</w:t>
      </w:r>
      <w:r w:rsidR="00A32B61" w:rsidRPr="00B911B5">
        <w:rPr>
          <w:rFonts w:ascii="Arial" w:eastAsia="Arial" w:hAnsi="Arial" w:cs="Arial"/>
          <w:sz w:val="18"/>
          <w:szCs w:val="18"/>
        </w:rPr>
        <w:t xml:space="preserve"> kursu</w:t>
      </w:r>
      <w:r w:rsidRPr="00B911B5">
        <w:rPr>
          <w:rFonts w:ascii="Arial" w:eastAsia="Arial" w:hAnsi="Arial" w:cs="Arial"/>
          <w:sz w:val="18"/>
          <w:szCs w:val="18"/>
        </w:rPr>
        <w:t xml:space="preserve"> </w:t>
      </w:r>
      <w:r w:rsidRPr="00B911B5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B911B5">
        <w:rPr>
          <w:rFonts w:ascii="Arial" w:eastAsia="Arial" w:hAnsi="Arial" w:cs="Arial"/>
          <w:sz w:val="18"/>
          <w:szCs w:val="18"/>
        </w:rPr>
        <w:t>;</w:t>
      </w:r>
    </w:p>
    <w:p w:rsidR="006C338F" w:rsidRPr="00B911B5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eastAsia="Arial" w:hAnsi="Arial" w:cs="Arial"/>
          <w:sz w:val="18"/>
          <w:szCs w:val="18"/>
        </w:rPr>
        <w:t xml:space="preserve">Zapewnienie, ustalenie terminów i sfinalizowanie egzaminów kursu </w:t>
      </w:r>
      <w:r w:rsidRPr="00B911B5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B911B5">
        <w:rPr>
          <w:rFonts w:ascii="Arial" w:eastAsia="Arial" w:hAnsi="Arial" w:cs="Arial"/>
          <w:sz w:val="18"/>
          <w:szCs w:val="18"/>
        </w:rPr>
        <w:t>, a w tym:</w:t>
      </w:r>
    </w:p>
    <w:p w:rsidR="006C338F" w:rsidRPr="00E23D92" w:rsidRDefault="006C338F" w:rsidP="006C338F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 xml:space="preserve">Opłacenie kosztów egzaminu, potwierdzającego nabycie </w:t>
      </w:r>
      <w:r w:rsidR="00B911B5">
        <w:rPr>
          <w:rFonts w:ascii="Arial" w:eastAsia="Arial" w:hAnsi="Arial" w:cs="Arial"/>
          <w:sz w:val="18"/>
          <w:szCs w:val="18"/>
        </w:rPr>
        <w:t>kwalifikacji</w:t>
      </w:r>
      <w:r w:rsidRPr="00E23D92">
        <w:rPr>
          <w:rFonts w:ascii="Arial" w:eastAsia="Arial" w:hAnsi="Arial" w:cs="Arial"/>
          <w:sz w:val="18"/>
          <w:szCs w:val="18"/>
        </w:rPr>
        <w:t>.</w:t>
      </w:r>
    </w:p>
    <w:p w:rsidR="006C338F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90F0E">
        <w:rPr>
          <w:rFonts w:ascii="Arial" w:eastAsia="Arial" w:hAnsi="Arial" w:cs="Arial"/>
          <w:color w:val="000000"/>
          <w:sz w:val="18"/>
          <w:szCs w:val="18"/>
        </w:rPr>
        <w:t xml:space="preserve">Przeprowadzenie zajęć szkoleniowych w oparciu o zatwierdzony przez Zamawiającego program </w:t>
      </w:r>
      <w:r w:rsidRPr="00190F0E">
        <w:rPr>
          <w:rFonts w:ascii="Arial" w:eastAsia="Arial" w:hAnsi="Arial" w:cs="Arial"/>
          <w:color w:val="000000"/>
          <w:sz w:val="18"/>
          <w:szCs w:val="18"/>
        </w:rPr>
        <w:br/>
        <w:t>i indywidualny harmonogram:</w:t>
      </w:r>
    </w:p>
    <w:p w:rsidR="00E8640A" w:rsidRPr="00190F0E" w:rsidRDefault="00E8640A" w:rsidP="00E8640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D65E2">
        <w:rPr>
          <w:rFonts w:ascii="Arial" w:hAnsi="Arial" w:cs="Arial"/>
          <w:b/>
          <w:sz w:val="18"/>
          <w:szCs w:val="18"/>
        </w:rPr>
        <w:t>Program szkolenia: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Instytucje zajmujące się standaryzacją branży ICT,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Polityka i procedury profesjonalnych szkoleń i certyfikacji IPC;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Terminy i definicje występujące we współczesnych standardach elektronicznych;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Budowa i konfiguracja współczesnych płytek drukowanych;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Podstawy nowoczesnego lutowania;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Rodzaje współczesnych komponentów elektronicznych;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Obsługa nowoczesnych stacji lutująco-rozlutowujących;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Ogólne kryteria dotyczące połączeń lutowanych zgodnie ze standardem IPC-A-610, IPC-J-STD-001 i Europejskiej Agencji Kosmicznej (ang. ESA);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Kryteria montażu komponentów elektronicznych wykonanych w technologii przewlekanej zgodnie ze standardem IPC-A-610, IPC-J-STD-001 i ESA;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Techniki montażu elementów przewlekanych występujących we współczesnych pakietach elektronicznych 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>z uwzględnieniem elementów SPACE,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Zajęcia praktyczne z montażu elementów przewlekanych występujących we współczesnych, pakietach elektronicznych 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>z uwzględnieniem elementów SPACE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Metody demontażu komponentów przewlekanych zgodnie ze standardem IPC-7711/7721 oraz standardami ESA;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Zajęcia praktyczne z demontażu elementów przewlekanych występujących we współczesnych  pakietach elektronicznych 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>z uwzględnieniem elementów SPACE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Kryteria montażu komponentów elektronicznych wykonanych w technologii powierzchniowej zgodnie ze standardem IPC-A-610, IPC-J-STD-001 i ESA;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Techniki montażu elementów powierzchniowych występujących we współczesnych pakietach elektronicznych 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>z uwzględnieniem elementów SPACE,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Zajęcia praktyczne z montażu elementów powierzchniowych występujących we współczesnych, pakietach elektronicznych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 xml:space="preserve"> z uwzględnieniem elementów SPACE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 xml:space="preserve">Metody demontażu komponentów powierzchniowych zgodnie ze standardem IPC-7711/7721 oraz standardami ESA; </w:t>
      </w:r>
    </w:p>
    <w:p w:rsidR="00E8640A" w:rsidRPr="002D65E2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2D65E2">
        <w:rPr>
          <w:rFonts w:ascii="Arial" w:hAnsi="Arial" w:cs="Arial"/>
          <w:sz w:val="18"/>
          <w:szCs w:val="18"/>
        </w:rPr>
        <w:t>Zajęcia praktyczne z demontażu elementów powierzchniowych występujących we współczesnych, pakietach elektronicznych</w:t>
      </w:r>
      <w:r w:rsidRPr="002D65E2">
        <w:rPr>
          <w:rFonts w:ascii="Arial" w:eastAsia="Calibri" w:hAnsi="Arial" w:cs="Arial"/>
          <w:color w:val="000000"/>
          <w:sz w:val="18"/>
          <w:szCs w:val="18"/>
        </w:rPr>
        <w:t xml:space="preserve"> z uwzględnieniem elementów SPACE,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 xml:space="preserve">Elementy BGA– zajęcia teoretyczne; 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>Elementy BGA– demontaż komponentu BGA– zajęcia teoretyczne;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 xml:space="preserve">Elementy BGA– przygotowanie płyty PCB i komponentu do montażu – zajęcia teoretyczne; 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 xml:space="preserve">Elementy BGA– montaż komponentu – zajęcia teoretyczne; 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 xml:space="preserve">Elementy BGA – metody kontroli montażu – zajęcia teoretyczne; 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t xml:space="preserve">Elementy BGA– </w:t>
      </w:r>
      <w:proofErr w:type="spellStart"/>
      <w:r w:rsidRPr="002D65E2">
        <w:rPr>
          <w:rFonts w:ascii="Arial" w:hAnsi="Arial" w:cs="Arial"/>
          <w:iCs/>
          <w:sz w:val="18"/>
          <w:szCs w:val="18"/>
        </w:rPr>
        <w:t>reballing</w:t>
      </w:r>
      <w:proofErr w:type="spellEnd"/>
      <w:r w:rsidRPr="002D65E2">
        <w:rPr>
          <w:rFonts w:ascii="Arial" w:hAnsi="Arial" w:cs="Arial"/>
          <w:iCs/>
          <w:sz w:val="18"/>
          <w:szCs w:val="18"/>
        </w:rPr>
        <w:t xml:space="preserve"> – zajęcia teoretyczne; 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sz w:val="18"/>
          <w:szCs w:val="18"/>
        </w:rPr>
        <w:lastRenderedPageBreak/>
        <w:t xml:space="preserve">Elementy BGA – zajęcia praktyczne – montaż, demontaż i </w:t>
      </w:r>
      <w:proofErr w:type="spellStart"/>
      <w:r w:rsidRPr="002D65E2">
        <w:rPr>
          <w:rFonts w:ascii="Arial" w:hAnsi="Arial" w:cs="Arial"/>
          <w:iCs/>
          <w:sz w:val="18"/>
          <w:szCs w:val="18"/>
        </w:rPr>
        <w:t>reballing</w:t>
      </w:r>
      <w:proofErr w:type="spellEnd"/>
      <w:r w:rsidRPr="002D65E2">
        <w:rPr>
          <w:rFonts w:ascii="Arial" w:hAnsi="Arial" w:cs="Arial"/>
          <w:iCs/>
          <w:sz w:val="18"/>
          <w:szCs w:val="18"/>
        </w:rPr>
        <w:t xml:space="preserve"> komponentów BGA w tym </w:t>
      </w:r>
      <w:r w:rsidRPr="002D65E2">
        <w:rPr>
          <w:rFonts w:ascii="Arial" w:hAnsi="Arial" w:cs="Arial"/>
          <w:color w:val="000000"/>
          <w:sz w:val="18"/>
          <w:szCs w:val="18"/>
        </w:rPr>
        <w:t>występujących w aplikacjach działających w przestrzeni kosmicznej,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podstawowe informacje o wyładowaniach elektrostatycznych (ang. ESD) i przepięciach elektrycznych (ang. EOS);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teoria mechanizmów elektryzacji;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elementy wrażliwe na wyładowania elektrostatyczne (ang. ESDS);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środki ochrony przed wyładowaniami elektrostatycznymi;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wymagania dotyczące tworzenia i użytkowania stref zabezpieczonych przed wyładowaniami elektrostatycznymi (ang. EPA) w kontekście</w:t>
      </w:r>
      <w:r w:rsidRPr="002D65E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D65E2">
        <w:rPr>
          <w:rFonts w:ascii="Arial" w:hAnsi="Arial" w:cs="Arial"/>
          <w:color w:val="000000"/>
          <w:sz w:val="18"/>
          <w:szCs w:val="18"/>
        </w:rPr>
        <w:t>pakietów elektronicznych w tym działających w aplikacjach kosmicznych,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wysokie napięcie w strefie EPA;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odpowiedzialność pracowników za stosowanie środków ochrony;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rola Koordynatora ESD;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szkolenia personelu;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r w:rsidRPr="002D65E2">
        <w:rPr>
          <w:rFonts w:ascii="Arial" w:hAnsi="Arial" w:cs="Arial"/>
          <w:iCs/>
          <w:color w:val="000000"/>
          <w:sz w:val="18"/>
          <w:szCs w:val="18"/>
        </w:rPr>
        <w:t>materiały szkoleniowe i instruktażowe IPC;</w:t>
      </w:r>
    </w:p>
    <w:p w:rsidR="00E8640A" w:rsidRPr="002D65E2" w:rsidRDefault="00E8640A" w:rsidP="00E8640A">
      <w:pPr>
        <w:pStyle w:val="Akapitzlist"/>
        <w:numPr>
          <w:ilvl w:val="0"/>
          <w:numId w:val="39"/>
        </w:numPr>
        <w:spacing w:after="0" w:line="276" w:lineRule="auto"/>
        <w:contextualSpacing w:val="0"/>
        <w:rPr>
          <w:rFonts w:ascii="Arial" w:hAnsi="Arial" w:cs="Arial"/>
          <w:iCs/>
          <w:color w:val="000000"/>
          <w:sz w:val="18"/>
          <w:szCs w:val="18"/>
        </w:rPr>
      </w:pPr>
      <w:proofErr w:type="spellStart"/>
      <w:r w:rsidRPr="002D65E2">
        <w:rPr>
          <w:rFonts w:ascii="Arial" w:hAnsi="Arial" w:cs="Arial"/>
          <w:iCs/>
          <w:color w:val="000000"/>
          <w:sz w:val="18"/>
          <w:szCs w:val="18"/>
        </w:rPr>
        <w:t>audity</w:t>
      </w:r>
      <w:proofErr w:type="spellEnd"/>
      <w:r w:rsidRPr="002D65E2">
        <w:rPr>
          <w:rFonts w:ascii="Arial" w:hAnsi="Arial" w:cs="Arial"/>
          <w:iCs/>
          <w:color w:val="000000"/>
          <w:sz w:val="18"/>
          <w:szCs w:val="18"/>
        </w:rPr>
        <w:t xml:space="preserve"> – omówienie wymagań dotyczących przeprowadzania </w:t>
      </w:r>
      <w:proofErr w:type="spellStart"/>
      <w:r w:rsidRPr="002D65E2">
        <w:rPr>
          <w:rFonts w:ascii="Arial" w:hAnsi="Arial" w:cs="Arial"/>
          <w:iCs/>
          <w:color w:val="000000"/>
          <w:sz w:val="18"/>
          <w:szCs w:val="18"/>
        </w:rPr>
        <w:t>auditów</w:t>
      </w:r>
      <w:proofErr w:type="spellEnd"/>
      <w:r w:rsidRPr="002D65E2">
        <w:rPr>
          <w:rFonts w:ascii="Arial" w:hAnsi="Arial" w:cs="Arial"/>
          <w:iCs/>
          <w:color w:val="000000"/>
          <w:sz w:val="18"/>
          <w:szCs w:val="18"/>
        </w:rPr>
        <w:t xml:space="preserve"> stref EPA, tworzenie raportów zgodnie z zaleceniami międzynarodowymi;</w:t>
      </w:r>
    </w:p>
    <w:p w:rsidR="00E8640A" w:rsidRPr="00E8640A" w:rsidRDefault="00E8640A" w:rsidP="00E8640A">
      <w:pPr>
        <w:pStyle w:val="Bezodstpw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D65E2">
        <w:rPr>
          <w:rFonts w:ascii="Arial" w:hAnsi="Arial" w:cs="Arial"/>
          <w:iCs/>
          <w:color w:val="000000"/>
          <w:sz w:val="18"/>
          <w:szCs w:val="18"/>
        </w:rPr>
        <w:t>audity</w:t>
      </w:r>
      <w:proofErr w:type="spellEnd"/>
      <w:r w:rsidRPr="002D65E2">
        <w:rPr>
          <w:rFonts w:ascii="Arial" w:hAnsi="Arial" w:cs="Arial"/>
          <w:iCs/>
          <w:color w:val="000000"/>
          <w:sz w:val="18"/>
          <w:szCs w:val="18"/>
        </w:rPr>
        <w:t xml:space="preserve"> – zajęcia praktyczne, dokonywanie pomiarów.</w:t>
      </w:r>
    </w:p>
    <w:p w:rsidR="006C338F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C30AD"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niedziele.</w:t>
      </w:r>
    </w:p>
    <w:p w:rsidR="00E8640A" w:rsidRPr="008C30AD" w:rsidRDefault="00E8640A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D65E2">
        <w:rPr>
          <w:rFonts w:ascii="Arial" w:hAnsi="Arial" w:cs="Arial"/>
          <w:b/>
          <w:sz w:val="18"/>
          <w:szCs w:val="18"/>
        </w:rPr>
        <w:t xml:space="preserve">Dodatkowo wykonawca szkolenia zapewnia: </w:t>
      </w:r>
      <w:r w:rsidRPr="002D65E2">
        <w:rPr>
          <w:rFonts w:ascii="Arial" w:hAnsi="Arial" w:cs="Arial"/>
          <w:sz w:val="18"/>
          <w:szCs w:val="18"/>
        </w:rPr>
        <w:t xml:space="preserve">laptop z projektorem multimedialnym lub rzutnik </w:t>
      </w:r>
      <w:r w:rsidRPr="002D65E2">
        <w:rPr>
          <w:rFonts w:ascii="Arial" w:hAnsi="Arial" w:cs="Arial"/>
          <w:sz w:val="18"/>
          <w:szCs w:val="18"/>
        </w:rPr>
        <w:br/>
        <w:t>z foliami, ekran flipchart, flamastry, nagłośnienie sali</w:t>
      </w:r>
    </w:p>
    <w:p w:rsidR="006C338F" w:rsidRPr="00A2405D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6"/>
          <w:szCs w:val="18"/>
        </w:rPr>
      </w:pPr>
      <w:r w:rsidRPr="00A2405D">
        <w:rPr>
          <w:rFonts w:ascii="Arial" w:eastAsia="Arial" w:hAnsi="Arial" w:cs="Arial"/>
          <w:b/>
          <w:color w:val="000000"/>
          <w:sz w:val="18"/>
          <w:szCs w:val="18"/>
        </w:rPr>
        <w:t>Proces rekrutacji i podział uczestników na grupy szkoleniowe będzie należał do zadań Zamawiającego.</w:t>
      </w:r>
    </w:p>
    <w:p w:rsidR="006C338F" w:rsidRPr="00EC7FFE" w:rsidRDefault="006C338F" w:rsidP="006C338F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C338F" w:rsidRPr="00EC7FFE" w:rsidRDefault="006C338F" w:rsidP="006C338F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C338F" w:rsidRPr="00EC7FFE" w:rsidRDefault="006C338F" w:rsidP="006C338F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C338F" w:rsidRPr="00EC7FFE" w:rsidRDefault="006C338F" w:rsidP="006C338F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C338F" w:rsidRPr="00EC7FFE" w:rsidRDefault="006C338F" w:rsidP="006C338F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73DFB" w:rsidRPr="00E23D92" w:rsidRDefault="006C338F" w:rsidP="00673DFB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57826">
        <w:rPr>
          <w:rFonts w:ascii="Arial" w:eastAsia="Arial" w:hAnsi="Arial" w:cs="Arial"/>
          <w:sz w:val="18"/>
          <w:szCs w:val="18"/>
        </w:rPr>
        <w:t xml:space="preserve">Zapewnienie odpowiedniego miejsca i wyposażonej sali szkoleniowej do przeprowadzenia kursu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="00673DFB">
        <w:rPr>
          <w:rFonts w:ascii="Arial" w:eastAsia="Arial" w:hAnsi="Arial" w:cs="Arial"/>
          <w:sz w:val="18"/>
          <w:szCs w:val="18"/>
        </w:rPr>
        <w:t>.</w:t>
      </w:r>
    </w:p>
    <w:p w:rsidR="006C338F" w:rsidRPr="00E23D92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Przygotowanie i wydanie uczestnikom, kończącym go z wynikiem pozytywnym, niezbędnych dokumentów/certyfikatów potwierdzających ukończenie kursu;</w:t>
      </w:r>
    </w:p>
    <w:p w:rsidR="006C338F" w:rsidRPr="00E23D92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Po zakończeniu kursu Wykonawca zobowiązany jest dostarczyć następujące dokumenty:</w:t>
      </w:r>
    </w:p>
    <w:p w:rsidR="006C338F" w:rsidRPr="00E23D92" w:rsidRDefault="006C338F" w:rsidP="006C338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Listy obecności uczestników kursu;</w:t>
      </w:r>
    </w:p>
    <w:p w:rsidR="006C338F" w:rsidRPr="00B911B5" w:rsidRDefault="006C338F" w:rsidP="006C338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eastAsia="Arial" w:hAnsi="Arial" w:cs="Arial"/>
          <w:sz w:val="18"/>
          <w:szCs w:val="18"/>
        </w:rPr>
        <w:t xml:space="preserve">Dzienniki zajęć zawierające: listę obecności, wymiar godzin i tematy zajęć, </w:t>
      </w:r>
    </w:p>
    <w:p w:rsidR="006C338F" w:rsidRPr="00E23D92" w:rsidRDefault="006C338F" w:rsidP="006C338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Oświadczenia uczestników potwierdzające odbiór materiałów szkoleniowych;</w:t>
      </w:r>
    </w:p>
    <w:p w:rsidR="006C338F" w:rsidRPr="00E23D92" w:rsidRDefault="006C338F" w:rsidP="006C338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Kopie, potwierdzone za zgodność z oryginałem protokołów egzaminów wewnętrznych (jeśli są takie przewidziane) i egzaminu potwierdzającego nabycie kompetencji.</w:t>
      </w:r>
    </w:p>
    <w:p w:rsidR="006C338F" w:rsidRPr="00B911B5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eastAsia="Arial" w:hAnsi="Arial" w:cs="Arial"/>
          <w:sz w:val="18"/>
          <w:szCs w:val="18"/>
        </w:rPr>
        <w:t xml:space="preserve">Skierowanie uczestników kursu do udziału w odpowiednich egzaminach potwierdzających zdobyte </w:t>
      </w:r>
      <w:r w:rsidR="00B911B5" w:rsidRPr="00B911B5">
        <w:rPr>
          <w:rFonts w:ascii="Arial" w:eastAsia="Arial" w:hAnsi="Arial" w:cs="Arial"/>
          <w:sz w:val="18"/>
          <w:szCs w:val="18"/>
        </w:rPr>
        <w:t>kwalifikacje</w:t>
      </w:r>
      <w:r w:rsidRPr="00B911B5">
        <w:rPr>
          <w:rFonts w:ascii="Arial" w:eastAsia="Arial" w:hAnsi="Arial" w:cs="Arial"/>
          <w:sz w:val="18"/>
          <w:szCs w:val="18"/>
        </w:rPr>
        <w:t xml:space="preserve"> (potwierdzone odpowiednim dokumentem) i organizacja egzaminów.</w:t>
      </w:r>
    </w:p>
    <w:p w:rsidR="006C338F" w:rsidRPr="00E23D92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Egzaminy potwierdzające zdobyte kompetencje powinny odbyć się niezwłocznie po zakończeniu kursu.</w:t>
      </w:r>
    </w:p>
    <w:p w:rsidR="006C338F" w:rsidRPr="00E23D92" w:rsidRDefault="006C338F" w:rsidP="006C338F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Zapewnienia obsługi dotyczącej formalności związanych z uczestnictwem uczestnika kursu w egzaminie potwierdzającym zdobyte kompetencje.</w:t>
      </w:r>
    </w:p>
    <w:p w:rsidR="006C338F" w:rsidRPr="00657826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 xml:space="preserve">W ramach realizacji przedmiotowego zadania Wykonawca zorganizuje i kompleksowo przeprowadzi kurs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657826">
        <w:rPr>
          <w:rFonts w:ascii="Arial" w:eastAsia="Arial" w:hAnsi="Arial" w:cs="Arial"/>
          <w:sz w:val="18"/>
          <w:szCs w:val="18"/>
        </w:rPr>
        <w:t xml:space="preserve">  dla łącznie 80 (osiemdziesięciu) osób/ uczestników projektu.</w:t>
      </w:r>
    </w:p>
    <w:p w:rsidR="006C338F" w:rsidRPr="00ED57E3" w:rsidRDefault="006C338F" w:rsidP="00ED57E3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 xml:space="preserve">Uczestnikami projektu są uczniowie </w:t>
      </w:r>
      <w:r w:rsidRPr="001D3073">
        <w:rPr>
          <w:rFonts w:ascii="Arial" w:eastAsia="Arial" w:hAnsi="Arial" w:cs="Arial"/>
          <w:color w:val="000000"/>
          <w:sz w:val="18"/>
          <w:szCs w:val="18"/>
        </w:rPr>
        <w:t xml:space="preserve">Technicznych Zakładów Naukowych w </w:t>
      </w:r>
      <w:r w:rsidR="00ED57E3">
        <w:rPr>
          <w:rFonts w:ascii="Arial" w:eastAsia="Arial" w:hAnsi="Arial" w:cs="Arial"/>
          <w:color w:val="000000"/>
          <w:sz w:val="18"/>
          <w:szCs w:val="18"/>
        </w:rPr>
        <w:t xml:space="preserve">Dąbrowie Górniczej o kierunkach kształcenia: </w:t>
      </w:r>
      <w:r w:rsidR="00ED57E3" w:rsidRPr="00ED57E3">
        <w:rPr>
          <w:rFonts w:ascii="Arial" w:eastAsia="Arial" w:hAnsi="Arial" w:cs="Arial"/>
          <w:color w:val="000000"/>
          <w:sz w:val="18"/>
          <w:szCs w:val="18"/>
        </w:rPr>
        <w:t xml:space="preserve"> elektronik, elektryk,</w:t>
      </w:r>
      <w:r w:rsidR="00ED57E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ED57E3" w:rsidRPr="00ED57E3">
        <w:rPr>
          <w:rFonts w:ascii="Arial" w:eastAsia="Arial" w:hAnsi="Arial" w:cs="Arial"/>
          <w:color w:val="000000"/>
          <w:sz w:val="18"/>
          <w:szCs w:val="18"/>
        </w:rPr>
        <w:t>automatyk, robotyk czy informatyk, klas III i IV.</w:t>
      </w:r>
    </w:p>
    <w:p w:rsidR="006C338F" w:rsidRPr="00B911B5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hAnsi="Arial" w:cs="Arial"/>
          <w:sz w:val="18"/>
          <w:szCs w:val="18"/>
        </w:rPr>
        <w:t>Wykonawca posiada uprawnienia do egzaminowania lub zapewni podmiot zewnętrzny uprawniony do prowadzenia egzaminu potwierdzającego zdobyte kompetencje w trakcie kursu objętym przedmiotem zamówienia.</w:t>
      </w:r>
    </w:p>
    <w:p w:rsidR="006C338F" w:rsidRPr="00B911B5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</w:rPr>
      </w:pPr>
      <w:r w:rsidRPr="00B911B5">
        <w:rPr>
          <w:rFonts w:ascii="Arial" w:hAnsi="Arial" w:cs="Arial"/>
          <w:sz w:val="18"/>
        </w:rPr>
        <w:t>Wykonawca jest Autoryzowanym Centrum Szkoleniowym IPC.</w:t>
      </w:r>
    </w:p>
    <w:p w:rsidR="006C338F" w:rsidRPr="00984DC5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</w:rPr>
      </w:pPr>
      <w:r w:rsidRPr="00984DC5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 w:rsidRPr="00984DC5"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 w:rsidRPr="00984DC5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984DC5"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6C338F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84DC5">
        <w:rPr>
          <w:rFonts w:ascii="Arial" w:eastAsia="Arial" w:hAnsi="Arial" w:cs="Arial"/>
          <w:color w:val="000000"/>
          <w:sz w:val="18"/>
          <w:szCs w:val="18"/>
        </w:rPr>
        <w:t>Wykonawca</w:t>
      </w:r>
      <w:r w:rsidRPr="0082536B">
        <w:rPr>
          <w:rFonts w:ascii="Arial" w:eastAsia="Arial" w:hAnsi="Arial" w:cs="Arial"/>
          <w:color w:val="000000"/>
          <w:sz w:val="18"/>
          <w:szCs w:val="18"/>
        </w:rPr>
        <w:t xml:space="preserve"> zobowiązany jest do przekazywania informacji telefonicznie lub za pośrednictwem poczty elektronicznej, o każdym Uczestniku kursu, który nie stawił się na umówione szkolenie oraz o wszelkich</w:t>
      </w: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 problemach i trudnościach, które mogą wpłynąć na prawidłową realizację usługi.</w:t>
      </w:r>
    </w:p>
    <w:p w:rsidR="006C338F" w:rsidRPr="000B4E27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miesiąca, wszystkich dokumentów potwierdzających realizację usługi w zakończonym miesiącu (</w:t>
      </w:r>
      <w:r w:rsidRPr="000B4E27">
        <w:rPr>
          <w:rFonts w:ascii="Arial" w:eastAsia="Arial" w:hAnsi="Arial" w:cs="Arial"/>
          <w:color w:val="000000"/>
          <w:sz w:val="18"/>
          <w:szCs w:val="18"/>
        </w:rPr>
        <w:t>listy obecności, program kursu i indywidualne harmonogramy</w:t>
      </w:r>
      <w:r w:rsidRPr="000B4E27">
        <w:rPr>
          <w:rFonts w:ascii="Arial" w:eastAsia="Arial" w:hAnsi="Arial" w:cs="Arial"/>
          <w:sz w:val="18"/>
          <w:szCs w:val="18"/>
        </w:rPr>
        <w:t>).</w:t>
      </w:r>
    </w:p>
    <w:p w:rsidR="006C338F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  <w:r w:rsidRPr="000B4E27">
        <w:rPr>
          <w:rFonts w:ascii="Arial" w:eastAsia="Arial" w:hAnsi="Arial" w:cs="Arial"/>
          <w:color w:val="000000"/>
          <w:sz w:val="18"/>
          <w:szCs w:val="18"/>
        </w:rPr>
        <w:t>z realizacją umowy Wykonawca jest zobowiązany drukować na własny koszt.</w:t>
      </w:r>
    </w:p>
    <w:p w:rsidR="006C338F" w:rsidRPr="000B4E27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Zapewnienie uczestnikom projektu niezbędnych materiałów dydaktycznych (np. testów, ćwiczeń) 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i oznaczania ich zgodnie z wytycznymi znajdującymi się na stronie </w:t>
      </w:r>
      <w:hyperlink r:id="rId8" w:history="1">
        <w:r w:rsidR="00ED57E3" w:rsidRPr="008E0BB1">
          <w:rPr>
            <w:rStyle w:val="Hipercze"/>
            <w:rFonts w:ascii="Arial" w:eastAsia="Arial" w:hAnsi="Arial" w:cs="Arial"/>
            <w:b/>
            <w:sz w:val="18"/>
            <w:szCs w:val="18"/>
          </w:rPr>
          <w:t>www.funduszeue.slaskie.pl</w:t>
        </w:r>
      </w:hyperlink>
    </w:p>
    <w:p w:rsidR="006C338F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Wykonawca dysponuje wykwalifikowaną i doświadczoną kadrą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szkoleniowo- </w:t>
      </w:r>
      <w:r w:rsidRPr="000B4E27">
        <w:rPr>
          <w:rFonts w:ascii="Arial" w:eastAsia="Arial" w:hAnsi="Arial" w:cs="Arial"/>
          <w:color w:val="000000"/>
          <w:sz w:val="18"/>
          <w:szCs w:val="18"/>
        </w:rPr>
        <w:t>dydaktyczną, która będzie uczestniczyć w realizacji przedmiotu umowy.</w:t>
      </w:r>
    </w:p>
    <w:p w:rsidR="006C338F" w:rsidRDefault="006C338F" w:rsidP="006C338F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6C338F" w:rsidRPr="0099408D" w:rsidRDefault="006C338F" w:rsidP="006C338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6C338F" w:rsidRPr="0099408D" w:rsidRDefault="006C338F" w:rsidP="006C338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6C338F" w:rsidRPr="0099408D" w:rsidRDefault="006C338F" w:rsidP="006C338F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6C338F" w:rsidRPr="00807A33" w:rsidRDefault="006C338F" w:rsidP="006C338F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07A33"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6C338F" w:rsidRPr="00807A33" w:rsidRDefault="006C338F" w:rsidP="006C338F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07A33"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673DFB" w:rsidRPr="00FD4B76" w:rsidRDefault="00673DFB" w:rsidP="00673DFB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 w:rsidRPr="00FD4B76"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>
        <w:rPr>
          <w:rFonts w:ascii="Arial" w:hAnsi="Arial" w:cs="Arial"/>
          <w:sz w:val="18"/>
        </w:rPr>
        <w:t>Funduszami Europejskimi</w:t>
      </w:r>
      <w:r w:rsidRPr="00F34685">
        <w:rPr>
          <w:rFonts w:ascii="Arial" w:hAnsi="Arial" w:cs="Arial"/>
          <w:sz w:val="18"/>
        </w:rPr>
        <w:t xml:space="preserve"> dla Śląskiego 2021-2027</w:t>
      </w:r>
      <w:r>
        <w:rPr>
          <w:rFonts w:ascii="Arial" w:hAnsi="Arial" w:cs="Arial"/>
          <w:sz w:val="18"/>
        </w:rPr>
        <w:t>.</w:t>
      </w:r>
    </w:p>
    <w:p w:rsidR="00673DFB" w:rsidRPr="00FD4B76" w:rsidRDefault="00673DFB" w:rsidP="00673DFB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34685">
        <w:rPr>
          <w:rFonts w:ascii="Arial" w:hAnsi="Arial" w:cs="Arial"/>
          <w:sz w:val="18"/>
        </w:rPr>
        <w:t xml:space="preserve"> </w:t>
      </w:r>
      <w:r w:rsidRPr="00FD4B76"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 w:rsidRPr="00FD4B76">
        <w:rPr>
          <w:rFonts w:ascii="Arial" w:hAnsi="Arial" w:cs="Arial"/>
          <w:sz w:val="18"/>
        </w:rPr>
        <w:t>ze środków Funduszy Europejskich dla Śląskiego 2021-2027 (Fundusz na rzecz Sprawiedliwej Transformacji)</w:t>
      </w:r>
      <w:r>
        <w:rPr>
          <w:rFonts w:ascii="Arial" w:hAnsi="Arial" w:cs="Arial"/>
          <w:sz w:val="18"/>
        </w:rPr>
        <w:t>.</w:t>
      </w:r>
    </w:p>
    <w:p w:rsidR="00494DFD" w:rsidRDefault="00494DFD" w:rsidP="00F34685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  <w:u w:val="single"/>
        </w:rPr>
      </w:pPr>
    </w:p>
    <w:sectPr w:rsidR="00494D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7FA7" w:rsidRDefault="00167FA7" w:rsidP="00984DC5">
      <w:pPr>
        <w:spacing w:after="0" w:line="240" w:lineRule="auto"/>
      </w:pPr>
      <w:r>
        <w:separator/>
      </w:r>
    </w:p>
  </w:endnote>
  <w:endnote w:type="continuationSeparator" w:id="0">
    <w:p w:rsidR="00167FA7" w:rsidRDefault="00167FA7" w:rsidP="0098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2F8A" w:rsidRPr="008B276A" w:rsidRDefault="00052F8A" w:rsidP="00052F8A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B63EA5" w:rsidRPr="00B63EA5">
      <w:rPr>
        <w:rFonts w:eastAsiaTheme="majorEastAsia"/>
        <w:noProof/>
      </w:rPr>
      <w:t>1</w:t>
    </w:r>
    <w:r w:rsidRPr="008B276A">
      <w:rPr>
        <w:rFonts w:eastAsiaTheme="majorEastAsia"/>
      </w:rPr>
      <w:fldChar w:fldCharType="end"/>
    </w:r>
  </w:p>
  <w:p w:rsidR="00984DC5" w:rsidRPr="00052F8A" w:rsidRDefault="00984DC5" w:rsidP="00052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7FA7" w:rsidRDefault="00167FA7" w:rsidP="00984DC5">
      <w:pPr>
        <w:spacing w:after="0" w:line="240" w:lineRule="auto"/>
      </w:pPr>
      <w:r>
        <w:separator/>
      </w:r>
    </w:p>
  </w:footnote>
  <w:footnote w:type="continuationSeparator" w:id="0">
    <w:p w:rsidR="00167FA7" w:rsidRDefault="00167FA7" w:rsidP="0098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4DC5" w:rsidRDefault="00984DC5" w:rsidP="00984DC5">
    <w:pPr>
      <w:pStyle w:val="Nagwek"/>
      <w:jc w:val="center"/>
    </w:pPr>
    <w:r>
      <w:rPr>
        <w:noProof/>
        <w:color w:val="000000"/>
      </w:rPr>
      <w:drawing>
        <wp:inline distT="0" distB="0" distL="0" distR="0" wp14:anchorId="3393E5D5" wp14:editId="4BE4DE8A">
          <wp:extent cx="5760720" cy="563880"/>
          <wp:effectExtent l="0" t="0" r="0" b="7620"/>
          <wp:docPr id="1" name="image1.jpg" descr="C:\Users\Robert Karlik\AppData\Local\Microsoft\Windows\INetCache\Content.Word\EFS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obert Karlik\AppData\Local\Microsoft\Windows\INetCache\Content.Word\EFS_POZIOM_k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BB5"/>
    <w:multiLevelType w:val="multilevel"/>
    <w:tmpl w:val="0D96B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D55344"/>
    <w:multiLevelType w:val="hybridMultilevel"/>
    <w:tmpl w:val="885A82D6"/>
    <w:lvl w:ilvl="0" w:tplc="C33433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2EF5"/>
    <w:multiLevelType w:val="hybridMultilevel"/>
    <w:tmpl w:val="2FA4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20DC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5CD0"/>
    <w:multiLevelType w:val="hybridMultilevel"/>
    <w:tmpl w:val="5B3EF6FE"/>
    <w:lvl w:ilvl="0" w:tplc="4A6C640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3E59"/>
    <w:multiLevelType w:val="multilevel"/>
    <w:tmpl w:val="23643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6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7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F1C"/>
    <w:multiLevelType w:val="multilevel"/>
    <w:tmpl w:val="9F0C2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1FA0F0B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9E0"/>
    <w:multiLevelType w:val="hybridMultilevel"/>
    <w:tmpl w:val="6248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51E4C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12" w15:restartNumberingAfterBreak="0">
    <w:nsid w:val="3AA62E4C"/>
    <w:multiLevelType w:val="multilevel"/>
    <w:tmpl w:val="8D54777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B0191A"/>
    <w:multiLevelType w:val="multilevel"/>
    <w:tmpl w:val="637E7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307435"/>
    <w:multiLevelType w:val="multilevel"/>
    <w:tmpl w:val="1D36E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1E47047"/>
    <w:multiLevelType w:val="hybridMultilevel"/>
    <w:tmpl w:val="892842BE"/>
    <w:lvl w:ilvl="0" w:tplc="666A55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1D8F"/>
    <w:multiLevelType w:val="hybridMultilevel"/>
    <w:tmpl w:val="BDFE5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11387"/>
    <w:multiLevelType w:val="hybridMultilevel"/>
    <w:tmpl w:val="EEDE4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771FC"/>
    <w:multiLevelType w:val="hybridMultilevel"/>
    <w:tmpl w:val="31BE9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71CF"/>
    <w:multiLevelType w:val="hybridMultilevel"/>
    <w:tmpl w:val="048EF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57899"/>
    <w:multiLevelType w:val="hybridMultilevel"/>
    <w:tmpl w:val="756A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A750ACE"/>
    <w:multiLevelType w:val="hybridMultilevel"/>
    <w:tmpl w:val="740C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2378E"/>
    <w:multiLevelType w:val="hybridMultilevel"/>
    <w:tmpl w:val="A2B69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63C44"/>
    <w:multiLevelType w:val="multilevel"/>
    <w:tmpl w:val="8438E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635905"/>
    <w:multiLevelType w:val="hybridMultilevel"/>
    <w:tmpl w:val="97AAF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A2B87"/>
    <w:multiLevelType w:val="multilevel"/>
    <w:tmpl w:val="D4D45F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9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C5376"/>
    <w:multiLevelType w:val="hybridMultilevel"/>
    <w:tmpl w:val="C8840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515"/>
    <w:multiLevelType w:val="multilevel"/>
    <w:tmpl w:val="C20E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184F7E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34" w15:restartNumberingAfterBreak="0">
    <w:nsid w:val="7BEC5482"/>
    <w:multiLevelType w:val="hybridMultilevel"/>
    <w:tmpl w:val="999C7B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326AF8"/>
    <w:multiLevelType w:val="hybridMultilevel"/>
    <w:tmpl w:val="D040A8F0"/>
    <w:lvl w:ilvl="0" w:tplc="B498CA5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7047"/>
    <w:multiLevelType w:val="hybridMultilevel"/>
    <w:tmpl w:val="8BA849A8"/>
    <w:lvl w:ilvl="0" w:tplc="81B2EB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86804">
    <w:abstractNumId w:val="6"/>
  </w:num>
  <w:num w:numId="2" w16cid:durableId="1196042455">
    <w:abstractNumId w:val="33"/>
  </w:num>
  <w:num w:numId="3" w16cid:durableId="1061438264">
    <w:abstractNumId w:val="15"/>
  </w:num>
  <w:num w:numId="4" w16cid:durableId="1080830999">
    <w:abstractNumId w:val="24"/>
  </w:num>
  <w:num w:numId="5" w16cid:durableId="1986545393">
    <w:abstractNumId w:val="9"/>
  </w:num>
  <w:num w:numId="6" w16cid:durableId="2095205565">
    <w:abstractNumId w:val="22"/>
  </w:num>
  <w:num w:numId="7" w16cid:durableId="1356156400">
    <w:abstractNumId w:val="31"/>
  </w:num>
  <w:num w:numId="8" w16cid:durableId="1797019687">
    <w:abstractNumId w:val="29"/>
  </w:num>
  <w:num w:numId="9" w16cid:durableId="1861704339">
    <w:abstractNumId w:val="23"/>
  </w:num>
  <w:num w:numId="10" w16cid:durableId="353460706">
    <w:abstractNumId w:val="1"/>
  </w:num>
  <w:num w:numId="11" w16cid:durableId="393938725">
    <w:abstractNumId w:val="16"/>
  </w:num>
  <w:num w:numId="12" w16cid:durableId="32270591">
    <w:abstractNumId w:val="3"/>
  </w:num>
  <w:num w:numId="13" w16cid:durableId="764033870">
    <w:abstractNumId w:val="11"/>
  </w:num>
  <w:num w:numId="14" w16cid:durableId="939022473">
    <w:abstractNumId w:val="0"/>
  </w:num>
  <w:num w:numId="15" w16cid:durableId="743989918">
    <w:abstractNumId w:val="32"/>
  </w:num>
  <w:num w:numId="16" w16cid:durableId="1333265291">
    <w:abstractNumId w:val="27"/>
  </w:num>
  <w:num w:numId="17" w16cid:durableId="627708793">
    <w:abstractNumId w:val="14"/>
  </w:num>
  <w:num w:numId="18" w16cid:durableId="1175269733">
    <w:abstractNumId w:val="21"/>
  </w:num>
  <w:num w:numId="19" w16cid:durableId="393554403">
    <w:abstractNumId w:val="17"/>
  </w:num>
  <w:num w:numId="20" w16cid:durableId="807819422">
    <w:abstractNumId w:val="28"/>
  </w:num>
  <w:num w:numId="21" w16cid:durableId="267085634">
    <w:abstractNumId w:val="5"/>
  </w:num>
  <w:num w:numId="22" w16cid:durableId="19326660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752573">
    <w:abstractNumId w:val="26"/>
  </w:num>
  <w:num w:numId="24" w16cid:durableId="464158070">
    <w:abstractNumId w:val="7"/>
  </w:num>
  <w:num w:numId="25" w16cid:durableId="1592422676">
    <w:abstractNumId w:val="36"/>
  </w:num>
  <w:num w:numId="26" w16cid:durableId="79327794">
    <w:abstractNumId w:val="25"/>
  </w:num>
  <w:num w:numId="27" w16cid:durableId="1305692941">
    <w:abstractNumId w:val="13"/>
  </w:num>
  <w:num w:numId="28" w16cid:durableId="157156125">
    <w:abstractNumId w:val="4"/>
  </w:num>
  <w:num w:numId="29" w16cid:durableId="1549416139">
    <w:abstractNumId w:val="18"/>
  </w:num>
  <w:num w:numId="30" w16cid:durableId="1974406134">
    <w:abstractNumId w:val="20"/>
  </w:num>
  <w:num w:numId="31" w16cid:durableId="122424606">
    <w:abstractNumId w:val="12"/>
  </w:num>
  <w:num w:numId="32" w16cid:durableId="1001276811">
    <w:abstractNumId w:val="35"/>
  </w:num>
  <w:num w:numId="33" w16cid:durableId="840123921">
    <w:abstractNumId w:val="30"/>
  </w:num>
  <w:num w:numId="34" w16cid:durableId="1992249543">
    <w:abstractNumId w:val="10"/>
  </w:num>
  <w:num w:numId="35" w16cid:durableId="827944462">
    <w:abstractNumId w:val="34"/>
  </w:num>
  <w:num w:numId="36" w16cid:durableId="867370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6060064">
    <w:abstractNumId w:val="19"/>
  </w:num>
  <w:num w:numId="38" w16cid:durableId="1763143396">
    <w:abstractNumId w:val="2"/>
  </w:num>
  <w:num w:numId="39" w16cid:durableId="1727408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5"/>
    <w:rsid w:val="000313C7"/>
    <w:rsid w:val="00042D3D"/>
    <w:rsid w:val="00052F8A"/>
    <w:rsid w:val="00064020"/>
    <w:rsid w:val="00086832"/>
    <w:rsid w:val="00094206"/>
    <w:rsid w:val="00095885"/>
    <w:rsid w:val="000A27FB"/>
    <w:rsid w:val="000D4E9B"/>
    <w:rsid w:val="000F4655"/>
    <w:rsid w:val="001600F3"/>
    <w:rsid w:val="00167FA7"/>
    <w:rsid w:val="001A5AB3"/>
    <w:rsid w:val="001E527D"/>
    <w:rsid w:val="001F17D0"/>
    <w:rsid w:val="00200386"/>
    <w:rsid w:val="00257DE3"/>
    <w:rsid w:val="00293D79"/>
    <w:rsid w:val="00344A5D"/>
    <w:rsid w:val="00413CD8"/>
    <w:rsid w:val="00494DFD"/>
    <w:rsid w:val="004D3E32"/>
    <w:rsid w:val="004F7091"/>
    <w:rsid w:val="004F7E73"/>
    <w:rsid w:val="004F7F78"/>
    <w:rsid w:val="00521F73"/>
    <w:rsid w:val="00556DD9"/>
    <w:rsid w:val="005761DA"/>
    <w:rsid w:val="00592A79"/>
    <w:rsid w:val="005B40BE"/>
    <w:rsid w:val="005C05F3"/>
    <w:rsid w:val="005E255F"/>
    <w:rsid w:val="005E7D7F"/>
    <w:rsid w:val="00613F26"/>
    <w:rsid w:val="00643064"/>
    <w:rsid w:val="00673DFB"/>
    <w:rsid w:val="006803EC"/>
    <w:rsid w:val="006A4F19"/>
    <w:rsid w:val="006C338F"/>
    <w:rsid w:val="006E5E62"/>
    <w:rsid w:val="00704AD4"/>
    <w:rsid w:val="0076279A"/>
    <w:rsid w:val="00805FF3"/>
    <w:rsid w:val="00831BEB"/>
    <w:rsid w:val="0083404B"/>
    <w:rsid w:val="00842FBD"/>
    <w:rsid w:val="00854ED2"/>
    <w:rsid w:val="008605E0"/>
    <w:rsid w:val="008616A3"/>
    <w:rsid w:val="008717C2"/>
    <w:rsid w:val="00887FED"/>
    <w:rsid w:val="008A7AFE"/>
    <w:rsid w:val="00940A88"/>
    <w:rsid w:val="00955EC4"/>
    <w:rsid w:val="00971741"/>
    <w:rsid w:val="00984DC5"/>
    <w:rsid w:val="009925A2"/>
    <w:rsid w:val="009B778A"/>
    <w:rsid w:val="009D15ED"/>
    <w:rsid w:val="009F50D4"/>
    <w:rsid w:val="009F6C62"/>
    <w:rsid w:val="00A32B61"/>
    <w:rsid w:val="00AB43FD"/>
    <w:rsid w:val="00AF6B60"/>
    <w:rsid w:val="00B14A90"/>
    <w:rsid w:val="00B433BB"/>
    <w:rsid w:val="00B54133"/>
    <w:rsid w:val="00B5716F"/>
    <w:rsid w:val="00B63EA5"/>
    <w:rsid w:val="00B70F73"/>
    <w:rsid w:val="00B90B1D"/>
    <w:rsid w:val="00B911B5"/>
    <w:rsid w:val="00BA49CE"/>
    <w:rsid w:val="00BA4F7E"/>
    <w:rsid w:val="00BB47B4"/>
    <w:rsid w:val="00BD3AAB"/>
    <w:rsid w:val="00BD5B1F"/>
    <w:rsid w:val="00BE3ED3"/>
    <w:rsid w:val="00BE7230"/>
    <w:rsid w:val="00C23684"/>
    <w:rsid w:val="00C5581F"/>
    <w:rsid w:val="00C60E62"/>
    <w:rsid w:val="00C81DA0"/>
    <w:rsid w:val="00D138CE"/>
    <w:rsid w:val="00D15DF0"/>
    <w:rsid w:val="00D26B5E"/>
    <w:rsid w:val="00DA32F4"/>
    <w:rsid w:val="00DB1C1C"/>
    <w:rsid w:val="00DB31C0"/>
    <w:rsid w:val="00DD0526"/>
    <w:rsid w:val="00DE0753"/>
    <w:rsid w:val="00DE1619"/>
    <w:rsid w:val="00DF1938"/>
    <w:rsid w:val="00E12B9C"/>
    <w:rsid w:val="00E1417B"/>
    <w:rsid w:val="00E524A2"/>
    <w:rsid w:val="00E8640A"/>
    <w:rsid w:val="00EB7618"/>
    <w:rsid w:val="00ED57E3"/>
    <w:rsid w:val="00EF5A7B"/>
    <w:rsid w:val="00F34685"/>
    <w:rsid w:val="00F8029E"/>
    <w:rsid w:val="00F82295"/>
    <w:rsid w:val="00F906FA"/>
    <w:rsid w:val="00FD4B7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788E3"/>
  <w15:docId w15:val="{D9B1CA2F-8E51-480A-9FFB-6F04F3D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C5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C5"/>
  </w:style>
  <w:style w:type="paragraph" w:styleId="Stopka">
    <w:name w:val="footer"/>
    <w:basedOn w:val="Normalny"/>
    <w:link w:val="Stopka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C5"/>
  </w:style>
  <w:style w:type="paragraph" w:styleId="Tekstdymka">
    <w:name w:val="Balloon Text"/>
    <w:basedOn w:val="Normalny"/>
    <w:link w:val="TekstdymkaZnak"/>
    <w:uiPriority w:val="99"/>
    <w:semiHidden/>
    <w:unhideWhenUsed/>
    <w:rsid w:val="009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DC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984DC5"/>
    <w:pPr>
      <w:ind w:left="720"/>
      <w:contextualSpacing/>
    </w:pPr>
  </w:style>
  <w:style w:type="character" w:styleId="Odwoanieprzypisudolnego">
    <w:name w:val="footnote reference"/>
    <w:aliases w:val="przypisy dolne"/>
    <w:rsid w:val="00984DC5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B54133"/>
    <w:rPr>
      <w:rFonts w:ascii="Calibri" w:eastAsia="Calibri" w:hAnsi="Calibri" w:cs="Calibri"/>
      <w:lang w:eastAsia="pl-PL"/>
    </w:rPr>
  </w:style>
  <w:style w:type="character" w:styleId="Uwydatnienie">
    <w:name w:val="Emphasis"/>
    <w:qFormat/>
    <w:rsid w:val="00F3468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3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38F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38F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D57E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86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38C7-630A-4466-B94F-9DEBB640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2</cp:revision>
  <dcterms:created xsi:type="dcterms:W3CDTF">2024-09-29T06:52:00Z</dcterms:created>
  <dcterms:modified xsi:type="dcterms:W3CDTF">2024-09-29T06:52:00Z</dcterms:modified>
</cp:coreProperties>
</file>