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D8FA0" w14:textId="5A7919CD" w:rsidR="002E5C07" w:rsidRPr="00663E53" w:rsidRDefault="00217B0F" w:rsidP="002E5C07">
      <w:pPr>
        <w:suppressAutoHyphens/>
        <w:autoSpaceDN w:val="0"/>
        <w:snapToGrid w:val="0"/>
        <w:spacing w:before="240" w:after="0" w:line="276" w:lineRule="auto"/>
        <w:rPr>
          <w:rFonts w:cs="Calibri Light"/>
          <w:i/>
          <w:iCs/>
          <w:sz w:val="18"/>
          <w:szCs w:val="18"/>
          <w:lang w:eastAsia="zh-CN"/>
        </w:rPr>
      </w:pPr>
      <w:r w:rsidRPr="00663E53">
        <w:rPr>
          <w:rFonts w:cs="Calibri Light"/>
          <w:i/>
          <w:iCs/>
          <w:sz w:val="18"/>
          <w:szCs w:val="18"/>
          <w:lang w:eastAsia="zh-CN"/>
        </w:rPr>
        <w:t xml:space="preserve">Załącznik </w:t>
      </w:r>
      <w:r w:rsidR="00AB635B">
        <w:rPr>
          <w:rFonts w:cs="Calibri Light"/>
          <w:i/>
          <w:iCs/>
          <w:sz w:val="18"/>
          <w:szCs w:val="18"/>
          <w:lang w:eastAsia="zh-CN"/>
        </w:rPr>
        <w:t>2</w:t>
      </w:r>
    </w:p>
    <w:p w14:paraId="17B73135" w14:textId="22446305" w:rsidR="00663E53" w:rsidRPr="00663E53" w:rsidRDefault="00663E53" w:rsidP="00663E53">
      <w:pPr>
        <w:rPr>
          <w:rFonts w:asciiTheme="majorHAnsi" w:eastAsiaTheme="majorEastAsia" w:hAnsiTheme="majorHAnsi" w:cstheme="majorBidi"/>
          <w:b/>
          <w:sz w:val="18"/>
          <w:szCs w:val="18"/>
        </w:rPr>
      </w:pPr>
      <w:r>
        <w:rPr>
          <w:rFonts w:asciiTheme="majorHAnsi" w:eastAsiaTheme="majorEastAsia" w:hAnsiTheme="majorHAnsi" w:cstheme="majorBidi"/>
          <w:b/>
          <w:sz w:val="18"/>
          <w:szCs w:val="18"/>
        </w:rPr>
        <w:t>Serwer rack – 1 szt.</w:t>
      </w:r>
    </w:p>
    <w:p w14:paraId="69E76D9B" w14:textId="77777777" w:rsidR="00663E53" w:rsidRPr="00663E53" w:rsidRDefault="00663E53" w:rsidP="00663E53">
      <w:pPr>
        <w:rPr>
          <w:rFonts w:asciiTheme="majorHAnsi" w:eastAsiaTheme="majorEastAsia" w:hAnsiTheme="majorHAnsi" w:cstheme="majorBidi"/>
          <w:b/>
          <w:sz w:val="18"/>
          <w:szCs w:val="18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4434"/>
        <w:gridCol w:w="2552"/>
      </w:tblGrid>
      <w:tr w:rsidR="00B9128B" w:rsidRPr="00663E53" w14:paraId="04485141" w14:textId="523FC175" w:rsidTr="00557F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64CBB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Parametr</w:t>
            </w:r>
          </w:p>
        </w:tc>
        <w:tc>
          <w:tcPr>
            <w:tcW w:w="4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827B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Charakterystyka (wymagania minimalne)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2ED899B" w14:textId="353319A1" w:rsidR="00B9128B" w:rsidRPr="00663E53" w:rsidRDefault="00B9128B" w:rsidP="00B9128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00B9128B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OKREŚLENIE, CZY OFEROWANY ELEMENT PRZEDMIOTU ZAMÓWIENIA SPEŁNIA, CZY NIE SPEŁNIA MINIMALNYCH WYMAGAŃ</w:t>
            </w:r>
          </w:p>
        </w:tc>
      </w:tr>
      <w:tr w:rsidR="00B9128B" w:rsidRPr="00663E53" w14:paraId="546939F6" w14:textId="1DC4F2ED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61DFC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Obudowa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D4070D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Obudowa Rack o wysokości max 1U, wraz z kompletem wysuwanych szyn umożliwiających montaż w szafie rack i wysuwanie serwera do celów serwisowych. </w:t>
            </w:r>
          </w:p>
          <w:p w14:paraId="3F1F6B6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Możliwość zamontowania minimum ośmiu dysków 2.5”</w:t>
            </w:r>
          </w:p>
          <w:p w14:paraId="3368BEB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Obudowa z możliwością wyposażenia w kartę umożliwiającą dostęp bezpośredni poprzez urządzenia mobilne - serwer musi posiadać możliwość konfiguracji oraz monitoringu najważniejszych komponentów serwera przy użyciu dedykowanej aplikacji mobilnej min. (Android/ Apple iOS) przy użyciu jednego z protokołów BLE/ WIFI.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82C11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57690786" w14:textId="79AF43F7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1772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Płyta główna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A4AC0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Płyta główna z możliwością zainstalowania do dwóch procesorów. Płyta główna musi być zaprojektowana przez producenta serwera i oznaczona jego znakiem firmowym.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F58FC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2BDC367D" w14:textId="549597EF" w:rsidTr="00B9128B">
        <w:trPr>
          <w:trHeight w:val="7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27E3D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Chipset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C1CCD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Dedykowany przez producenta procesora do pracy w serwerach dwuprocesorowych.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F2843E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63D0E871" w14:textId="37C7FEE3" w:rsidTr="00B9128B">
        <w:trPr>
          <w:trHeight w:val="7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231FD8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Procesor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89716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Zainstalowany jeden procesor min. 16-rdzeniowy, min. 2GHz, klasy x86 dedykowany do pracy z zaoferowanym serwerem umożliwiające osiągnięcie wyniku min. 262 w teście SPECrate2017_int_base, dostępnym na stronie </w:t>
            </w:r>
            <w:hyperlink r:id="rId7" w:history="1">
              <w:r w:rsidRPr="00663E53">
                <w:rPr>
                  <w:rStyle w:val="Hipercze"/>
                  <w:rFonts w:asciiTheme="majorHAnsi" w:eastAsiaTheme="majorEastAsia" w:hAnsiTheme="majorHAnsi" w:cstheme="majorBidi"/>
                  <w:b/>
                  <w:sz w:val="18"/>
                  <w:szCs w:val="18"/>
                </w:rPr>
                <w:t>www.spec.org [spec.org]</w:t>
              </w:r>
            </w:hyperlink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 dla konfiguracji dwuprocesorowej.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A256E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3C2C8A45" w14:textId="64CAB411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72177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RAM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BC11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Minimum 256GB DDR5 RDIMM 5600MT/s, w modułach 32GB. Na płycie głównej powinno znajdować się minimum 16 slotów przeznaczonych do instalacji pamięci. Płyta główna powinna obsługiwać min. 1TB pamięci RAM.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AD87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2D7C07DA" w14:textId="50FF942A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141E6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Wymagane zabezpieczenia pamięci RAM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9DD4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>Advanced ECC, Self Healing, Memory Health Check, DIMM Map Out, Memory Page Retire, Fault Resilient Memory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E3F2E9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</w:pPr>
          </w:p>
        </w:tc>
      </w:tr>
      <w:tr w:rsidR="00B9128B" w:rsidRPr="00663E53" w14:paraId="3BBCEBA2" w14:textId="7EEAC4CF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45FC4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Gniazda rozszerzeń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EB1D16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Min. dwa sloty PCIe, w tym:</w:t>
            </w:r>
          </w:p>
          <w:p w14:paraId="0BC795C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- min. jeden slot PCIe Gen 4 x16</w:t>
            </w:r>
          </w:p>
          <w:p w14:paraId="02CADE40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- min. jeden PCIe Gen 5 x8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D364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616A69BD" w14:textId="37673B99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A86A0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Interfejsy sieciowe/FC/SAS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F8D75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Wbudowane min. 2 interfejsy sieciowe 1Gb Ethernet w standardzie BaseT oraz 4 interfejsy sieciowe 1Gb Ethernet (porty nie mogą być osiągnięte poprzez karty w slotach PCIe)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662A36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53365E8F" w14:textId="006E13FE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6773E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Dyski twarde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D5D1C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de-DE"/>
              </w:rPr>
              <w:t>Kontroler obsługujący dyski typu SATA, SAS, SSD, NLSAS</w:t>
            </w:r>
          </w:p>
          <w:p w14:paraId="0EDEE631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de-DE"/>
              </w:rPr>
              <w:lastRenderedPageBreak/>
              <w:t>Zainstalowane 4</w:t>
            </w: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 dyski 960GB SSD SATA o DWPD 1</w:t>
            </w:r>
          </w:p>
          <w:p w14:paraId="1831A02C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Zainstalowane 2 dyski 2.4TB HDD SAS, 10000 RPM</w:t>
            </w:r>
          </w:p>
          <w:p w14:paraId="42DA7E91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Możliwość instalacji dwóch dysków M.2 NVMe o pojemności min. 480GB z możliwością konfiguracji RAID 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01977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de-DE"/>
              </w:rPr>
            </w:pPr>
          </w:p>
        </w:tc>
      </w:tr>
      <w:tr w:rsidR="00B9128B" w:rsidRPr="00663E53" w14:paraId="69D90B20" w14:textId="4A1D9AA9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D684A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de-DE"/>
              </w:rPr>
              <w:t>Wbudowane porty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AB689D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3 x USB z czego nie mniej niż 1x USB 3.0, 1x VGA, możliwość instalacji wewnętrznego portu USB 3.0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31B39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22A1A77B" w14:textId="13F8495A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8CBE6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de-DE"/>
              </w:rPr>
              <w:t>Video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70CE28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Zintegrowana karta graficzna umożliwiająca wyświetlenie rozdzielczości min. 1920x1200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22CE0C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750E7D4E" w14:textId="4D477FB8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A2D01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Zasilacze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58A86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Redundantne, Hot-Plug min. 700W każdy</w:t>
            </w:r>
          </w:p>
          <w:p w14:paraId="507008CD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 zestawie dwa przewody zasilające o długości min. 2m, wtyk adekwatny dla zainstalowanych zasilaczy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FB9C1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44F262E3" w14:textId="31A128C7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EA1B90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Bezpieczeństwo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303176" w14:textId="77777777" w:rsidR="00B9128B" w:rsidRPr="00663E53" w:rsidRDefault="00B9128B" w:rsidP="00663E53">
            <w:pPr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Zatrzask górnej pokrywy oraz blokada na ramce panela zamykana na klucz służąca do ochrony nieautoryzowanego dostępu do dysków twardych. </w:t>
            </w:r>
          </w:p>
          <w:p w14:paraId="02E66705" w14:textId="77777777" w:rsidR="00B9128B" w:rsidRPr="00663E53" w:rsidRDefault="00B9128B" w:rsidP="00663E53">
            <w:pPr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Możliwość wyłączenia w BIOS funkcji przycisku zasilania. </w:t>
            </w:r>
          </w:p>
          <w:p w14:paraId="5C0AD4B3" w14:textId="77777777" w:rsidR="00B9128B" w:rsidRPr="00663E53" w:rsidRDefault="00B9128B" w:rsidP="00663E53">
            <w:pPr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BIOS ma możliwość przejścia do bezpiecznego trybu rozruchowego z możliwością zarządzania blokadą zasilania, panelem sterowania oraz zmianą hasła</w:t>
            </w:r>
          </w:p>
          <w:p w14:paraId="268EC57A" w14:textId="77777777" w:rsidR="00B9128B" w:rsidRPr="00663E53" w:rsidRDefault="00B9128B" w:rsidP="00663E53">
            <w:pPr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Wbudowany czujnik otwarcia obudowy współpracujący z BIOS i kartą zarządzającą.</w:t>
            </w:r>
          </w:p>
          <w:p w14:paraId="4E3A99C2" w14:textId="77777777" w:rsidR="00B9128B" w:rsidRPr="00663E53" w:rsidRDefault="00B9128B" w:rsidP="00663E53">
            <w:pPr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Moduł TPM 2.0 </w:t>
            </w:r>
          </w:p>
          <w:p w14:paraId="39298969" w14:textId="77777777" w:rsidR="00B9128B" w:rsidRPr="00663E53" w:rsidRDefault="00B9128B" w:rsidP="00663E53">
            <w:pPr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Możliwość dynamicznego włączania I wyłączania portów USB na obudowie – bez potrzeby restartu serwera</w:t>
            </w:r>
          </w:p>
          <w:p w14:paraId="09894422" w14:textId="77777777" w:rsidR="00B9128B" w:rsidRPr="00663E53" w:rsidRDefault="00B9128B" w:rsidP="00663E53">
            <w:pPr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Możliwość wymazania danych ze znajdujących się dysków wewnątrz serwera – niezależne od zainstalowanego systemu operacyjnego, uruchamiane z poziomu zarządzania serwerem</w:t>
            </w:r>
          </w:p>
          <w:p w14:paraId="72078EA9" w14:textId="77777777" w:rsidR="00B9128B" w:rsidRPr="00663E53" w:rsidRDefault="00B9128B" w:rsidP="00663E53">
            <w:pPr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wbudowany w BIOS mechanizm umożliwiający usunięcie konfiguracji kart zarządzających, BIOS oraz danych ze wszystkich wewnętrznych urządzeń pamięci masowej. Dane muszą być usunięte zgodnie ze standardem Instant Secure Erase.</w:t>
            </w:r>
          </w:p>
          <w:p w14:paraId="26F8E015" w14:textId="77777777" w:rsidR="00B9128B" w:rsidRPr="00663E53" w:rsidRDefault="00B9128B" w:rsidP="00663E53">
            <w:pPr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BIOS musi posiadać możliwość przełączenia do trybu uniemożliwającego zmianę jego konfiguracji oraz jakiekolwiek zmianę w firmware komponentów serwera.</w:t>
            </w:r>
          </w:p>
          <w:p w14:paraId="34B954AE" w14:textId="77777777" w:rsidR="00B9128B" w:rsidRPr="00663E53" w:rsidRDefault="00B9128B" w:rsidP="00663E53">
            <w:pPr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Możliwość automatycznego przywrócenia BIOS do poprzedniej wersji w przypadku wykrycia nieautoryzowanej modyfikacji.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A63A21" w14:textId="77777777" w:rsidR="00B9128B" w:rsidRPr="00663E53" w:rsidRDefault="00B9128B" w:rsidP="00663E53">
            <w:pPr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719B6287" w14:textId="1A10C3AE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C889D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lastRenderedPageBreak/>
              <w:t>Diagnostyka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5CBBB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Panel LCD umieszczony na froncie obudowy, umożliwiający wyświetlenie informacji o stanie procesora, pamięci, dysków, BIOS’u, zasilaniu oraz temperaturze.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FACD3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5003EA05" w14:textId="1005E07D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1FD491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Karta Zarządzania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2AC4D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Niezależna od zainstalowanego na serwerze systemu operacyjnego posiadająca dedykowany port Gigabit Ethernet RJ-45 i umożliwiająca:</w:t>
            </w:r>
          </w:p>
          <w:p w14:paraId="1CCF852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zdalny dostęp do graficznego interfejsu Web karty zarządzającej;</w:t>
            </w:r>
          </w:p>
          <w:p w14:paraId="60337FB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zdalne monitorowanie i informowanie o statusie serwera (</w:t>
            </w:r>
            <w:hyperlink r:id="rId8" w:history="1">
              <w:r w:rsidRPr="00663E53">
                <w:rPr>
                  <w:rStyle w:val="Hipercze"/>
                  <w:rFonts w:asciiTheme="majorHAnsi" w:eastAsiaTheme="majorEastAsia" w:hAnsiTheme="majorHAnsi" w:cstheme="majorBidi"/>
                  <w:b/>
                  <w:sz w:val="18"/>
                  <w:szCs w:val="18"/>
                </w:rPr>
                <w:t>m.in</w:t>
              </w:r>
            </w:hyperlink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. prędkości obrotowej wentylatorów, konfiguracji serwera);</w:t>
            </w:r>
          </w:p>
          <w:p w14:paraId="32B817F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szyfrowane połączenie (TLS) oraz autentykacje i autoryzację użytkownika;</w:t>
            </w:r>
          </w:p>
          <w:p w14:paraId="5B7CB300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możliwość podmontowania zdalnych wirtualnych napędów;</w:t>
            </w:r>
          </w:p>
          <w:p w14:paraId="59EBF76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wirtualną konsolę z dostępem do myszy, klawiatury;</w:t>
            </w:r>
          </w:p>
          <w:p w14:paraId="4C7EA2D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wsparcie dla IPv6;</w:t>
            </w:r>
          </w:p>
          <w:p w14:paraId="313A51C6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>·       wsparcie dla WSMAN (Web Service for Management); SNMP; IPMI2.0, SSH, Redfish;</w:t>
            </w:r>
          </w:p>
          <w:p w14:paraId="255FE4D6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możliwość zdalnego monitorowania w czasie rzeczywistym poboru prądu przez serwer;</w:t>
            </w:r>
          </w:p>
          <w:p w14:paraId="6ADA994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możliwość zdalnego ustawienia limitu poboru prądu przez konkretny serwer;</w:t>
            </w:r>
          </w:p>
          <w:p w14:paraId="5F37AAE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integracja z Active Directory;</w:t>
            </w:r>
          </w:p>
          <w:p w14:paraId="75A39BCE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możliwość obsługi przez dwóch administratorów jednocześnie;</w:t>
            </w:r>
          </w:p>
          <w:p w14:paraId="209D29C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wsparcie dla dynamic DNS;</w:t>
            </w:r>
          </w:p>
          <w:p w14:paraId="48582ED3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wysyłanie do administratora maila z powiadomieniem o awarii lub zmianie konfiguracji sprzętowej.</w:t>
            </w:r>
          </w:p>
          <w:p w14:paraId="7A0940B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 możliwość bezpośredniego zarządzania poprzez dedykowany port USB na przednim panelu serwera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1D9F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12F73A2B" w14:textId="2C9418FF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35974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en-US"/>
              </w:rPr>
              <w:t>Oprogramowanie do zarządzania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A953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 Możliwość zainstalowania oporgrmowania producenta do zarządznia, spełniające poniższe wymagania: </w:t>
            </w:r>
          </w:p>
          <w:p w14:paraId="0B3ACE20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 </w:t>
            </w:r>
          </w:p>
          <w:p w14:paraId="6A025A1E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Wsparcie dla serwerów, urządzeń sieciowych oraz pamięci masowych </w:t>
            </w:r>
          </w:p>
          <w:p w14:paraId="77482F73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>·       integracja z Active Directory </w:t>
            </w:r>
          </w:p>
          <w:p w14:paraId="275146F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Możliwość zarządzania dostarczonymi serwerami bez udziału dedykowanego agenta </w:t>
            </w:r>
          </w:p>
          <w:p w14:paraId="741C32B1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Wsparcie dla protokołów SNMP, IPMI, Linux SSH, Redfish </w:t>
            </w:r>
          </w:p>
          <w:p w14:paraId="78D19CA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lastRenderedPageBreak/>
              <w:t>·       Możliwość uruchamiania procesu wykrywania urządzeń w oparciu o harmonogram </w:t>
            </w:r>
          </w:p>
          <w:p w14:paraId="1C7358F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Szczegółowy opis wykrytych systemów oraz ich komponentów </w:t>
            </w:r>
          </w:p>
          <w:p w14:paraId="102881F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Możliwość eksportu raportu do CSV, HTML, XLS, PDF </w:t>
            </w:r>
          </w:p>
          <w:p w14:paraId="7D0E2409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Możliwość tworzenia własnych raportów w opraciu o wszystkie informacje zawarte w inwentarzu. </w:t>
            </w:r>
          </w:p>
          <w:p w14:paraId="2289688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Grupowanie urządzeń w oparciu o kryteria użytkownika </w:t>
            </w:r>
          </w:p>
          <w:p w14:paraId="0C7BD53E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 xml:space="preserve">·       </w:t>
            </w: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Tworzenie automatycznie grup urządzeń w opraciu o dowolny element konfiguracji serwera np. </w:t>
            </w: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>Nazwa, lokalizacja, system operacyjny, obsadzenie slotów PCIe, pozostałego czasu gwarancji </w:t>
            </w:r>
          </w:p>
          <w:p w14:paraId="05B068F8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Możliwość uruchamiania narzędzi zarządzających w poszczególnych urządzeniach </w:t>
            </w:r>
          </w:p>
          <w:p w14:paraId="5BB7A378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>·       Szybki podgląd stanu środowiska </w:t>
            </w:r>
          </w:p>
          <w:p w14:paraId="2F07275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>·       Podsumowanie stanu dla każdego urządzenia </w:t>
            </w:r>
          </w:p>
          <w:p w14:paraId="407CC19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>·       Szczegółowy status urządzenia/elementu/komponentu </w:t>
            </w:r>
          </w:p>
          <w:p w14:paraId="0D1AC1C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Generowanie alertów przy zmianie stanu urządzenia. </w:t>
            </w:r>
          </w:p>
          <w:p w14:paraId="5688AA8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Filtry raportów umożliwiające podgląd najważniejszych zdarzeń </w:t>
            </w:r>
          </w:p>
          <w:p w14:paraId="540423C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·       Integracja z service desk producenta dostarczonej platformy sprzętowej </w:t>
            </w:r>
          </w:p>
          <w:p w14:paraId="3DDDCF2E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>·       Możliwość przejęcia zdalnego pulpitu </w:t>
            </w:r>
          </w:p>
          <w:p w14:paraId="0161E68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>·       Możliwość podmontowania wirtualnego napędu </w:t>
            </w:r>
          </w:p>
          <w:p w14:paraId="23D5F2E8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Kreator umożliwiający dostosowanie akcji dla wybranych alertów </w:t>
            </w:r>
          </w:p>
          <w:p w14:paraId="61D47FA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 xml:space="preserve">·       Możliwość importu plików MIB </w:t>
            </w:r>
          </w:p>
          <w:p w14:paraId="3032190D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Przesyłanie alertów „as-is” do innych konsol firm trzecich </w:t>
            </w:r>
          </w:p>
          <w:p w14:paraId="0CF7CEC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>·       Możliwość definiowania ról administratorów </w:t>
            </w:r>
          </w:p>
          <w:p w14:paraId="19C3A373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Możliwość zdalnej aktualizacji oprogramowania wewnętrznego serwerów </w:t>
            </w:r>
          </w:p>
          <w:p w14:paraId="0162246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Aktualizacja oparta o wybranie źródła bibliotek (lokalna, on-line producenta oferowanego rozwiązania) </w:t>
            </w:r>
          </w:p>
          <w:p w14:paraId="2D1A808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Możliwość instalacji oprogramowania wewnętrznego bez potrzeby instalacji agenta </w:t>
            </w:r>
          </w:p>
          <w:p w14:paraId="6CC13BA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Możliwość automatycznego generowania i zgłaszania incydentów awarii bezpośrednio do centrum serwisowego producenta serwerów </w:t>
            </w:r>
          </w:p>
          <w:p w14:paraId="4C19F94D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lastRenderedPageBreak/>
              <w:t>·       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aletrów, MAC adresów kart sieciowych, stanie poszczególnych komponentów serwera. </w:t>
            </w:r>
          </w:p>
          <w:p w14:paraId="1B7DE4CE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Możliwość tworzenia sprzętowej konfiguracji bazowej i na jej podstwie weryfikacji środowiska w celu wykrycia rozbieżności. </w:t>
            </w:r>
          </w:p>
          <w:p w14:paraId="47BF608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·       Wdrażanie serwerów, rozwiązań modularnych oraz przełączników sieciowych w opraciu o profile </w:t>
            </w:r>
          </w:p>
          <w:p w14:paraId="13E786B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·       Możliwość migracji ustawień serwera wraz z wirtualnymi adresami sieciowymi (MAC, WWN, IQN) między urządzeniami. </w:t>
            </w:r>
          </w:p>
          <w:p w14:paraId="3427181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·       Tworzenie gotowych paczek informacji umożliwiających zdiagnozowanie awarii urządzenia przez serwis producenta. </w:t>
            </w:r>
          </w:p>
          <w:p w14:paraId="5AD49B8C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  <w:lang w:val="en-US"/>
              </w:rPr>
              <w:t>·       Zdalne uruchamianie diagnostyki serwera. </w:t>
            </w:r>
          </w:p>
          <w:p w14:paraId="29603E99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·       Dedykowana aplikacja na urządzenia mobilne integrująca się z wyżej opisanymi oprogramowaniem zarzadzającym. </w:t>
            </w:r>
          </w:p>
          <w:p w14:paraId="6C4E4D4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Oprogramowanie dostarczane jako wirtualny appliance dla KVM, ESXi i Hyper-V.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FCBEC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0E75265C" w14:textId="4F8EFC0B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7F3EE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en-US"/>
              </w:rPr>
              <w:lastRenderedPageBreak/>
              <w:t>System Operacyjny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9C7E4D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Zakres Przedmiotu Zamówienia obejmuje dostarczenie Oprogramowania Systemowego zwanego dalej SSO. </w:t>
            </w:r>
          </w:p>
          <w:p w14:paraId="03A64923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Licencja musi uprawniać do uruchamiania SSO w środowisku fizycznym i dwóch wirtualnych środowisk SSO za pomocą wbudowanych mechanizmów wirtualizacji. </w:t>
            </w:r>
          </w:p>
          <w:p w14:paraId="1D506C41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SSO musi posiadać następujące, wbudowane cechy: </w:t>
            </w:r>
          </w:p>
          <w:p w14:paraId="3155B75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a) możliwość wykorzystania, co najmniej 320 logicznych procesorów oraz co najmniej 4 TB pamięci RAM w środowisku fizycznym, </w:t>
            </w:r>
          </w:p>
          <w:p w14:paraId="4067EB4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b) możliwość wykorzystywania 64 procesorów wirtualnych oraz 1TB pamięci RAM i dysku o pojemności min. 64TB przez każdy wirtualny serwerowy system operacyjny, </w:t>
            </w:r>
          </w:p>
          <w:p w14:paraId="6DBB19F3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c) możliwość budowania klastrów składających się z 64 węzłów, z możliwością uruchamiania do 8000 maszyn wirtualnych, </w:t>
            </w:r>
          </w:p>
          <w:p w14:paraId="3DDF80D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d) możliwość migracji maszyn wirtualnych bez zatrzymywania ich pracy między fizycznymi serwerami z uruchomionym mechanizmem wirtualizacji (hypervisor) przez sieć Ethernet, bez konieczności stosowania dodatkowych mechanizmów współdzielenia pamięci, </w:t>
            </w:r>
          </w:p>
          <w:p w14:paraId="425E211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lastRenderedPageBreak/>
              <w:t xml:space="preserve">e) wsparcie (na umożliwiającym to sprzęcie) dodawania i wymiany pamięci RAM bez przerywania pracy, </w:t>
            </w:r>
          </w:p>
          <w:p w14:paraId="3028C55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f) wsparcie (na umożliwiającym to sprzęcie) dodawania i wymiany procesorów bez przerywania pracy, </w:t>
            </w:r>
          </w:p>
          <w:p w14:paraId="2727DE8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g) automatyczna weryfikacja cyfrowych sygnatur sterowników w celu sprawdzenia, czy sterownik przeszedł testy jakości przeprowadzone przez producenta systemu operacyjnego, możliwość dynamicznego obniżania poboru energii przez rdzenie procesorów niewykorzystywane w bieżącej pracy (mechanizm ten musi uwzględniać specyfikę procesorów wyposażonych w mechanizmy Hyper-Threading), </w:t>
            </w:r>
          </w:p>
          <w:p w14:paraId="3F9153F6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i) wbudowane wsparcie instalacji i pracy na wolumenach, które: </w:t>
            </w:r>
          </w:p>
          <w:p w14:paraId="454ED990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I. pozwalają na zmianę rozmiaru w czasie pracy systemu, </w:t>
            </w:r>
          </w:p>
          <w:p w14:paraId="7CFD30F1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II. umożliwiają tworzenie w czasie pracy systemu migawek, dających użytkownikom końcowym (lokalnym i sieciowym) prosty wgląd w poprzednie wersje plików i folderów, </w:t>
            </w:r>
          </w:p>
          <w:p w14:paraId="184B804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III. umożliwiają kompresję "w locie" dla wybranych plików i/lub folderów, </w:t>
            </w:r>
          </w:p>
          <w:p w14:paraId="23848E2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IV. umożliwiają zdefiniowanie list kontroli dostępu (ACL), </w:t>
            </w:r>
          </w:p>
          <w:p w14:paraId="2F4DC1F6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j) wbudowany mechanizm klasyfikowania i indeksowania plików (dokumentów) w oparciu o ich zawartość, </w:t>
            </w:r>
          </w:p>
          <w:p w14:paraId="5516CDC3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k) wbudowane szyfrowanie dysków </w:t>
            </w:r>
          </w:p>
          <w:p w14:paraId="66E0920C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l) możliwość uruchamiania aplikacji internetowych wykorzystujących technologię </w:t>
            </w:r>
            <w:hyperlink r:id="rId9" w:history="1">
              <w:r w:rsidRPr="00663E53">
                <w:rPr>
                  <w:rStyle w:val="Hipercze"/>
                  <w:rFonts w:asciiTheme="majorHAnsi" w:eastAsiaTheme="majorEastAsia" w:hAnsiTheme="majorHAnsi" w:cstheme="majorBidi"/>
                  <w:b/>
                  <w:sz w:val="18"/>
                  <w:szCs w:val="18"/>
                </w:rPr>
                <w:t>ASP.NET</w:t>
              </w:r>
            </w:hyperlink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, </w:t>
            </w:r>
          </w:p>
          <w:p w14:paraId="504FB8E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m) możliwość dystrybucji ruchu sieciowego HTTP pomiędzy kilka serwerów, </w:t>
            </w:r>
          </w:p>
          <w:p w14:paraId="1D74D733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n) wbudowana zapora internetowa (firewall) z obsługą definiowanych reguł dla ochrony połączeń internetowych i intranetowych, </w:t>
            </w:r>
          </w:p>
          <w:p w14:paraId="2670873C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o) graficzny interfejs użytkownika, </w:t>
            </w:r>
          </w:p>
          <w:p w14:paraId="4600DC1E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p) zlokalizowane w języku polskim, co najmniej następujące elementy: menu, przeglądarka internetowa, pomoc, komunikaty systemowe, </w:t>
            </w:r>
          </w:p>
          <w:p w14:paraId="2A09442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r) wsparcie dla większości powszechnie używanych urządzeń peryferyjnych (drukarek, urządzeń sieciowych, standardów USB, Plug&amp;Play), </w:t>
            </w:r>
          </w:p>
          <w:p w14:paraId="4087D95E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s) możliwość zdalnej konfiguracji, administrowania oraz aktualizowania systemu, </w:t>
            </w:r>
          </w:p>
          <w:p w14:paraId="36AABF2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t) dostępność bezpłatnych narzędzi producenta systemu umożliwiających badanie i wdrażanie zdefiniowanego zestawu polityk bezpieczeństwa, </w:t>
            </w:r>
          </w:p>
          <w:p w14:paraId="4F73B9A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u) możliwość implementacji następujących funkcjonalności bez potrzeby instalowania dodatkowych produktów </w:t>
            </w: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lastRenderedPageBreak/>
              <w:t xml:space="preserve">(oprogramowania) innych producentów wymagających dodatkowych licencji: </w:t>
            </w:r>
          </w:p>
          <w:p w14:paraId="25A6BD0C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I. podstawowe usługi sieciowe: DHCP oraz DNS wspierający DNSSEC, </w:t>
            </w:r>
          </w:p>
          <w:p w14:paraId="08AF4CB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II. 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 </w:t>
            </w:r>
          </w:p>
          <w:p w14:paraId="481F4D7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1) podłączenie SSO do domeny w trybie offline – bez dostępnego połączenia sieciowego z domeną, </w:t>
            </w:r>
          </w:p>
          <w:p w14:paraId="73EBBC86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2) ustanawianie praw dostępu do zasobów domeny na bazie sposobu logowania użytkownika – na przykład typu certyfikatu użytego do logowania, </w:t>
            </w:r>
          </w:p>
          <w:p w14:paraId="35AC48E8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3) odzyskiwanie przypadkowo skasowanych obiektów usługi katalogowej z mechanizmu kosza, </w:t>
            </w:r>
          </w:p>
          <w:p w14:paraId="2D75B93C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III. zdalna dystrybucja oprogramowania na stacje robocze, </w:t>
            </w:r>
          </w:p>
          <w:p w14:paraId="184FFB2E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IV. praca zdalna na serwerze z wykorzystaniem terminala (cienkiego klienta) lub odpowiednio skonfigurowanej stacji roboczej, </w:t>
            </w:r>
          </w:p>
          <w:p w14:paraId="4F63D90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V. centrum Certyfikatów (CA), obsługa klucza publicznego i prywatnego) umożliwiające: </w:t>
            </w:r>
          </w:p>
          <w:p w14:paraId="44896F5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1) dystrybucję certyfikatów poprzez http, </w:t>
            </w:r>
          </w:p>
          <w:p w14:paraId="6780D389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2) konsolidację CA dla wielu lasów domeny, </w:t>
            </w:r>
          </w:p>
          <w:p w14:paraId="54402FCC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3) automatyczne rejestrowania certyfikatów pomiędzy różnymi lasami domen, </w:t>
            </w:r>
          </w:p>
          <w:p w14:paraId="3D7676B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VI. szyfrowanie plików i folderów, </w:t>
            </w:r>
          </w:p>
          <w:p w14:paraId="04B4D02E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VII. szyfrowanie połączeń sieciowych pomiędzy serwerami oraz serwerami i stacjami roboczymi (IPSec), </w:t>
            </w:r>
          </w:p>
          <w:p w14:paraId="27A320B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VIII.możliwość tworzenia systemów wysokiej dostępności (klastry typu fail-over) oraz rozłożenia obciążenia serwerów, </w:t>
            </w:r>
          </w:p>
          <w:p w14:paraId="382A180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IX. serwis udostępniania stron WWW, </w:t>
            </w:r>
          </w:p>
          <w:p w14:paraId="41E92D7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X. wsparcie dla protokołu IP w wersji 6 (IPv6), </w:t>
            </w:r>
          </w:p>
          <w:p w14:paraId="29833043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XI. wbudowane mechanizmy wirtualizacji (Hypervisor) pozwalające na uruchamianie min. 1000 aktywnych środowisk wirtualnych systemów operacyjnych. Wirtualne maszyny w trakcie pracy i bez zauważalnego zmniejszenia ich dostępności mogą być przenoszone pomiędzy serwerami klastra typu failover z jednoczesnym zachowaniem pozostałej funkcjonalności. Mechanizmy wirtualizacji mają zapewnić wsparcie dla: </w:t>
            </w:r>
          </w:p>
          <w:p w14:paraId="28DF4CFD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lastRenderedPageBreak/>
              <w:t xml:space="preserve">1) dynamicznego podłączania zasobów dyskowych typu hot-plug do maszyn wirtualnych, </w:t>
            </w:r>
          </w:p>
          <w:p w14:paraId="199946CD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2) obsługi ramek typu jumbo frames dla maszyn wirtualnych, </w:t>
            </w:r>
          </w:p>
          <w:p w14:paraId="283DE57D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3) obsługi 4-KB sektorów dysków, </w:t>
            </w:r>
          </w:p>
          <w:p w14:paraId="6999BD08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4) nielimitowanej liczby jednocześnie przenoszonych maszyn wirtualnych pomiędzy węzłami klastra, </w:t>
            </w:r>
          </w:p>
          <w:p w14:paraId="49F5C6D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5) możliwości wirtualizacji sieci z zastosowaniem przełącznika, którego funkcjonalność może być rozszerzana jednocześnie poprzez oprogramowanie kilku innych dostawców poprzez otwarty interfejs API, </w:t>
            </w:r>
          </w:p>
          <w:p w14:paraId="74D9949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6) możliwości kierowania ruchu sieciowego z wielu sieci VLAN bezpośrednio do pojedynczej karty sieciowej maszyny wirtualnej (tzw. trunk model), </w:t>
            </w:r>
          </w:p>
          <w:p w14:paraId="5A2591E9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v) możliwość automatycznej aktualizacji w oparciu o poprawki publikowane przez producenta wraz z dostępnością bezpłatnego rozwiązania producenta SSO umożliwiającego lokalną dystrybucję poprawek zatwierdzonych przez administratora, bez połączenia z siecią Internet, </w:t>
            </w:r>
          </w:p>
          <w:p w14:paraId="6E5B6EA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w) wsparcie dostępu do zasobu dyskowego SSO poprzez wiele ścieżek (Multipath), </w:t>
            </w:r>
          </w:p>
          <w:p w14:paraId="44B038A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x) możliwość instalacji poprawek poprzez wgranie ich do obrazu instalacyjnego, </w:t>
            </w:r>
          </w:p>
          <w:p w14:paraId="37797B64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y) mechanizmy zdalnej administracji oraz mechanizmy (również działające zdalnie) administracji przez skrypty, </w:t>
            </w:r>
          </w:p>
          <w:p w14:paraId="4A7F6B51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z) możliwość zarządzania przez wbudowane mechanizmy zgodne ze standardami WBEM oraz WS-Management organizacji DMTF. </w:t>
            </w:r>
          </w:p>
          <w:p w14:paraId="1544E0E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Jeśli oferowany system wymaga stosowania licencji dostępowych, należy je dostarczyć dla 30 użytkowników.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80DA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1E5652A8" w14:textId="21DFDF50" w:rsidTr="00B912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4D577C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lastRenderedPageBreak/>
              <w:t>Certyfikaty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221581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Serwer musi być wyprodukowany zgodnie z normą ISO-9001:2015 oraz ISO-14001. </w:t>
            </w: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br/>
              <w:t>Serwer musi posiadać deklarację CE.</w:t>
            </w:r>
          </w:p>
          <w:p w14:paraId="579FA71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Urządzenia wyprodukowane są przez producenta, zgodnie z normą PN-EN ISO 50001 o stosowaniu w fabrykach polityki zarządzania energią, która jest zgodna z obowiązującymi przepisami na terenie Unii Europejskiej.</w:t>
            </w:r>
          </w:p>
          <w:p w14:paraId="22DA0429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się </w:t>
            </w: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lastRenderedPageBreak/>
              <w:t>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 </w:t>
            </w:r>
            <w:hyperlink r:id="rId10" w:history="1">
              <w:r w:rsidRPr="00663E53">
                <w:rPr>
                  <w:rStyle w:val="Hipercze"/>
                  <w:rFonts w:asciiTheme="majorHAnsi" w:eastAsiaTheme="majorEastAsia" w:hAnsiTheme="majorHAnsi" w:cstheme="majorBidi"/>
                  <w:b/>
                  <w:sz w:val="18"/>
                  <w:szCs w:val="18"/>
                </w:rPr>
                <w:t>www.epeat.net [epeat.net]</w:t>
              </w:r>
            </w:hyperlink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 potwierdzający spełnienie normy co najmniej Epeat Silver według normy wprowadzonej w 2019 roku - Wykonawca złoży dokument potwierdzający spełnianie wymogu.</w:t>
            </w:r>
          </w:p>
          <w:p w14:paraId="20DE547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Zaoferowane w urządzeniu zasilacze muszą posiadać wydajność na poziomie Titanium. Do Oferty należy dostarczyć wydruk ze strony </w:t>
            </w:r>
            <w:hyperlink r:id="rId11" w:history="1">
              <w:r w:rsidRPr="00663E53">
                <w:rPr>
                  <w:rStyle w:val="Hipercze"/>
                  <w:rFonts w:asciiTheme="majorHAnsi" w:eastAsiaTheme="majorEastAsia" w:hAnsiTheme="majorHAnsi" w:cstheme="majorBidi"/>
                  <w:b/>
                  <w:sz w:val="18"/>
                  <w:szCs w:val="18"/>
                </w:rPr>
                <w:t>80plus.org [80plus.org]</w:t>
              </w:r>
            </w:hyperlink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 potwierdzający spełnienie wymogu.</w:t>
            </w:r>
          </w:p>
          <w:p w14:paraId="0C5B1C38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Potwierdzenie spełnienia kryteriów środowiskowych, w tym zgodności z dyrektywą RoHS Unii Europejskiej o eliminacji substancji niebezpiecznych w postaci oświadczenia producenta serwera (wg wytycznych Krajowej Agencji Poszanowania Energii S.A, zawartych w dokumencie „Opracowanie propozycji kryteriów środowiskowych dla produktów zużywających energię możliwych do wykorzystania przy formułowaniu specyfikacji na potrzeby zamówień publicznych”, pkt 3.4.2.1; dokument z grudnia 2006 r.), w szczególności zgodności z normą ISO 1043-4 dla płyty głównej oraz elementów wykonanych z tworzyw sztucznych o masie powyżej 25 gr - Wykonawca złoży dokument potwierdzający spełnianie wymogu.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6C346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334E6E68" w14:textId="60FE2BA5" w:rsidTr="00B9128B">
        <w:trPr>
          <w:trHeight w:val="9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ADC75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Warunki gwarancji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C5BD1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Minimum 3 lata gwarancji producenta, z czasem reakcji na zgłoszenia serwisowe do następnego dnia roboczego od przyjęcia, możliwość zgłaszania awarii w trybie 24/7 poprzez ogólnopolską linię telefoniczną producenta. </w:t>
            </w:r>
          </w:p>
          <w:p w14:paraId="1DF4A6ED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W razie awarii dyski pozostają własnością zamawiającego </w:t>
            </w:r>
          </w:p>
          <w:p w14:paraId="4DB49E13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Możliwość telefonicznego sprawdzenia konfiguracji sprzętowej serwera oraz warunków gwarancji po podaniu numeru seryjnego bezpośrednio u producenta lub jego przedstawiciela.</w:t>
            </w:r>
          </w:p>
          <w:p w14:paraId="25211FC9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Firma serwisująca musi posiadać ISO 9001:2015 na świadczenie usług serwisowych oraz posiadać autoryzacje producenta urządzeń – dokumenty potwierdzające należy załączyć do oferty.</w:t>
            </w:r>
          </w:p>
          <w:p w14:paraId="02CD368B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Wymagane dołączenie do oferty oświadczenia Producenta potwierdzając, że Serwis urządzeń będzie realizowany bezpośrednio przez Producenta i/lub we współpracy z Autoryzowanym Partnerem Serwisowym Producenta.</w:t>
            </w:r>
          </w:p>
          <w:p w14:paraId="15B221C7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Możliwość rozszerzenia gwarancji przez producenta do 7 lat.</w:t>
            </w:r>
          </w:p>
          <w:p w14:paraId="6DC69A5F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 </w:t>
            </w:r>
          </w:p>
          <w:p w14:paraId="771D1F80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lastRenderedPageBreak/>
              <w:t>Możliwość sprawdzenia statusu gwarancji poprzez stronę producenta podając unikatowy numer urządzenia oraz pobieranie uaktualnień mikrokodu oraz sterowników nawet w przypadku wygaśnięcia gwarancji serwera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DD4345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  <w:tr w:rsidR="00B9128B" w:rsidRPr="00663E53" w14:paraId="240EB516" w14:textId="706A57E0" w:rsidTr="00B9128B">
        <w:trPr>
          <w:trHeight w:val="2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EE5DD3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Dokumentacja użytkownika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263E2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Zamawiający wymaga dokumentacji w języku polskim lub angi</w:t>
            </w:r>
            <w:r w:rsidRPr="00663E53">
              <w:rPr>
                <w:rFonts w:asciiTheme="majorHAnsi" w:eastAsiaTheme="majorEastAsia" w:hAnsiTheme="majorHAnsi" w:cstheme="majorBidi"/>
                <w:b/>
                <w:i/>
                <w:iCs/>
                <w:sz w:val="18"/>
                <w:szCs w:val="18"/>
              </w:rPr>
              <w:t>e</w:t>
            </w: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lskim.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BA13DA" w14:textId="77777777" w:rsidR="00B9128B" w:rsidRPr="00663E53" w:rsidRDefault="00B9128B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</w:p>
        </w:tc>
      </w:tr>
    </w:tbl>
    <w:p w14:paraId="6345DAB1" w14:textId="77777777" w:rsidR="00663E53" w:rsidRPr="00663E53" w:rsidRDefault="00663E53" w:rsidP="00663E53">
      <w:pPr>
        <w:rPr>
          <w:rFonts w:asciiTheme="majorHAnsi" w:eastAsiaTheme="majorEastAsia" w:hAnsiTheme="majorHAnsi" w:cstheme="majorBidi"/>
          <w:b/>
          <w:sz w:val="18"/>
          <w:szCs w:val="18"/>
        </w:rPr>
      </w:pPr>
      <w:r w:rsidRPr="00663E53">
        <w:rPr>
          <w:rFonts w:asciiTheme="majorHAnsi" w:eastAsiaTheme="majorEastAsia" w:hAnsiTheme="majorHAnsi" w:cstheme="majorBidi"/>
          <w:b/>
          <w:sz w:val="18"/>
          <w:szCs w:val="18"/>
        </w:rPr>
        <w:t> </w:t>
      </w:r>
    </w:p>
    <w:p w14:paraId="09E3A001" w14:textId="77777777" w:rsidR="00663E53" w:rsidRPr="00663E53" w:rsidRDefault="00663E53" w:rsidP="00663E53">
      <w:pPr>
        <w:rPr>
          <w:rFonts w:asciiTheme="majorHAnsi" w:eastAsiaTheme="majorEastAsia" w:hAnsiTheme="majorHAnsi" w:cstheme="majorBidi"/>
          <w:b/>
          <w:sz w:val="18"/>
          <w:szCs w:val="18"/>
        </w:rPr>
      </w:pPr>
    </w:p>
    <w:p w14:paraId="7C7E08D2" w14:textId="77777777" w:rsidR="00663E53" w:rsidRDefault="00663E53" w:rsidP="00663E53">
      <w:pPr>
        <w:rPr>
          <w:rFonts w:asciiTheme="majorHAnsi" w:eastAsiaTheme="majorEastAsia" w:hAnsiTheme="majorHAnsi" w:cstheme="majorBidi"/>
          <w:b/>
          <w:bCs/>
          <w:sz w:val="18"/>
          <w:szCs w:val="18"/>
        </w:rPr>
      </w:pPr>
      <w:r w:rsidRPr="00663E53">
        <w:rPr>
          <w:rFonts w:asciiTheme="majorHAnsi" w:eastAsiaTheme="majorEastAsia" w:hAnsiTheme="majorHAnsi" w:cstheme="majorBidi"/>
          <w:b/>
          <w:bCs/>
          <w:sz w:val="18"/>
          <w:szCs w:val="18"/>
        </w:rPr>
        <w:t> </w:t>
      </w:r>
    </w:p>
    <w:p w14:paraId="75381C1B" w14:textId="77777777" w:rsidR="00663E53" w:rsidRDefault="00663E53" w:rsidP="00663E53">
      <w:pPr>
        <w:rPr>
          <w:rFonts w:asciiTheme="majorHAnsi" w:eastAsiaTheme="majorEastAsia" w:hAnsiTheme="majorHAnsi" w:cstheme="majorBidi"/>
          <w:b/>
          <w:bCs/>
          <w:sz w:val="18"/>
          <w:szCs w:val="18"/>
        </w:rPr>
      </w:pPr>
    </w:p>
    <w:p w14:paraId="508D0A99" w14:textId="77777777" w:rsidR="00663E53" w:rsidRPr="00663E53" w:rsidRDefault="00663E53" w:rsidP="00663E53">
      <w:pPr>
        <w:rPr>
          <w:rFonts w:asciiTheme="majorHAnsi" w:eastAsiaTheme="majorEastAsia" w:hAnsiTheme="majorHAnsi" w:cstheme="majorBidi"/>
          <w:b/>
          <w:sz w:val="18"/>
          <w:szCs w:val="18"/>
        </w:rPr>
      </w:pPr>
    </w:p>
    <w:p w14:paraId="0A2564EA" w14:textId="77777777" w:rsidR="00663E53" w:rsidRPr="00663E53" w:rsidRDefault="00663E53" w:rsidP="00663E53">
      <w:pPr>
        <w:rPr>
          <w:rFonts w:asciiTheme="majorHAnsi" w:eastAsiaTheme="majorEastAsia" w:hAnsiTheme="majorHAnsi" w:cstheme="majorBidi"/>
          <w:b/>
          <w:sz w:val="18"/>
          <w:szCs w:val="18"/>
        </w:rPr>
      </w:pPr>
      <w:r w:rsidRPr="00663E53">
        <w:rPr>
          <w:rFonts w:asciiTheme="majorHAnsi" w:eastAsiaTheme="majorEastAsia" w:hAnsiTheme="majorHAnsi" w:cstheme="majorBidi"/>
          <w:b/>
          <w:bCs/>
          <w:sz w:val="18"/>
          <w:szCs w:val="18"/>
        </w:rPr>
        <w:t>WARUNKI RÓWNOWAŻNOŚCI DLA NORMY EPEAT</w:t>
      </w:r>
    </w:p>
    <w:p w14:paraId="579D2BF7" w14:textId="77777777" w:rsidR="00663E53" w:rsidRPr="00663E53" w:rsidRDefault="00663E53" w:rsidP="00663E53">
      <w:pPr>
        <w:rPr>
          <w:rFonts w:asciiTheme="majorHAnsi" w:eastAsiaTheme="majorEastAsia" w:hAnsiTheme="majorHAnsi" w:cstheme="majorBidi"/>
          <w:b/>
          <w:sz w:val="18"/>
          <w:szCs w:val="18"/>
        </w:rPr>
      </w:pPr>
      <w:r w:rsidRPr="00663E53">
        <w:rPr>
          <w:rFonts w:asciiTheme="majorHAnsi" w:eastAsiaTheme="majorEastAsia" w:hAnsiTheme="majorHAnsi" w:cstheme="majorBidi"/>
          <w:b/>
          <w:bCs/>
          <w:sz w:val="18"/>
          <w:szCs w:val="18"/>
        </w:rPr>
        <w:t> </w:t>
      </w:r>
    </w:p>
    <w:p w14:paraId="43AC7D18" w14:textId="77777777" w:rsidR="00663E53" w:rsidRPr="00663E53" w:rsidRDefault="00663E53" w:rsidP="00663E53">
      <w:pPr>
        <w:rPr>
          <w:rFonts w:asciiTheme="majorHAnsi" w:eastAsiaTheme="majorEastAsia" w:hAnsiTheme="majorHAnsi" w:cstheme="majorBidi"/>
          <w:b/>
          <w:sz w:val="18"/>
          <w:szCs w:val="18"/>
        </w:rPr>
      </w:pPr>
      <w:r w:rsidRPr="00663E53">
        <w:rPr>
          <w:rFonts w:asciiTheme="majorHAnsi" w:eastAsiaTheme="majorEastAsia" w:hAnsiTheme="majorHAnsi" w:cstheme="majorBidi"/>
          <w:b/>
          <w:bCs/>
          <w:sz w:val="18"/>
          <w:szCs w:val="18"/>
        </w:rPr>
        <w:t xml:space="preserve">Zamawiający w oparciu o Dyrektywę 2004/18/WE Parlamentu Europejskiego i Rady z dnia </w:t>
      </w:r>
      <w:r w:rsidRPr="00663E53">
        <w:rPr>
          <w:rFonts w:asciiTheme="majorHAnsi" w:eastAsiaTheme="majorEastAsia" w:hAnsiTheme="majorHAnsi" w:cstheme="majorBidi"/>
          <w:b/>
          <w:bCs/>
          <w:sz w:val="18"/>
          <w:szCs w:val="18"/>
        </w:rPr>
        <w:br/>
        <w:t>31 marca 2004 r. w sprawie koordynacji procedur udzielania zamówień publicznych na roboty budowlane, dostawy i usługi wprowadza poniższej opisane wymagania funkcjonalne -oddziaływania na środowisko. Wymagania oparte są na standardach IEEE 1680 i 1680.1</w:t>
      </w:r>
    </w:p>
    <w:p w14:paraId="4B47DDCE" w14:textId="77777777" w:rsidR="00663E53" w:rsidRPr="00663E53" w:rsidRDefault="00663E53" w:rsidP="00663E53">
      <w:pPr>
        <w:rPr>
          <w:rFonts w:asciiTheme="majorHAnsi" w:eastAsiaTheme="majorEastAsia" w:hAnsiTheme="majorHAnsi" w:cstheme="majorBidi"/>
          <w:b/>
          <w:sz w:val="18"/>
          <w:szCs w:val="18"/>
        </w:rPr>
      </w:pPr>
      <w:r w:rsidRPr="00663E53">
        <w:rPr>
          <w:rFonts w:asciiTheme="majorHAnsi" w:eastAsiaTheme="majorEastAsia" w:hAnsiTheme="majorHAnsi" w:cstheme="majorBidi"/>
          <w:b/>
          <w:bCs/>
          <w:sz w:val="18"/>
          <w:szCs w:val="18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2636"/>
        <w:gridCol w:w="3533"/>
      </w:tblGrid>
      <w:tr w:rsidR="00663E53" w:rsidRPr="00663E53" w14:paraId="678E5483" w14:textId="77777777" w:rsidTr="00663E53"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150ABE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Opis wymagania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49EBE0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 Potwierdzenie spełniania wymagań opisanych w kolumnie I</w:t>
            </w:r>
          </w:p>
        </w:tc>
        <w:tc>
          <w:tcPr>
            <w:tcW w:w="3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AA37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Dopuszczenie równoważności w zakresie norm, aprobat, specyfikacji technicznych i systemów odniesienia</w:t>
            </w:r>
          </w:p>
        </w:tc>
      </w:tr>
      <w:tr w:rsidR="00663E53" w:rsidRPr="00663E53" w14:paraId="6B62BF7E" w14:textId="77777777" w:rsidTr="00663E53">
        <w:tc>
          <w:tcPr>
            <w:tcW w:w="2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4D13A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Kolumna I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F80DB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Kolumna II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32FEB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Kolumna III</w:t>
            </w:r>
          </w:p>
        </w:tc>
      </w:tr>
      <w:tr w:rsidR="00663E53" w:rsidRPr="00663E53" w14:paraId="72E2DE8E" w14:textId="77777777" w:rsidTr="00663E53">
        <w:tc>
          <w:tcPr>
            <w:tcW w:w="2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593F22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Wymagania dot. EPEAT na poziomie GOLD/SILVER  opisane poniżej w Tabeli nr 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D7C6A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 xml:space="preserve">wpis na   stronie </w:t>
            </w:r>
            <w:hyperlink r:id="rId12" w:history="1">
              <w:r w:rsidRPr="00663E53">
                <w:rPr>
                  <w:rStyle w:val="Hipercze"/>
                  <w:rFonts w:asciiTheme="majorHAnsi" w:eastAsiaTheme="majorEastAsia" w:hAnsiTheme="majorHAnsi" w:cstheme="majorBidi"/>
                  <w:b/>
                  <w:sz w:val="18"/>
                  <w:szCs w:val="18"/>
                </w:rPr>
                <w:t xml:space="preserve">www.epeat.net </w:t>
              </w:r>
            </w:hyperlink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potwierdzający zgodność oferowanego sprzętu z SIWZ w zakresie EPEAT na wymaganym poziomie.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CE390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Inne dokumenty równoważne informacjom wynikającym z opisanych w kolumnie II (art. 30 ust. 4 upzp)  potwierdzające spełnienie wymogów SIWZ.</w:t>
            </w:r>
          </w:p>
        </w:tc>
      </w:tr>
    </w:tbl>
    <w:p w14:paraId="0480E639" w14:textId="77777777" w:rsidR="00663E53" w:rsidRPr="00663E53" w:rsidRDefault="00663E53" w:rsidP="00663E53">
      <w:pPr>
        <w:rPr>
          <w:rFonts w:asciiTheme="majorHAnsi" w:eastAsiaTheme="majorEastAsia" w:hAnsiTheme="majorHAnsi" w:cstheme="majorBidi"/>
          <w:b/>
          <w:sz w:val="18"/>
          <w:szCs w:val="18"/>
        </w:rPr>
      </w:pPr>
      <w:r w:rsidRPr="00663E53">
        <w:rPr>
          <w:rFonts w:asciiTheme="majorHAnsi" w:eastAsiaTheme="majorEastAsia" w:hAnsiTheme="majorHAnsi" w:cstheme="majorBidi"/>
          <w:b/>
          <w:bCs/>
          <w:sz w:val="18"/>
          <w:szCs w:val="18"/>
        </w:rPr>
        <w:t>Tabela nr 1</w:t>
      </w:r>
    </w:p>
    <w:tbl>
      <w:tblPr>
        <w:tblW w:w="9075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2811"/>
        <w:gridCol w:w="5247"/>
      </w:tblGrid>
      <w:tr w:rsidR="00663E53" w:rsidRPr="00663E53" w14:paraId="24A65EC0" w14:textId="77777777" w:rsidTr="00663E53"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CDD4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915B42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Wymaganie</w:t>
            </w:r>
          </w:p>
        </w:tc>
        <w:tc>
          <w:tcPr>
            <w:tcW w:w="5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66DFD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Opis wymagania</w:t>
            </w:r>
          </w:p>
        </w:tc>
      </w:tr>
      <w:tr w:rsidR="00663E53" w:rsidRPr="00663E53" w14:paraId="267570BB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8DBA3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2D172F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DF4C0E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3</w:t>
            </w:r>
          </w:p>
        </w:tc>
      </w:tr>
      <w:tr w:rsidR="00663E53" w:rsidRPr="00663E53" w14:paraId="7DA10C04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727FE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Obniżenie/wyeliminowanie materiałów nieprzyjaznych środowisku</w:t>
            </w:r>
          </w:p>
        </w:tc>
      </w:tr>
      <w:tr w:rsidR="00663E53" w:rsidRPr="00663E53" w14:paraId="0B560BBB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56EC85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BC667B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Przestrzeganie dostarczania zgodnie z europejską dyrektywą RoHS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B4776B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Dostarczane   produkty winny spełniać wymagania przedmiotowej dyrektywy dot: kadmu, rtęci, ołowiu, chromu VI, bromowych składników zmniejszających palność</w:t>
            </w:r>
          </w:p>
        </w:tc>
      </w:tr>
      <w:tr w:rsidR="00663E53" w:rsidRPr="00663E53" w14:paraId="1002CED8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0CBFD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27F90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Eliminacja świadomego dodawania SCCP i środków</w:t>
            </w:r>
          </w:p>
          <w:p w14:paraId="4388CF91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uplastyczniających w dodatkach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8FC198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Wszystkie produkty winny mieć co najwyżej śladowy wskaźnik ilości SCCP  (krótki łańcuch chlorowanych parafin)</w:t>
            </w:r>
          </w:p>
        </w:tc>
      </w:tr>
      <w:tr w:rsidR="00663E53" w:rsidRPr="00663E53" w14:paraId="041D6109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C5FA3A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Selekcja materiałów</w:t>
            </w:r>
          </w:p>
        </w:tc>
      </w:tr>
      <w:tr w:rsidR="00663E53" w:rsidRPr="00663E53" w14:paraId="22DD2D38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20413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7244CD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Deklaracja poziomu poużytkowego recyklingu tworzyw sztucznych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C64F4E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Producent  deklaruje udział procentowy tworzyw sztucznych pochodzących z recyklingu w stosunku   do   wagi całego produktu</w:t>
            </w:r>
          </w:p>
        </w:tc>
      </w:tr>
      <w:tr w:rsidR="00663E53" w:rsidRPr="00663E53" w14:paraId="0ADD29D8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1C7492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lastRenderedPageBreak/>
              <w:t>R4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B0B37E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Deklaracja zawartości odnawialnych/pochodzenia naturalnego użytych materiałów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E2DA4B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Producent  deklaruje udział procentowy materiałów odnawialnych/naturalnego pochodzenia w stosunku do wagi produktu. Musi zmieścić się w przedziale 0%-100%.</w:t>
            </w:r>
          </w:p>
        </w:tc>
      </w:tr>
      <w:tr w:rsidR="00663E53" w:rsidRPr="00663E53" w14:paraId="792602C9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9AF89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3FB0BE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Deklaracja wagowa produktu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6C347A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Producent musi wskazać wagę produktu</w:t>
            </w:r>
          </w:p>
        </w:tc>
      </w:tr>
      <w:tr w:rsidR="00663E53" w:rsidRPr="00663E53" w14:paraId="0A720B10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45CA6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Zaprojektowane, by ponownie wykorzystać zużyty produkt (end-of-life)</w:t>
            </w:r>
          </w:p>
        </w:tc>
      </w:tr>
      <w:tr w:rsidR="00663E53" w:rsidRPr="00663E53" w14:paraId="28D302AB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1F2925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7A6375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Identyfikacja materiałów pod kątem potrzeb obsługi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465260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Produkty muszą zawierać informacje dot. ponownego użycia i recyklingu. Informacja ma dot. produktów nietypowych, opartych na nowych substancjach, o których nie ma wiedzy o ponownym wykorzystaniu czy recyklingu.</w:t>
            </w:r>
          </w:p>
        </w:tc>
      </w:tr>
      <w:tr w:rsidR="00663E53" w:rsidRPr="00663E53" w14:paraId="50C2FD2D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1A332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28977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Eliminacja farb i powłok, które nie odpowiadają recyklingu lub ponownemu użyciu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476A3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Produkty nie mogą zawierać farb i powłok na dużych plastikowych częściach, których nie da się poddać recyklingowi lub ponownie użyć.</w:t>
            </w:r>
          </w:p>
        </w:tc>
      </w:tr>
      <w:tr w:rsidR="00663E53" w:rsidRPr="00663E53" w14:paraId="77F71AC1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778A7A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085012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Łatwy demontaż obudowy zewnętrznej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F4B600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Produkty powinny mieć obudowy demontowalne bez użycia narzędzi.</w:t>
            </w:r>
          </w:p>
        </w:tc>
      </w:tr>
      <w:tr w:rsidR="00663E53" w:rsidRPr="00663E53" w14:paraId="0DD4302E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CA488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4CA0BC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Znakowanie plastikowych komponentów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BF094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Wszystkie duże plastikowe elementy powinny być oznaczone kodem identyfikującym ISO dot. żywicy</w:t>
            </w:r>
          </w:p>
        </w:tc>
      </w:tr>
      <w:tr w:rsidR="00663E53" w:rsidRPr="00663E53" w14:paraId="509FA8A1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49158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CB941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Identyfikacja i usuwanie elementów zawierających niebezpieczne materiały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FD0B1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Wszystkie produkty zawierające duże podzespoły elektroniczne oraz inne niebezpieczne składniki powinny być bezpiecznie i łatwo identyfikowalne oraz usuwalne. Usunięcie materiałów i komponentów jest zgodne z wymogami Dyrektywy WEEE 2002/96/EC</w:t>
            </w:r>
          </w:p>
        </w:tc>
      </w:tr>
      <w:tr w:rsidR="00663E53" w:rsidRPr="00663E53" w14:paraId="025AE5BC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150D92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R11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B64EC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Minimum 65% wielokrotności użytku/ recyklingu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F9706D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Produkty muszą składać się z co najmniej w 65% ze składników wielokrotnego użytku/zdatnych do recyklingu.</w:t>
            </w:r>
          </w:p>
        </w:tc>
      </w:tr>
      <w:tr w:rsidR="00663E53" w:rsidRPr="00663E53" w14:paraId="59CE6AA1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2C127E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Długowieczny produkt/Przedłużenie cyklu życia</w:t>
            </w:r>
          </w:p>
        </w:tc>
      </w:tr>
      <w:tr w:rsidR="00663E53" w:rsidRPr="00663E53" w14:paraId="68C1157B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DD80D2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R12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A3EC6D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Możliwość ulepszenia za pomocą zwykłych narzędzie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20045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Wszystkie komputery powinny być móc ulepszane (upgrade) za pomocą zwykłych narzędzi.</w:t>
            </w:r>
          </w:p>
        </w:tc>
      </w:tr>
      <w:tr w:rsidR="00663E53" w:rsidRPr="00663E53" w14:paraId="130BD70D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61F54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Oszczędność energii</w:t>
            </w:r>
          </w:p>
        </w:tc>
      </w:tr>
      <w:tr w:rsidR="00663E53" w:rsidRPr="00663E53" w14:paraId="2F4A965F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45C5EB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R13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C6AB0D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Energy Star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9CF40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Wszystkie produkty muszą cechować się certyfikatem Energy Star</w:t>
            </w:r>
          </w:p>
        </w:tc>
      </w:tr>
      <w:tr w:rsidR="00663E53" w:rsidRPr="00663E53" w14:paraId="14A5BC54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778E9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Wymogi odnośnie firmy/producenta</w:t>
            </w:r>
          </w:p>
        </w:tc>
      </w:tr>
      <w:tr w:rsidR="00663E53" w:rsidRPr="00663E53" w14:paraId="446C4487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369FF5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R14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A351C0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Legitymowanie się polityką ochrony środowiska zgodną z ISO 14001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83DAC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Należy wykazać się istniejącą i publicznie dostępną pisemną firmową polityką ochrony środowiska zgodną z ISO 14001</w:t>
            </w:r>
          </w:p>
        </w:tc>
      </w:tr>
      <w:tr w:rsidR="00663E53" w:rsidRPr="00663E53" w14:paraId="037ECC5B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8DD925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R15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01BB6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Legitymowanie się certyfikatem systemu zarządzania środowiskowego dla organizacji projektujących i produkujących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C3E29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Producenci muszą dysponować certyfikatem świadczący o istnieniu systemu zarządzania środowiskowego odpowiadający jednemu z systemów: ISO 14001, EMAS albo amerykański EPA.</w:t>
            </w:r>
          </w:p>
          <w:p w14:paraId="3BD8B40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 </w:t>
            </w:r>
          </w:p>
        </w:tc>
      </w:tr>
      <w:tr w:rsidR="00663E53" w:rsidRPr="00663E53" w14:paraId="6D2A91B9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727CCD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Opakowanie</w:t>
            </w:r>
          </w:p>
        </w:tc>
      </w:tr>
      <w:tr w:rsidR="00663E53" w:rsidRPr="00663E53" w14:paraId="5AD13BCD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254A7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R16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A66C3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Redukcja/eliminacja świadomie dodawanych toksyn w opakowaniu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91F0D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Ciężkie metale nie mogą być dodawane do opakowań lub ich części, z wyjątkiem części wykorzystywanych do recyklingu</w:t>
            </w:r>
          </w:p>
        </w:tc>
      </w:tr>
      <w:tr w:rsidR="00663E53" w:rsidRPr="00663E53" w14:paraId="3E6E8703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EFFD31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R17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D112D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Dające się oddzielić materiały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CCE4B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Pakowane produkty mają być w jednorazowych opakowaniach, które da się oddzielić bez użycia narzędzi</w:t>
            </w:r>
          </w:p>
        </w:tc>
      </w:tr>
      <w:tr w:rsidR="00663E53" w:rsidRPr="00663E53" w14:paraId="08A9D234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3E4BB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R18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EB8C3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Deklaracja recyklingu w opakowaniach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6EE091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Producent podaje, czy opakowanie zawiera materiały z recyklingu lub nie, i ogłasza przybliżoną zawartość recyklingu dla każdego materiału.</w:t>
            </w:r>
          </w:p>
        </w:tc>
      </w:tr>
      <w:tr w:rsidR="00663E53" w:rsidRPr="00663E53" w14:paraId="554D8A97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F1B8DA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lastRenderedPageBreak/>
              <w:t>Obniżenie/wyeliminowanie materiałów nieprzyjaznych środowisku</w:t>
            </w:r>
          </w:p>
        </w:tc>
      </w:tr>
      <w:tr w:rsidR="00663E53" w:rsidRPr="00663E53" w14:paraId="23D7B2AD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CAA56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379B55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Eliminacja celowo dodanego kadmu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4EF9F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Produkty powinny zawierać kadm w wysokości mniej niż 50% progu ustalonego w RoHS dyrektywie, chyba że obecność kadmu wynika z recyklingu.</w:t>
            </w:r>
          </w:p>
        </w:tc>
      </w:tr>
      <w:tr w:rsidR="00663E53" w:rsidRPr="00663E53" w14:paraId="77A52874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EE50B2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9A78D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Eliminacja celowo dodanego chromu VI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A57BF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Wszystkie produkty powinny mieć stężenie chromu VI poniżej połowy progu określonego w RoHS dyrektywie, chyba że obecność chromu VI wynika z recyklingu.</w:t>
            </w:r>
          </w:p>
        </w:tc>
      </w:tr>
      <w:tr w:rsidR="00663E53" w:rsidRPr="00663E53" w14:paraId="3CB307C6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0DE3E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ECCED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Duże części tworzyw sztucznych wolne od niektórych środków zmniejszających palność zgodnie dyrektywą RE 67/548/EEC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C7D13D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We wszystkich produktach części tworzyw sztucznych większe niż 25-gramowe powinny zawierać nie więcej niż śladowe ilości środków zmniejszających palność sklasyfikowanych w dyrektywie RE 67/548/EEC</w:t>
            </w:r>
          </w:p>
        </w:tc>
      </w:tr>
      <w:tr w:rsidR="00663E53" w:rsidRPr="00663E53" w14:paraId="7F828797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3DFF16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6FC5C2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Duże części tworzyw sztucznych wolne od PVC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028A5A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We wszystkich produktach, z wyjątkiem kabli i części interkonektowych, części tworzyw sztucznych większe niż 25-gramowe nie mogą zawierać polichlorku winylu (PVC)</w:t>
            </w:r>
          </w:p>
        </w:tc>
      </w:tr>
      <w:tr w:rsidR="00663E53" w:rsidRPr="00663E53" w14:paraId="76C27989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98B772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Selekcja materiałów</w:t>
            </w:r>
          </w:p>
        </w:tc>
      </w:tr>
      <w:tr w:rsidR="00663E53" w:rsidRPr="00663E53" w14:paraId="7325A7D1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BD76E8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8758C2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Minimalna zawartość poużytkowych tworzyw sztucznych z recyklingu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64BFFA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Wszystkie produkty, które zawierają części z tworzyw sztucznych, z wyjątkiem obwodów do druku, muszą zawierać co najmniej 10% z recyklingu.</w:t>
            </w:r>
          </w:p>
        </w:tc>
      </w:tr>
      <w:tr w:rsidR="00663E53" w:rsidRPr="00663E53" w14:paraId="57C00E5E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A40081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B406D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Wysoka zawartość poużytkowych tworzyw sztucznych z recyklingu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7745DE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Wszystkie produkty, które zawierają części z tworzyw sztucznych, z wyjątkiem obwodów do druku, zawierają co najmniej 25% z recyklingu.</w:t>
            </w:r>
          </w:p>
        </w:tc>
      </w:tr>
      <w:tr w:rsidR="00663E53" w:rsidRPr="00663E53" w14:paraId="73D7CEEC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F4193E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7956D0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Minimalna zawartość odnawialnych/pochodzenia naturalnego składników z tworzyw sztucznych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0423A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Wszystkie elementy z tworzyw sztucznych, z wyjątkiem opakowań, powinny zawierać co najmniej 10% odnawialnych / pochodzenia naturalnego materiałów</w:t>
            </w:r>
          </w:p>
        </w:tc>
      </w:tr>
      <w:tr w:rsidR="00663E53" w:rsidRPr="00663E53" w14:paraId="206B45A5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2A221B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Zaprojektowany w celu łatwego recyclingu (end-of-life)</w:t>
            </w:r>
          </w:p>
        </w:tc>
      </w:tr>
      <w:tr w:rsidR="00663E53" w:rsidRPr="00663E53" w14:paraId="28825CBE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5B8AA1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E22B77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Zmniejszenie liczby materiałów z tworzyw sztucznych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AA3A11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Większe części obudów powinny być stworzone z jednego rodzaju tworzywa sztucznego.</w:t>
            </w:r>
          </w:p>
        </w:tc>
      </w:tr>
      <w:tr w:rsidR="00663E53" w:rsidRPr="00663E53" w14:paraId="26EFABA7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2CB23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BD2BD0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Eliminacja lub łatwo usuwalne części metalowe formowane/klejone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46A9DE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Produkty nie powinny zawierać formowanych lub klejonych metalowych wkładów w obudowach, chyba że są łatwe do usunięcia.</w:t>
            </w:r>
          </w:p>
        </w:tc>
      </w:tr>
      <w:tr w:rsidR="00663E53" w:rsidRPr="00663E53" w14:paraId="7BD60525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98DED6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A9A84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Minimum 90% do</w:t>
            </w:r>
          </w:p>
          <w:p w14:paraId="49A9CB9D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ponownego</w:t>
            </w:r>
          </w:p>
          <w:p w14:paraId="11F530BC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użytku/recyklingu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5B68F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Produkty muszą zawierać co najmniej 90% materiałów zdatnych do ponownego użytku/recyklingu.</w:t>
            </w:r>
          </w:p>
        </w:tc>
      </w:tr>
      <w:tr w:rsidR="00663E53" w:rsidRPr="00663E53" w14:paraId="418C71C4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905899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011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A3BEAC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Ręczne oddzielanie tworzyw sztucznych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D6A53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Części z tworzyw sztucznych, z wyjątkiem bardzo małych, winno się łatwo ręcznie rozdzielić.</w:t>
            </w:r>
          </w:p>
        </w:tc>
      </w:tr>
      <w:tr w:rsidR="00663E53" w:rsidRPr="00663E53" w14:paraId="63A4F83F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F536AF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012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3FA02E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Znakowanie tworzyw sztucznych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F0DEEC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Wszystkie elementy z tworzyw sztucznych (z wyjątkiem bardzo małych) powinny być oznaczone kodem identyfikującym ISO dot. Żywicy.</w:t>
            </w:r>
          </w:p>
        </w:tc>
      </w:tr>
      <w:tr w:rsidR="00663E53" w:rsidRPr="00663E53" w14:paraId="53772D3D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D4741C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Długowieczny produkt/Przedłużenie cyklu życia</w:t>
            </w:r>
          </w:p>
        </w:tc>
      </w:tr>
      <w:tr w:rsidR="00663E53" w:rsidRPr="00663E53" w14:paraId="0D94957F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0F598D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013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EB2846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Modułowe projektowanie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74EC28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Każdy PC lub notebook musi być tak skonstruowany modułowo, aby można było wymienić procesor i główne podzespoły.</w:t>
            </w:r>
          </w:p>
        </w:tc>
      </w:tr>
      <w:tr w:rsidR="00663E53" w:rsidRPr="00663E53" w14:paraId="052047CC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37F03F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014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0862D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Dostępność części zamiennych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C40C80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Zamiana lub części zamienne są dostępne przez 5 lat, a także sama informacja o tym musi być podana.</w:t>
            </w:r>
          </w:p>
        </w:tc>
      </w:tr>
      <w:tr w:rsidR="00663E53" w:rsidRPr="00663E53" w14:paraId="3774F7D7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6F008D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lastRenderedPageBreak/>
              <w:t>Oszczędność energii</w:t>
            </w:r>
          </w:p>
        </w:tc>
      </w:tr>
      <w:tr w:rsidR="00663E53" w:rsidRPr="00663E53" w14:paraId="44D489E5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54CC0C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015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24B323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Wczesne przyjęcie nowej specyfikacji Energy Star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F92A31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Produkty powinny być kwalifikowane i posiadać certyfikat dla nowej specyfikacji Energy Star przed jej wejściem w życie.</w:t>
            </w:r>
          </w:p>
        </w:tc>
      </w:tr>
      <w:tr w:rsidR="00663E53" w:rsidRPr="00663E53" w14:paraId="2510462B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BAE5D8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Wyniki firmy</w:t>
            </w:r>
          </w:p>
        </w:tc>
      </w:tr>
      <w:tr w:rsidR="00663E53" w:rsidRPr="00663E53" w14:paraId="11CE8123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60AA06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016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67902F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Certyfikat osoby trzeciej dot. Systemu zarządzania środowiskowego dla projektowania i organizacji produkcji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13130B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Producent zaświadcza, że legitymuje się certyfikatem osoby trzeciej dot. Systemu zarządzania środowiskowego dla projektowania i organizacji produkcji, który spełnia jeden z trzech uznawanych na świecie systemów: ISO 14001, europejski EMAS, amerykański EPA Performance Track.</w:t>
            </w:r>
          </w:p>
        </w:tc>
      </w:tr>
      <w:tr w:rsidR="00663E53" w:rsidRPr="00663E53" w14:paraId="4D047885" w14:textId="77777777" w:rsidTr="00663E53">
        <w:tc>
          <w:tcPr>
            <w:tcW w:w="9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3CE405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Opakowanie</w:t>
            </w:r>
          </w:p>
        </w:tc>
      </w:tr>
      <w:tr w:rsidR="00663E53" w:rsidRPr="00663E53" w14:paraId="532A695C" w14:textId="77777777" w:rsidTr="00663E53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9064F4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017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7DA7EE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Opakowania z tworzyw sztucznych w 90% nadające się do recyklingu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A00D48" w14:textId="77777777" w:rsidR="00663E53" w:rsidRPr="00663E53" w:rsidRDefault="00663E53" w:rsidP="00663E53">
            <w:pPr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</w:pPr>
            <w:r w:rsidRPr="00663E53">
              <w:rPr>
                <w:rFonts w:asciiTheme="majorHAnsi" w:eastAsiaTheme="majorEastAsia" w:hAnsiTheme="majorHAnsi" w:cstheme="majorBidi"/>
                <w:b/>
                <w:sz w:val="18"/>
                <w:szCs w:val="18"/>
              </w:rPr>
              <w:t>Tworzywa sztuczne składające się na opakowanie powinny być identyfikowalne (typ tworzywa) i 90% z nich winno nadawać się do  recyklingu lub kompostowania  czy też utylizowane  w kanalizacji miejskiej.</w:t>
            </w:r>
          </w:p>
        </w:tc>
      </w:tr>
    </w:tbl>
    <w:p w14:paraId="1D18BEF9" w14:textId="77777777" w:rsidR="00663E53" w:rsidRPr="00663E53" w:rsidRDefault="00663E53" w:rsidP="00663E53">
      <w:pPr>
        <w:rPr>
          <w:rFonts w:asciiTheme="majorHAnsi" w:eastAsiaTheme="majorEastAsia" w:hAnsiTheme="majorHAnsi" w:cstheme="majorBidi"/>
          <w:b/>
          <w:sz w:val="18"/>
          <w:szCs w:val="18"/>
        </w:rPr>
      </w:pPr>
      <w:r w:rsidRPr="00663E53">
        <w:rPr>
          <w:rFonts w:asciiTheme="majorHAnsi" w:eastAsiaTheme="majorEastAsia" w:hAnsiTheme="majorHAnsi" w:cstheme="majorBidi"/>
          <w:b/>
          <w:bCs/>
          <w:sz w:val="18"/>
          <w:szCs w:val="18"/>
        </w:rPr>
        <w:t> </w:t>
      </w:r>
    </w:p>
    <w:sectPr w:rsidR="00663E53" w:rsidRPr="00663E53" w:rsidSect="002E5C0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BC62E" w14:textId="77777777" w:rsidR="002E5C07" w:rsidRDefault="002E5C07" w:rsidP="002E5C07">
      <w:pPr>
        <w:spacing w:after="0" w:line="240" w:lineRule="auto"/>
      </w:pPr>
      <w:r>
        <w:separator/>
      </w:r>
    </w:p>
  </w:endnote>
  <w:endnote w:type="continuationSeparator" w:id="0">
    <w:p w14:paraId="537A216E" w14:textId="77777777" w:rsidR="002E5C07" w:rsidRDefault="002E5C07" w:rsidP="002E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383DD" w14:textId="77777777" w:rsidR="002E5C07" w:rsidRDefault="002E5C07" w:rsidP="002E5C07">
      <w:pPr>
        <w:spacing w:after="0" w:line="240" w:lineRule="auto"/>
      </w:pPr>
      <w:r>
        <w:separator/>
      </w:r>
    </w:p>
  </w:footnote>
  <w:footnote w:type="continuationSeparator" w:id="0">
    <w:p w14:paraId="561078C5" w14:textId="77777777" w:rsidR="002E5C07" w:rsidRDefault="002E5C07" w:rsidP="002E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1C41D" w14:textId="3BE33074" w:rsidR="002E5C07" w:rsidRDefault="00C92071" w:rsidP="00C92071">
    <w:pPr>
      <w:pStyle w:val="Nagwek"/>
      <w:jc w:val="center"/>
    </w:pPr>
    <w:r>
      <w:rPr>
        <w:noProof/>
      </w:rPr>
      <w:drawing>
        <wp:inline distT="0" distB="0" distL="0" distR="0" wp14:anchorId="15C6AD2E" wp14:editId="3210B2C0">
          <wp:extent cx="5047488" cy="679704"/>
          <wp:effectExtent l="0" t="0" r="1270" b="6350"/>
          <wp:docPr id="4792109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10944" name="Obraz 479210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7488" cy="679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C63E5"/>
    <w:multiLevelType w:val="multilevel"/>
    <w:tmpl w:val="14BE38CA"/>
    <w:lvl w:ilvl="0">
      <w:start w:val="1"/>
      <w:numFmt w:val="decimal"/>
      <w:lvlText w:val="%1"/>
      <w:lvlJc w:val="left"/>
      <w:pPr>
        <w:ind w:left="502" w:hanging="360"/>
      </w:pPr>
      <w:rPr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49E5"/>
    <w:multiLevelType w:val="hybridMultilevel"/>
    <w:tmpl w:val="A270378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B5310C"/>
    <w:multiLevelType w:val="multilevel"/>
    <w:tmpl w:val="14BE38CA"/>
    <w:lvl w:ilvl="0">
      <w:start w:val="1"/>
      <w:numFmt w:val="decimal"/>
      <w:lvlText w:val="%1"/>
      <w:lvlJc w:val="left"/>
      <w:pPr>
        <w:ind w:left="502" w:hanging="360"/>
      </w:pPr>
      <w:rPr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608BC"/>
    <w:multiLevelType w:val="multilevel"/>
    <w:tmpl w:val="0E74DFE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4AF01EB7"/>
    <w:multiLevelType w:val="hybridMultilevel"/>
    <w:tmpl w:val="A270378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403A94"/>
    <w:multiLevelType w:val="hybridMultilevel"/>
    <w:tmpl w:val="A27037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24328"/>
    <w:multiLevelType w:val="hybridMultilevel"/>
    <w:tmpl w:val="A27037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7260D"/>
    <w:multiLevelType w:val="multilevel"/>
    <w:tmpl w:val="1912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8915705">
    <w:abstractNumId w:val="0"/>
  </w:num>
  <w:num w:numId="2" w16cid:durableId="1505627117">
    <w:abstractNumId w:val="1"/>
  </w:num>
  <w:num w:numId="3" w16cid:durableId="747312917">
    <w:abstractNumId w:val="6"/>
  </w:num>
  <w:num w:numId="4" w16cid:durableId="777409330">
    <w:abstractNumId w:val="3"/>
  </w:num>
  <w:num w:numId="5" w16cid:durableId="1556040713">
    <w:abstractNumId w:val="2"/>
  </w:num>
  <w:num w:numId="6" w16cid:durableId="837815085">
    <w:abstractNumId w:val="4"/>
  </w:num>
  <w:num w:numId="7" w16cid:durableId="1544438961">
    <w:abstractNumId w:val="5"/>
  </w:num>
  <w:num w:numId="8" w16cid:durableId="1074007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07"/>
    <w:rsid w:val="00151452"/>
    <w:rsid w:val="001E6FE1"/>
    <w:rsid w:val="00217B0F"/>
    <w:rsid w:val="002765E5"/>
    <w:rsid w:val="00287E68"/>
    <w:rsid w:val="002E5C07"/>
    <w:rsid w:val="00557F81"/>
    <w:rsid w:val="00663E53"/>
    <w:rsid w:val="006C600D"/>
    <w:rsid w:val="007827FA"/>
    <w:rsid w:val="00841CCD"/>
    <w:rsid w:val="00855F3E"/>
    <w:rsid w:val="008F12FC"/>
    <w:rsid w:val="00A56D72"/>
    <w:rsid w:val="00AB635B"/>
    <w:rsid w:val="00B9128B"/>
    <w:rsid w:val="00C92071"/>
    <w:rsid w:val="00D04D24"/>
    <w:rsid w:val="00D5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B0303C"/>
  <w15:chartTrackingRefBased/>
  <w15:docId w15:val="{827F3E31-D9D6-4F9E-8710-D995409A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C07"/>
    <w:rPr>
      <w:rFonts w:ascii="Calibri Light" w:eastAsia="Times New Roman" w:hAnsi="Calibri Light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F1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2FC"/>
    <w:rPr>
      <w:rFonts w:asciiTheme="majorHAnsi" w:eastAsiaTheme="majorEastAsia" w:hAnsiTheme="majorHAnsi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5C07"/>
    <w:rPr>
      <w:rFonts w:cs="Times New Roman"/>
      <w:color w:val="0563C1"/>
      <w:u w:val="single"/>
    </w:rPr>
  </w:style>
  <w:style w:type="character" w:customStyle="1" w:styleId="gmail-msohyperlink">
    <w:name w:val="gmail-msohyperlink"/>
    <w:basedOn w:val="Domylnaczcionkaakapitu"/>
    <w:rsid w:val="002E5C07"/>
  </w:style>
  <w:style w:type="paragraph" w:styleId="Nagwek">
    <w:name w:val="header"/>
    <w:basedOn w:val="Normalny"/>
    <w:link w:val="NagwekZnak"/>
    <w:uiPriority w:val="99"/>
    <w:unhideWhenUsed/>
    <w:rsid w:val="002E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C07"/>
    <w:rPr>
      <w:rFonts w:ascii="Calibri Light" w:eastAsia="Times New Roman" w:hAnsi="Calibri Light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C07"/>
    <w:rPr>
      <w:rFonts w:ascii="Calibri Light" w:eastAsia="Times New Roman" w:hAnsi="Calibri Light" w:cs="Times New Roman"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55F3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:/www.spec.org/__;!!LpKI!jV1LRHPIW96dOu66iHFdS3eQN9eLJH8N8f9LAi6NX6GF8HUd8TgoDB_6BTMtiuemH3G0o6TLiHiIB9Ho8sJIjt68gL90p6M%24" TargetMode="External"/><Relationship Id="rId12" Type="http://schemas.openxmlformats.org/officeDocument/2006/relationships/hyperlink" Target="http://www.epea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:/80plus.org/__;!!LpKI!jV1LRHPIW96dOu66iHFdS3eQN9eLJH8N8f9LAi6NX6GF8HUd8TgoDB_6BTMtiuemH3G0o6TLiHiIB9Ho8sJIjt68SBL7H18%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ldefense.com/v3/__http:/www.epeat.net/__;!!LpKI!jV1LRHPIW96dOu66iHFdS3eQN9eLJH8N8f9LAi6NX6GF8HUd8TgoDB_6BTMtiuemH3G0o6TLiHiIB9Ho8sJIjt68OB9l0dw%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P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3854</Words>
  <Characters>23127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Smyczyński</dc:creator>
  <cp:keywords/>
  <dc:description/>
  <cp:lastModifiedBy>Jarosław Smyczyński</cp:lastModifiedBy>
  <cp:revision>3</cp:revision>
  <dcterms:created xsi:type="dcterms:W3CDTF">2024-09-17T09:54:00Z</dcterms:created>
  <dcterms:modified xsi:type="dcterms:W3CDTF">2024-09-17T10:37:00Z</dcterms:modified>
</cp:coreProperties>
</file>