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76" w:lineRule="auto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Załącznik nr 1 do Zapytania ofertowego nr 13-09-2024</w:t>
      </w:r>
    </w:p>
    <w:p w:rsidR="00000000" w:rsidDel="00000000" w:rsidP="00000000" w:rsidRDefault="00000000" w:rsidRPr="00000000" w14:paraId="00000002">
      <w:pPr>
        <w:spacing w:line="276" w:lineRule="auto"/>
        <w:jc w:val="right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 …………………………………………….</w:t>
      </w:r>
    </w:p>
    <w:p w:rsidR="00000000" w:rsidDel="00000000" w:rsidP="00000000" w:rsidRDefault="00000000" w:rsidRPr="00000000" w14:paraId="00000003">
      <w:pPr>
        <w:spacing w:after="240" w:line="276" w:lineRule="auto"/>
        <w:jc w:val="right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Miejscowość,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FORMULARZ OFERTOWY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 związku z planowaną realizacją projektu badawczo-rozwojowego pn.</w:t>
      </w:r>
      <w:r w:rsidDel="00000000" w:rsidR="00000000" w:rsidRPr="00000000">
        <w:rPr>
          <w:rFonts w:ascii="Helvetica Neue" w:cs="Helvetica Neue" w:eastAsia="Helvetica Neue" w:hAnsi="Helvetica Neue"/>
          <w:color w:val="00000a"/>
          <w:highlight w:val="white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color w:val="00000a"/>
          <w:rtl w:val="0"/>
        </w:rPr>
        <w:t xml:space="preserve"> „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00000a"/>
          <w:rtl w:val="0"/>
        </w:rPr>
        <w:t xml:space="preserve">Stworzenie innowacyjnej usługi predykcji toksyczności kandydatów na leki przy użyciu profilowania morfologicznego i narzędzi sztucznej inteligencji (phenAID Tox)</w:t>
      </w:r>
      <w:r w:rsidDel="00000000" w:rsidR="00000000" w:rsidRPr="00000000">
        <w:rPr>
          <w:rFonts w:ascii="Helvetica Neue" w:cs="Helvetica Neue" w:eastAsia="Helvetica Neue" w:hAnsi="Helvetica Neue"/>
          <w:color w:val="00000a"/>
          <w:rtl w:val="0"/>
        </w:rPr>
        <w:t xml:space="preserve">”, dla którego spółka planuje ubiegać się o dofinansowanie ze środków unijnych w ramach programu Fundusze Europejskie dla Nowoczesnej Gospodarki 2021-2027, (numer naboru: FENG.01.01-IP.01-001/24)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oraz obowiązkiem dokonywania zakupów na podstawie najkorzystniejszej ekonomicznie oferty, przy jednoczesnym zachowaniu zasad uczciwej konkurencji, efektywności, przejrzystości i jawności, Ardigen SA niniejszym składa zapytanie ofertowe dotyczące przeprowadzenia usługi badawczej w zakresie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wygenerowania danych Cell Painting dla autorskiej biblioteki chemiczne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j. Szczegółowy opis przedmiotu zamówienia znajduje się w części  2 niniejszego zapytania ofertowego.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DANE ZAMAWIAJĄCEGO: 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ARDIGEN S.A.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ul. Sternbacha 1, 30-394 Kraków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0000ff"/>
            <w:sz w:val="20"/>
            <w:szCs w:val="20"/>
            <w:u w:val="single"/>
            <w:rtl w:val="0"/>
          </w:rPr>
          <w:t xml:space="preserve">www.ardigen.com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NIP: 6762495865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REGON: 362983380</w:t>
      </w:r>
    </w:p>
    <w:p w:rsidR="00000000" w:rsidDel="00000000" w:rsidP="00000000" w:rsidRDefault="00000000" w:rsidRPr="00000000" w14:paraId="0000000D">
      <w:pPr>
        <w:spacing w:after="240" w:line="276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KRS: 0000585459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240" w:line="276" w:lineRule="auto"/>
        <w:ind w:left="720" w:hanging="360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DANE OFERENTA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FIRMA/NAZWA: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ADRES: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REGON: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NIP: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TEL./MAIL: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240" w:line="276" w:lineRule="auto"/>
        <w:ind w:left="720" w:hanging="360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OPIS PRZEDMIOTU ZAMÓWIENIA: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="276" w:lineRule="auto"/>
        <w:jc w:val="both"/>
        <w:rPr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Oświadczamy, że oferujemy realizację przedmiotu zamówienia zgodnie z wymogami, warunkami i terminami określonymi w zapytaniu ofertowym za cenę.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jc w:val="both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Oferent powinien złożyć ofertę na cały przedmiot zamówienia, zgodnie z poniższa specyfikacją: </w:t>
      </w:r>
      <w:r w:rsidDel="00000000" w:rsidR="00000000" w:rsidRPr="00000000">
        <w:rPr>
          <w:rtl w:val="0"/>
        </w:rPr>
      </w:r>
    </w:p>
    <w:tbl>
      <w:tblPr>
        <w:tblStyle w:val="Table1"/>
        <w:tblW w:w="10665.0" w:type="dxa"/>
        <w:jc w:val="left"/>
        <w:tblInd w:w="-5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0"/>
        <w:gridCol w:w="1530"/>
        <w:gridCol w:w="5415"/>
        <w:gridCol w:w="1980"/>
        <w:gridCol w:w="1260"/>
        <w:tblGridChange w:id="0">
          <w:tblGrid>
            <w:gridCol w:w="480"/>
            <w:gridCol w:w="1530"/>
            <w:gridCol w:w="5415"/>
            <w:gridCol w:w="1980"/>
            <w:gridCol w:w="1260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Nr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Nazwa usługi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ind w:left="260" w:firstLine="0"/>
              <w:jc w:val="center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Opis usługi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Ilość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Cena netto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240" w:before="240" w:line="240" w:lineRule="auto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Standaryzacja testu Cell Painting do wybranych linii komórkowych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200" w:lineRule="auto"/>
              <w:jc w:val="both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Standaryzacja warunków hodowli dla każdej z wybranych linii komórkowych oraz dostosowanie protokołu Cell Painting dla każdej linii komórkowej.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2"/>
              </w:numPr>
              <w:ind w:left="360" w:hanging="27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Warunki hodowli muszą zostać ustalone dla co najmniej trzech różnych linii komórkowych, które zostaną dostarczone przez oferenta i wybrane przez zamawiającego przed rozpoczęciem eksperymentów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"/>
              </w:numPr>
              <w:ind w:left="360" w:hanging="27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Linie komórkowe powinny reprezentować, ale nie ograniczać się do następujących typów: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1"/>
                <w:numId w:val="2"/>
              </w:numPr>
              <w:ind w:left="1440" w:hanging="36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linia komórkowa wątrobowa (e.g. Huh7)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1"/>
                <w:numId w:val="2"/>
              </w:numPr>
              <w:ind w:left="1440" w:hanging="36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linia komórkowa nabłonkowa  ( e.g. A549)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1"/>
                <w:numId w:val="2"/>
              </w:numPr>
              <w:ind w:left="1440" w:hanging="36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linia komórkowa sercowa (e.g. AC16)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2"/>
              </w:numPr>
              <w:ind w:left="360" w:hanging="27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Przygotowanie hodowli wyżej wymienionych linii komórkowych w ilościach wystarczających do testowania około 4000 związków chemicznych, z których każdy powinien być testowany co najmniej w czterech powtórzeniach przy minimalnie pięciu różnych stężeniach, wraz z niezbędnymi kontrolami pozytywnymi i negatywnymi.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"/>
              </w:numPr>
              <w:ind w:left="360" w:hanging="27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Protokół Cell Painting ustalony przez JUMP-CP, opublikowany w 2024 roku, musi zostać przetestowany i dostosowany, jeśli będzie to wymagane, dla wybranych linii komórkowych.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ind w:left="360" w:hanging="27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Fotografia mikroskopowa barwionych komórek (punkt d) zgodnie z wytycznymi ustalonymi ze zleceniodawcą (przykładowe parametry: powiększenie, liczba uzyskanych pól widzenia na dołek itp.).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ind w:left="360" w:hanging="27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Dostarczenie wyników walidacji testu wg kryteriów jakości uzgodnionych ze zleceniodawcą.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331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Protokół Cell Painting zwalidowany dla 3 wybranych linii komórkowych 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331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331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331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Helvetica Neue" w:cs="Helvetica Neue" w:eastAsia="Helvetica Neue" w:hAnsi="Helvetica Neue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z w:val="18"/>
                <w:szCs w:val="18"/>
                <w:rtl w:val="0"/>
              </w:rPr>
              <w:t xml:space="preserve">Na 1 linię komórkową</w:t>
            </w:r>
          </w:p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Helvetica Neue" w:cs="Helvetica Neue" w:eastAsia="Helvetica Neue" w:hAnsi="Helvetica Neue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Helvetica Neue" w:cs="Helvetica Neue" w:eastAsia="Helvetica Neue" w:hAnsi="Helvetica Neue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Cell Painting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jc w:val="both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Testowanie około 4000 związków chemicznych w warunkach ustalonych w sekcji 2.1.</w:t>
            </w:r>
          </w:p>
          <w:p w:rsidR="00000000" w:rsidDel="00000000" w:rsidP="00000000" w:rsidRDefault="00000000" w:rsidRPr="00000000" w14:paraId="00000034">
            <w:pPr>
              <w:widowControl w:val="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3"/>
              </w:numPr>
              <w:ind w:left="360" w:hanging="27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Zamawiający jest odpowiedzialny za zamówienie i dostarczenie biblioteki związków chemicznych do wykonawcy. Biblioteka powinna zawierać wystarczającą ilość każdego związku, aby umożliwić testowanie w co najmniej pięciu różnych stężeniach, w dwóch powtórzeniach technicznych i dwóch biologicznych.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3"/>
              </w:numPr>
              <w:ind w:left="360" w:hanging="27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Biblioteka związków chemicznych będzie zawierać około 4000 związków.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3"/>
              </w:numPr>
              <w:ind w:left="360" w:hanging="27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Oczekuje się, że dostawca usługi przetestuje około 4000 związków chemicznych oddzielnie na komórkach reprezentujących każdą z wybranych linii komórkowych w 5 stężeniach, w 2 powtórzeniach technicznych i 2 biologicznych.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3"/>
              </w:numPr>
              <w:ind w:left="360" w:hanging="27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Wraz z biblioteką związków zostaną przetestowane kontrole pozytywne i negatywne. Szczegółowa lista kontroli zostanie ustalona przed rozpoczęciem eksperymentu.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3"/>
              </w:numPr>
              <w:ind w:left="360" w:hanging="27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Do dozowania związków wykonawca powinien użyć akustycznego systemu podawania cieczy lub równoważnego systemu, umożliwiającego precyzyjne podawanie cieczy w zakresie nanolitrów do komórek hodowanych w płytkach mikrotitracyjnych.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3"/>
              </w:numPr>
              <w:ind w:left="360" w:hanging="27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Biblioteka związków chemicznych zostanie dostarczona w płytkach 384-dołkowych, kompatybilnych z systemem dozującym, w stężeniu 10 µM w DMSO, a dostawca będzie odpowiedzialny za rozcieńczanie związków do wymaganej końcowej koncentracji.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3"/>
              </w:numPr>
              <w:ind w:left="360" w:hanging="27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Dodatkowo, dostawca powinien być w stanie zaoferować zaawansowane możliwości obsługi związków (np. przekształcanie płytek), w przypadku gdy biblioteka związków będzie dostarczona przez różne firmy i konieczne będzie formatowanie płytek.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3"/>
              </w:numPr>
              <w:ind w:left="360" w:hanging="27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Cała biblioteka związków chemicznych będzie testowana na trzech liniach komórkowych.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3"/>
              </w:numPr>
              <w:ind w:left="360" w:hanging="27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Po 48 godzinach traktowania komórki powinny zostać zabarwione zgodnie z protokołem ustalonym w sekcji 2.1;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3"/>
              </w:numPr>
              <w:ind w:left="360" w:hanging="27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Fotografia mikroskopowa zabarwionych komórek (punkt f), powinna zostać wykonana zgodnie z wytycznymi ustalonymi w sekcji 2.1.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3"/>
              </w:numPr>
              <w:ind w:left="360" w:hanging="27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Mikroskop używany do zbierania danych musi spełniać następujące wymagania: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1"/>
                <w:numId w:val="3"/>
              </w:numPr>
              <w:ind w:left="1080" w:hanging="18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w pełni zautomatyzowany system do akwizycji danych w wysokiej przepustowości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1"/>
                <w:numId w:val="3"/>
              </w:numPr>
              <w:ind w:left="1080" w:hanging="18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wyposażony w 4 źródła wzbudzenia laserowego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1"/>
                <w:numId w:val="3"/>
              </w:numPr>
              <w:ind w:left="1080" w:hanging="18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wdolność do wykrywania 5 długości fal emisji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1"/>
                <w:numId w:val="3"/>
              </w:numPr>
              <w:ind w:left="1080" w:hanging="18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być wyposażony w kamerę CMOS.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3"/>
              </w:numPr>
              <w:ind w:left="360" w:hanging="27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Wykonawca powinien przekazać dane (pliki cyfrowe) zamawiającemu poprzez wcześniej zdefiniowane kanały transferu danych w ciągu 5 dni roboczych od zakończenia każdej partii próbek.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331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Cell Painting na 3 wybranych liniach komórkowych, traktowanych biblioteką związków chemicznych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Helvetica Neue" w:cs="Helvetica Neue" w:eastAsia="Helvetica Neue" w:hAnsi="Helvetica Neue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z w:val="18"/>
                <w:szCs w:val="18"/>
                <w:rtl w:val="0"/>
              </w:rPr>
              <w:t xml:space="preserve">Na 1 linię komórkową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Cell Painting - część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200" w:lineRule="auto"/>
              <w:jc w:val="both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Testowanie około 100 nowych związków chemicznych w warunkach określonych w sekcji 2.1.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spacing w:after="0" w:afterAutospacing="0" w:lineRule="auto"/>
              <w:ind w:left="360" w:hanging="27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Zamawiający jest odpowiedzialny za zamówienie i dostarczenie biblioteki związków chemicznych do dostawcy w uzgodnionym formacie i ilości.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"/>
              </w:numPr>
              <w:spacing w:after="0" w:afterAutospacing="0" w:lineRule="auto"/>
              <w:ind w:left="360" w:hanging="27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Biblioteka powinna zawierać wystarczającą ilość każdego związku, aby umożliwić testowanie w co najmniej pięciu różnych stężeniach, w dwóch powtórzeniach technicznych i dwóch biologicznych.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"/>
              </w:numPr>
              <w:spacing w:after="0" w:afterAutospacing="0" w:lineRule="auto"/>
              <w:ind w:left="360" w:hanging="27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Obsługa związków powinna być wykonywana przez dostawcę w tych samych warunkach, co w części 2.2.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"/>
              </w:numPr>
              <w:spacing w:after="0" w:afterAutospacing="0" w:lineRule="auto"/>
              <w:ind w:left="360" w:hanging="27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Eksperyment Cell Painting powinien być przeprowadzony w tych samych warunkach, co w części 2.2: 3 linie komórkowe, 5 stężeń, 2 powtórzenia techniczne i 2 biologiczne.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"/>
              </w:numPr>
              <w:spacing w:after="0" w:afterAutospacing="0" w:lineRule="auto"/>
              <w:ind w:left="360" w:hanging="27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Dostawca powinien zaproponować układ płytek i harmonogram eksperymentu dostosowany i z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optymalizowany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 do małej liczby testowanych związków, w celu zminimalizowania zużycia reagentów, materiałów laboratoryjnych (płytek) i czasu akwizycji.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"/>
              </w:numPr>
              <w:spacing w:after="200" w:lineRule="auto"/>
              <w:ind w:left="360" w:hanging="27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Eksperyment będzie podzielony na dwie niezależne części, a w każdej z nich będzie  testowane do 50 związków.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331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Helvetica Neue" w:cs="Helvetica Neue" w:eastAsia="Helvetica Neue" w:hAnsi="Helvetica Neue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Łączny koszt:</w:t>
            </w:r>
          </w:p>
          <w:p w:rsidR="00000000" w:rsidDel="00000000" w:rsidP="00000000" w:rsidRDefault="00000000" w:rsidRPr="00000000" w14:paraId="00000056">
            <w:pPr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360" w:lineRule="auto"/>
              <w:jc w:val="right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2.1 + 2.2 na jedną linię komórkową</w:t>
            </w:r>
          </w:p>
          <w:p w:rsidR="00000000" w:rsidDel="00000000" w:rsidP="00000000" w:rsidRDefault="00000000" w:rsidRPr="00000000" w14:paraId="00000058">
            <w:pPr>
              <w:spacing w:line="360" w:lineRule="auto"/>
              <w:jc w:val="right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360" w:lineRule="auto"/>
              <w:jc w:val="right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2.3 </w:t>
            </w:r>
          </w:p>
          <w:p w:rsidR="00000000" w:rsidDel="00000000" w:rsidP="00000000" w:rsidRDefault="00000000" w:rsidRPr="00000000" w14:paraId="0000005A">
            <w:pPr>
              <w:spacing w:line="360" w:lineRule="auto"/>
              <w:jc w:val="right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360" w:lineRule="auto"/>
              <w:jc w:val="right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2.2 + 2.2  dla 3 linii komórkowych + 2.3 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jc w:val="both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240" w:before="240" w:line="360" w:lineRule="auto"/>
              <w:jc w:val="both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………….</w:t>
            </w:r>
          </w:p>
          <w:p w:rsidR="00000000" w:rsidDel="00000000" w:rsidP="00000000" w:rsidRDefault="00000000" w:rsidRPr="00000000" w14:paraId="00000061">
            <w:pPr>
              <w:spacing w:after="240" w:before="240" w:line="360" w:lineRule="auto"/>
              <w:jc w:val="both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…………..</w:t>
            </w:r>
          </w:p>
          <w:p w:rsidR="00000000" w:rsidDel="00000000" w:rsidP="00000000" w:rsidRDefault="00000000" w:rsidRPr="00000000" w14:paraId="00000062">
            <w:pPr>
              <w:spacing w:after="240" w:before="240" w:line="360" w:lineRule="auto"/>
              <w:jc w:val="both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…………..</w:t>
            </w:r>
          </w:p>
        </w:tc>
      </w:tr>
    </w:tbl>
    <w:p w:rsidR="00000000" w:rsidDel="00000000" w:rsidP="00000000" w:rsidRDefault="00000000" w:rsidRPr="00000000" w14:paraId="00000063">
      <w:pPr>
        <w:spacing w:after="240" w:before="240" w:line="276" w:lineRule="auto"/>
        <w:jc w:val="both"/>
        <w:rPr>
          <w:rFonts w:ascii="Roboto" w:cs="Roboto" w:eastAsia="Roboto" w:hAnsi="Roboto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="276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W przypadku, gdy Zamawiający posługuje się w opisie przedmiotu zamówienia nazwami konkretnych producentów, nazwami konkretnych produktów, znakami towarowymi, patentami czy pochodzeniem, należy to traktować jedynie jako pomoc w opisie przedmiotu zamówienia – mają one jedynie przybliżyć wymagania, których nie można było opisać przy użyciu dostatecznie dokładnych i zrozumiałych określeń. W każdym przypadku dopuszcza się użycie produktu równoważnego, który spełni minimalne standardy jakościowe, parametry techniczne, warunki docelowego przeznaczenia oraz funkcji i walorów użytkowych produktu wskazanego z nazwy, które to wymagania są przedstawione w punkcie 2 Zapytania ofertowego nr 13-09-2024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before="200" w:line="276" w:lineRule="auto"/>
        <w:ind w:left="720" w:hanging="360"/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Oświadczamy, że zamówienie zrealizujemy w terminie wskazanym w zapytaniu ofertowym.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spacing w:before="200" w:line="276" w:lineRule="auto"/>
        <w:ind w:left="720" w:hanging="360"/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Oświadczamy, że spełniamy warunki udziału w postępowaniu i dołączamy do niniejszej oferty wymagane dokumenty.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spacing w:after="0" w:afterAutospacing="0" w:before="200" w:line="276" w:lineRule="auto"/>
        <w:ind w:left="720" w:hanging="360"/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Oświadczamy, iż nie jesteśmy powiązani osobowo ani kapitałowo z Zamawiającym lub osobami upoważnionymi do zaciągania zobowiązań w imieniu Zamawiającego lub osobami wykonującymi w imieniu Zamawiającego czynności związane z przeprowadzeniem procedury wyboru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Oświadczam, że oferta zachowuje ważność minimum do 90 dni.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Oświadczam, że zapoznałem się z treścią zapytania ofertowego wraz z załącznikami i nie wnoszę do niego zastrzeżeń.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Przyjmuję do wiadomości, że w przypadku poświadczenia przeze mnie nieprawdy, oferta zostanie odrzucona.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Oświadczam, że Oferent spełnia poniższe warunki:</w:t>
      </w:r>
    </w:p>
    <w:p w:rsidR="00000000" w:rsidDel="00000000" w:rsidP="00000000" w:rsidRDefault="00000000" w:rsidRPr="00000000" w14:paraId="0000006C">
      <w:pPr>
        <w:numPr>
          <w:ilvl w:val="1"/>
          <w:numId w:val="4"/>
        </w:numPr>
        <w:spacing w:after="0" w:afterAutospacing="0" w:before="0" w:beforeAutospacing="0" w:line="276" w:lineRule="auto"/>
        <w:ind w:left="144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Posiada uprawnienia do wykonywania określonej działalności lub czynności, jeżeli przepisy nakładają obowiązek posiadania takich uprawnień.</w:t>
      </w:r>
    </w:p>
    <w:p w:rsidR="00000000" w:rsidDel="00000000" w:rsidP="00000000" w:rsidRDefault="00000000" w:rsidRPr="00000000" w14:paraId="0000006D">
      <w:pPr>
        <w:numPr>
          <w:ilvl w:val="1"/>
          <w:numId w:val="4"/>
        </w:numPr>
        <w:spacing w:after="0" w:afterAutospacing="0" w:before="0" w:beforeAutospacing="0" w:line="276" w:lineRule="auto"/>
        <w:ind w:left="144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Prowadzi działalność zgodną z opisem przedmiotu zamówienia.</w:t>
      </w:r>
    </w:p>
    <w:p w:rsidR="00000000" w:rsidDel="00000000" w:rsidP="00000000" w:rsidRDefault="00000000" w:rsidRPr="00000000" w14:paraId="0000006E">
      <w:pPr>
        <w:numPr>
          <w:ilvl w:val="1"/>
          <w:numId w:val="4"/>
        </w:numPr>
        <w:spacing w:after="0" w:afterAutospacing="0" w:before="0" w:beforeAutospacing="0" w:line="276" w:lineRule="auto"/>
        <w:ind w:left="144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Posiada niezbędną wiedzę i doświadczenie oraz dysponuje potencjałem technicznym i osobami zdolnymi do wykonania zamówienia.</w:t>
      </w:r>
    </w:p>
    <w:p w:rsidR="00000000" w:rsidDel="00000000" w:rsidP="00000000" w:rsidRDefault="00000000" w:rsidRPr="00000000" w14:paraId="0000006F">
      <w:pPr>
        <w:numPr>
          <w:ilvl w:val="1"/>
          <w:numId w:val="4"/>
        </w:numPr>
        <w:spacing w:after="0" w:afterAutospacing="0" w:before="0" w:beforeAutospacing="0" w:line="276" w:lineRule="auto"/>
        <w:ind w:left="144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Znajduje się w sytuacji ekonomicznej i finansowej zapewniającej wykonanie zamówienia.</w:t>
      </w:r>
    </w:p>
    <w:p w:rsidR="00000000" w:rsidDel="00000000" w:rsidP="00000000" w:rsidRDefault="00000000" w:rsidRPr="00000000" w14:paraId="00000070">
      <w:pPr>
        <w:numPr>
          <w:ilvl w:val="1"/>
          <w:numId w:val="4"/>
        </w:numPr>
        <w:spacing w:after="0" w:afterAutospacing="0" w:before="0" w:beforeAutospacing="0" w:line="276" w:lineRule="auto"/>
        <w:ind w:left="144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Nie jest w stanie likwidacji ani też nie ogłosił upadłości.</w:t>
      </w:r>
    </w:p>
    <w:p w:rsidR="00000000" w:rsidDel="00000000" w:rsidP="00000000" w:rsidRDefault="00000000" w:rsidRPr="00000000" w14:paraId="00000071">
      <w:pPr>
        <w:numPr>
          <w:ilvl w:val="1"/>
          <w:numId w:val="4"/>
        </w:numPr>
        <w:spacing w:after="0" w:afterAutospacing="0" w:before="0" w:beforeAutospacing="0" w:line="276" w:lineRule="auto"/>
        <w:ind w:left="144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Nie zalega z uiszczeniem opłat publicznoprawnych, podatków lub składek na ubezpieczenia społeczne lub zdrowotne.</w:t>
      </w:r>
    </w:p>
    <w:p w:rsidR="00000000" w:rsidDel="00000000" w:rsidP="00000000" w:rsidRDefault="00000000" w:rsidRPr="00000000" w14:paraId="00000072">
      <w:pPr>
        <w:numPr>
          <w:ilvl w:val="1"/>
          <w:numId w:val="4"/>
        </w:numPr>
        <w:spacing w:after="0" w:afterAutospacing="0" w:before="0" w:beforeAutospacing="0" w:line="276" w:lineRule="auto"/>
        <w:ind w:left="144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Nie został prawomocnie skazany za przestępstwo popełnione w związku z postępowaniem o udzielenie zamówienia, przestępstwo przekupstwa, przestępstwo przeciwko obrotowi gospodarczemu lub inne przestępstwo popełnione w celu osiągnięcia korzyści majątkowych – dotyczy wspólnika spółki jawnej, partnera lub członka zarządu spółki partnerskiej, komplementariusza spółki komandytowej oraz spółki komandytowo-akcyjnej; członka organu zarządzającego osoby prawnej.</w:t>
      </w:r>
    </w:p>
    <w:p w:rsidR="00000000" w:rsidDel="00000000" w:rsidP="00000000" w:rsidRDefault="00000000" w:rsidRPr="00000000" w14:paraId="00000073">
      <w:pPr>
        <w:numPr>
          <w:ilvl w:val="1"/>
          <w:numId w:val="4"/>
        </w:numPr>
        <w:spacing w:after="0" w:afterAutospacing="0" w:before="0" w:beforeAutospacing="0" w:line="276" w:lineRule="auto"/>
        <w:ind w:left="144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Nie jest powiązany kapitałowo lub osobowo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pozostawaniu z wykonawcą w takim stosunku prawnym lub faktycznym, że istnieje uzasadniona wątpliwość co do ich bezstronności lub niezależności w związku z postępowaniem o udzielenie zamówienia.</w:t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Nie podlega wykluczeniu na podstawie art. 27 ust. 1 Ustawy z dn. 13 kwietnia 2022 r. o szczególnych rozwiązaniach w zakresie przeciwdziałania wspierania agresji na Ukrainę oraz służących ochronie bezpieczeństwa narodowego (Dz.U.Poz.835). Na podstawie art. 7 ust. 1 ustawy o przeciwdziałaniu z postępowania wyklucza się:</w:t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</w:t>
      </w:r>
    </w:p>
    <w:p w:rsidR="00000000" w:rsidDel="00000000" w:rsidP="00000000" w:rsidRDefault="00000000" w:rsidRPr="00000000" w14:paraId="00000079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:rsidR="00000000" w:rsidDel="00000000" w:rsidP="00000000" w:rsidRDefault="00000000" w:rsidRPr="00000000" w14:paraId="0000007A">
      <w:pPr>
        <w:numPr>
          <w:ilvl w:val="0"/>
          <w:numId w:val="4"/>
        </w:numPr>
        <w:spacing w:before="200" w:line="276" w:lineRule="auto"/>
        <w:ind w:left="720" w:hanging="360"/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</w:t>
      </w:r>
    </w:p>
    <w:p w:rsidR="00000000" w:rsidDel="00000000" w:rsidP="00000000" w:rsidRDefault="00000000" w:rsidRPr="00000000" w14:paraId="0000007B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befor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Podpis osoby upoważnionej </w:t>
      </w:r>
    </w:p>
    <w:p w:rsidR="00000000" w:rsidDel="00000000" w:rsidP="00000000" w:rsidRDefault="00000000" w:rsidRPr="00000000" w14:paraId="0000007D">
      <w:pPr>
        <w:spacing w:after="240" w:befor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………………………………….</w:t>
        <w:br w:type="textWrapping"/>
        <w:br w:type="textWrapping"/>
        <w:br w:type="textWrapping"/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F">
      <w:pPr>
        <w:spacing w:line="276" w:lineRule="auto"/>
        <w:jc w:val="both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</w:t>
        <w:br w:type="textWrapping"/>
        <w:t xml:space="preserve">z przeprowadzeniem procedury wyboru Wykonawcy a Wykonawcą, polegające w szczególności na:</w:t>
      </w:r>
    </w:p>
    <w:p w:rsidR="00000000" w:rsidDel="00000000" w:rsidP="00000000" w:rsidRDefault="00000000" w:rsidRPr="00000000" w14:paraId="00000080">
      <w:pPr>
        <w:spacing w:line="276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a) uczestniczeniu w spółce jako wspólnik spółki cywilnej lub spółki osobowej,</w:t>
      </w:r>
    </w:p>
    <w:p w:rsidR="00000000" w:rsidDel="00000000" w:rsidP="00000000" w:rsidRDefault="00000000" w:rsidRPr="00000000" w14:paraId="00000081">
      <w:pPr>
        <w:spacing w:line="276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b) posiadaniu co najmniej 10% udziałów lub akcji, o ile niższy próg nie wynika z przepisów prawa lub nie został określony przez IZ w wytycznych programowych,</w:t>
      </w:r>
    </w:p>
    <w:p w:rsidR="00000000" w:rsidDel="00000000" w:rsidP="00000000" w:rsidRDefault="00000000" w:rsidRPr="00000000" w14:paraId="00000082">
      <w:pPr>
        <w:spacing w:line="276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c) pełnieniu funkcji członka organu nadzorczego lub zarządzającego, prokurenta, pełnomocnika,</w:t>
      </w:r>
    </w:p>
    <w:p w:rsidR="00000000" w:rsidDel="00000000" w:rsidP="00000000" w:rsidRDefault="00000000" w:rsidRPr="00000000" w14:paraId="00000083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16"/>
          <w:szCs w:val="16"/>
          <w:rtl w:val="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360" w:hanging="27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360" w:hanging="27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360" w:hanging="27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1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://www.ardigen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