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eastAsia="Times New Roman" w:cs="Calibri" w:cstheme="minorHAnsi"/>
          <w:bCs/>
        </w:rPr>
        <w:t xml:space="preserve"> </w:t>
      </w:r>
      <w:r>
        <w:rPr>
          <w:rFonts w:eastAsia="Times New Roman" w:cs="Calibri" w:cstheme="minorHAnsi"/>
          <w:bCs/>
        </w:rPr>
        <w:t>Bytom, ………………………2024</w:t>
      </w:r>
    </w:p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eastAsia="Times New Roman" w:cs="Calibri" w:cstheme="minorHAnsi"/>
          <w:bCs/>
        </w:rPr>
      </w:r>
    </w:p>
    <w:p>
      <w:pPr>
        <w:pStyle w:val="Normal"/>
        <w:spacing w:before="0" w:after="0"/>
        <w:rPr>
          <w:rFonts w:eastAsia="Times New Roman" w:cs="Calibri" w:cstheme="minorHAnsi"/>
          <w:b/>
        </w:rPr>
      </w:pPr>
      <w:r>
        <w:rPr>
          <w:rFonts w:eastAsia="Times New Roman" w:cs="Calibri" w:cstheme="minorHAnsi"/>
          <w:b/>
        </w:rPr>
        <w:t>Zapytanie ofertowe</w:t>
      </w:r>
    </w:p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eastAsia="Times New Roman" w:cs="Calibri" w:cstheme="minorHAnsi"/>
          <w:bCs/>
        </w:rPr>
      </w:r>
    </w:p>
    <w:p>
      <w:pPr>
        <w:pStyle w:val="Normal"/>
        <w:spacing w:before="0" w:after="0"/>
        <w:rPr>
          <w:rFonts w:cs="Calibri" w:cstheme="minorHAnsi"/>
          <w:highlight w:val="yellow"/>
        </w:rPr>
      </w:pPr>
      <w:r>
        <w:rPr>
          <w:rFonts w:cs="Calibri" w:cstheme="minorHAnsi"/>
        </w:rPr>
        <w:t xml:space="preserve">w ramach projektu pn. </w:t>
      </w:r>
      <w:r>
        <w:rPr>
          <w:rFonts w:cs="Calibri" w:cstheme="minorHAnsi"/>
          <w:b/>
          <w:bCs/>
        </w:rPr>
        <w:t>„Zwiększenie konkurencyjności firmy poprzez wdrożenie nowych usług opartych o innowacyjne metody leczenia poprawiające jakość widzenia.”</w:t>
      </w:r>
    </w:p>
    <w:p>
      <w:pPr>
        <w:pStyle w:val="Normal"/>
        <w:spacing w:before="0" w:after="0"/>
        <w:rPr>
          <w:rFonts w:cs="Calibri" w:cstheme="minorHAnsi"/>
          <w:highlight w:val="yellow"/>
        </w:rPr>
      </w:pPr>
      <w:r>
        <w:rPr>
          <w:rFonts w:cs="Calibri" w:cstheme="minorHAnsi"/>
          <w:highlight w:val="yellow"/>
        </w:rPr>
      </w:r>
    </w:p>
    <w:p>
      <w:pPr>
        <w:pStyle w:val="Normal"/>
        <w:spacing w:before="0" w:after="0"/>
        <w:rPr>
          <w:rFonts w:cs="Calibri" w:cstheme="minorHAnsi"/>
          <w:highlight w:val="yellow"/>
        </w:rPr>
      </w:pPr>
      <w:r>
        <w:rPr>
          <w:rFonts w:cs="Calibri" w:cstheme="minorHAnsi"/>
          <w:highlight w:val="yellow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Zamawiający: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GlaucoMed Specjalistyczna Praktyka Lekarska dr hab. n. med. Adrian Smędowski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Ul. gen. Władysława Sikorskiego 45/177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eastAsia="Calibri" w:cs="Calibri"/>
          <w:sz w:val="24"/>
          <w:szCs w:val="24"/>
        </w:rPr>
        <w:t>40-282 Katowice</w:t>
      </w:r>
      <w:r>
        <w:rPr>
          <w:rFonts w:cs="Calibri" w:cstheme="minorHAnsi"/>
        </w:rPr>
        <w:tab/>
        <w:tab/>
        <w:tab/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Osoby do kontaktu w sprawie zamówienia: Karolina Mazij</w:t>
      </w:r>
    </w:p>
    <w:p>
      <w:pPr>
        <w:pStyle w:val="Normal"/>
        <w:spacing w:before="0" w:after="0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tel. +48 792 082 854, e-mail: </w:t>
      </w:r>
      <w:r>
        <w:rPr>
          <w:lang w:val="en-US"/>
        </w:rPr>
        <w:t>karolina.mazij@glaucomed.pl</w:t>
      </w:r>
    </w:p>
    <w:p>
      <w:pPr>
        <w:pStyle w:val="Normal"/>
        <w:spacing w:before="0" w:after="0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zaprasza do składania ofert w zakresie zakupu urządzeń medycznych</w:t>
      </w:r>
    </w:p>
    <w:p>
      <w:pPr>
        <w:pStyle w:val="ListParagraph"/>
        <w:spacing w:before="0" w:after="0"/>
        <w:contextualSpacing/>
        <w:rPr>
          <w:rFonts w:cs="Calibri" w:cstheme="minorHAnsi"/>
          <w:b/>
          <w:bCs/>
          <w:highlight w:val="yellow"/>
        </w:rPr>
      </w:pPr>
      <w:r>
        <w:rPr>
          <w:rFonts w:cs="Calibri" w:cstheme="minorHAnsi"/>
          <w:b/>
          <w:bCs/>
          <w:highlight w:val="yellow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Adres inwestycji: ul. Stanisława Moniuszki 20/209, 41-902 Bytom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Kody CPV: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Kod CPV 33169100-3 Lasery chirurgiczne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Kod CPV 33100000-1 Urządzenia medyczne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Szczegółowy opis przedmiotu zamówienia 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Przedmiot zamówienia obejmuje zakup następującego sprzętu medycznego:</w:t>
      </w:r>
    </w:p>
    <w:p>
      <w:pPr>
        <w:pStyle w:val="Normal"/>
        <w:spacing w:lineRule="auto" w:line="240" w:before="0" w:after="0"/>
        <w:rPr>
          <w:rFonts w:cs="Calibri" w:cstheme="minorHAnsi"/>
          <w:highlight w:val="yellow"/>
        </w:rPr>
      </w:pPr>
      <w:r>
        <w:rPr>
          <w:rFonts w:cs="Calibri" w:cstheme="minorHAnsi"/>
          <w:highlight w:val="yellow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Część 1:</w:t>
      </w:r>
      <w:r>
        <w:rPr>
          <w:b/>
          <w:bCs/>
        </w:rPr>
        <w:t xml:space="preserve"> </w:t>
      </w:r>
      <w:r>
        <w:rPr>
          <w:rFonts w:cs="Calibri" w:cstheme="minorHAnsi"/>
          <w:b/>
          <w:bCs/>
        </w:rPr>
        <w:t>Zakup lasera wraz z niezbędnym osprzętem do leczenia jaskry DSLT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Minimalne parametry: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min 120 rozmieszczone impakty lasera dostarczane bezpośrednio przez twardówkę i bezdotykowo do siateczki beleczkowania, obniżające ciśnienie wewnątrzgałkowe bez konieczności użycia soczewki nagałkowej,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przyjazny dla użytkownika interfejs,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w pełni zautomatyzowane leczenie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moduł laserowy: podwójny Q‒switched Nd: YAG 500 000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zakres energii lasera: 0,3 – 2,6 mJ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czas trwania impulsu lasera: 3 ns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rozmiar spotu: 400 µm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częstotliwość pracy lasera: 50 Hz, z automatycznym zatwierdzeniem dla każdego pulsu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tryb zabiegu: - pełny - 360°, 120 impulsów laserowych - dolna lub górna połowa - 180°, 60 impulsów laserowych</w:t>
      </w:r>
      <w:bookmarkStart w:id="0" w:name="_Hlk168568793"/>
      <w:bookmarkEnd w:id="0"/>
    </w:p>
    <w:p>
      <w:pPr>
        <w:pStyle w:val="Normal"/>
        <w:spacing w:lineRule="auto" w:line="240" w:before="0" w:after="0"/>
        <w:rPr>
          <w:rFonts w:cs="Calibri" w:cstheme="minorHAnsi"/>
          <w:highlight w:val="yellow"/>
        </w:rPr>
      </w:pPr>
      <w:r>
        <w:rPr>
          <w:rFonts w:cs="Calibri" w:cstheme="minorHAnsi"/>
        </w:rPr>
        <w:t>Zakup ten również obejmuje m.in.: instalację, montaż, pierwsze uruchomienie, transport, opakowanie, rozładunek, sprawdzenie i przystosowanie nabytego sprzętu, szkolenie personelu -instruktaż.</w:t>
      </w:r>
    </w:p>
    <w:p>
      <w:pPr>
        <w:pStyle w:val="Normal"/>
        <w:spacing w:lineRule="auto" w:line="240" w:before="0" w:after="0"/>
        <w:rPr>
          <w:rFonts w:cs="Calibri" w:cstheme="minorHAnsi"/>
          <w:highlight w:val="yellow"/>
        </w:rPr>
      </w:pPr>
      <w:r>
        <w:rPr>
          <w:rFonts w:cs="Calibri" w:cstheme="minorHAnsi"/>
          <w:highlight w:val="yellow"/>
        </w:rPr>
      </w:r>
    </w:p>
    <w:p>
      <w:pPr>
        <w:pStyle w:val="Normal"/>
        <w:spacing w:lineRule="auto" w:line="240" w:before="0" w:after="0"/>
        <w:rPr>
          <w:rFonts w:cs="Calibri" w:cstheme="minorHAnsi"/>
          <w:highlight w:val="yellow"/>
        </w:rPr>
      </w:pPr>
      <w:r>
        <w:rPr>
          <w:rFonts w:cs="Calibri" w:cstheme="minorHAnsi"/>
          <w:highlight w:val="yellow"/>
        </w:rPr>
      </w:r>
    </w:p>
    <w:p>
      <w:pPr>
        <w:pStyle w:val="Normal"/>
        <w:spacing w:lineRule="auto" w:line="240" w:before="0" w:after="0"/>
        <w:rPr>
          <w:rFonts w:cs="Calibri" w:cstheme="minorHAnsi"/>
          <w:highlight w:val="yellow"/>
        </w:rPr>
      </w:pPr>
      <w:r>
        <w:rPr>
          <w:rFonts w:cs="Calibri" w:cstheme="minorHAnsi"/>
          <w:highlight w:val="yellow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highlight w:val="yellow"/>
        </w:rPr>
      </w:pPr>
      <w:r>
        <w:rPr>
          <w:rFonts w:cs="Calibri" w:cstheme="minorHAnsi"/>
          <w:b/>
          <w:bCs/>
        </w:rPr>
        <w:t>Część 2: URZĄDZENIE DO DIAGNOSTYKI CHORÓB OCZU</w:t>
      </w:r>
      <w:bookmarkStart w:id="1" w:name="_Hlk167179698"/>
      <w:bookmarkEnd w:id="1"/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Urządzenie umożliwia obiektywną ocenę funkcjonalną drogi wzrokowej zgodnie ze standardem ISCEV (International Society for Clinical Electrophysiology of Vision) lub równoważnej. Posiada zdefiniowaną normatywną bazę danych związaną z wiekiem pacjenta, umożliwiającą szybką i skuteczną diagnostykę. Urządzenie będzie umożliwiać wykrywania jaskry w jej najwcześniejszych stadiach.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Urządzenie umożliwiać będzie: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- przeprowadzenie testu PERG - testu do wczesnego diagnozowania jaskry,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- ocenę wrażliwość na kontrast lub ostrość wzroku, w obiektywny i szybki sposób, nawet u pacjentów niewspółpracujących,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- instruowanie pacjenta podczas ćwiczeń wzrokowych, w celu poprawy wydajności wzroku,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-połączenie badania wieloogniskowego z fotograficznym obrazem dna oka. Funkcja zapewnia dokładne monitorowanie progresji chorób plamki żółtej i otaczających ją obszarów, z konkretnymi wskazaniami każdego analizowanego obszaru siatkówki LUB możliwość rozbudowy urządzenia o taką funkcję</w:t>
      </w:r>
    </w:p>
    <w:p>
      <w:pPr>
        <w:pStyle w:val="Normal"/>
        <w:spacing w:before="0" w:after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Minimalne parametry: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POZYSKANIE ODCZYTU: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16-bitowy przetwornik analogowo-cyfrowy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2 kanały standardowego wzmacniacza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Filtrowanie artefaktów spowodowanych ruchami gałek ocznych w czasie rzeczywistym.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Obliczanie sekwencji M w czasie rzeczywistym.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Automatyczny pomiar impedancji elektrod.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Opcja SWEEP VEP i Biofeedback VEP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STYMULATORY: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T</w:t>
      </w:r>
      <w:r>
        <w:rPr>
          <w:rFonts w:cs="Calibri" w:cstheme="minorHAnsi"/>
          <w:lang w:val="pl-PL"/>
        </w:rPr>
        <w:t>Lampa błyskowa, t</w:t>
      </w:r>
      <w:r>
        <w:rPr>
          <w:rFonts w:cs="Calibri" w:cstheme="minorHAnsi"/>
        </w:rPr>
        <w:t>ło regulowane do 600 Cd*m2 (zgodne z ISCEV) światło białe, światło czerwone 625nm, światło niebieskie 470nm, światło żółte 600nm, światło zielone 525nm.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Kamera do monitorowania fiksacji badanego pacjenta.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Punkty fiksacji EOG 30 i 45 stopni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Stymulator wzorca 10/19/21/32/42/55 cali, wysoka luminancja, LCD, OLED, rozdzielczość 1280x1024.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Automatyczna kalibracja. Pole widzenia regulowane do 90 stopni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Kompatybilność ze standardem DICOM v3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>
          <w:b/>
          <w:bCs/>
        </w:rPr>
        <w:t>Przykładowe BADANIA: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po adaptacji w ciemności 0,01 Cd*Sec/m2.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po adaptacji w ciemności 3,0 Cd*Sec/m2.</w:t>
      </w:r>
    </w:p>
    <w:p>
      <w:pPr>
        <w:pStyle w:val="Normal"/>
        <w:numPr>
          <w:ilvl w:val="0"/>
          <w:numId w:val="2"/>
        </w:numPr>
        <w:rPr>
          <w:color w:val="000000"/>
        </w:rPr>
      </w:pPr>
      <w:r>
        <w:rPr>
          <w:color w:val="000000"/>
          <w:lang w:val="pl-PL"/>
        </w:rPr>
        <w:t>Oscylacyjne potencjały ERG po adaptacji w ciemności 3,0 Cd*Sec/m2.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po adaptacji w ciemności 10 Cd*Sec/m2.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po adaptacji w świetle 3,0 Cd*Sec/m2.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po adaptacji w świetle 3,0 Cd*Sec/m2, migotanie 30Hz.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odpowiedź fotopowa PhNR (Photopic Negative Response).</w:t>
      </w:r>
    </w:p>
    <w:p>
      <w:pPr>
        <w:pStyle w:val="Normal"/>
        <w:numPr>
          <w:ilvl w:val="0"/>
          <w:numId w:val="2"/>
        </w:numPr>
        <w:rPr/>
      </w:pPr>
      <w:r>
        <w:rPr/>
        <w:t>ERG dla zespołu S-Cone (Enhanced S-Cone syndrome).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ERG sterowany przez czopki ML.</w:t>
      </w:r>
    </w:p>
    <w:p>
      <w:pPr>
        <w:pStyle w:val="Normal"/>
        <w:numPr>
          <w:ilvl w:val="0"/>
          <w:numId w:val="2"/>
        </w:numPr>
        <w:rPr/>
      </w:pPr>
      <w:r>
        <w:rPr/>
        <w:t>Odpowiedź ON/OFF ERG.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Test ERG zwyrodnienia plamki RDT.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FST Test czułości pełnego pola.</w:t>
      </w:r>
    </w:p>
    <w:p>
      <w:pPr>
        <w:pStyle w:val="Normal"/>
        <w:numPr>
          <w:ilvl w:val="0"/>
          <w:numId w:val="2"/>
        </w:numPr>
        <w:rPr/>
      </w:pPr>
      <w:r>
        <w:rPr/>
        <w:t>PERG Standard. (Elektroretinogram wzorcowy)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Test połówek pola widzenia w diagnostyce jaskry PERG.</w:t>
      </w:r>
    </w:p>
    <w:p>
      <w:pPr>
        <w:pStyle w:val="Normal"/>
        <w:numPr>
          <w:ilvl w:val="0"/>
          <w:numId w:val="2"/>
        </w:numPr>
        <w:rPr/>
      </w:pPr>
      <w:r>
        <w:rPr/>
        <w:t>Współczynnik PERG.</w:t>
      </w:r>
    </w:p>
    <w:p>
      <w:pPr>
        <w:pStyle w:val="Normal"/>
        <w:numPr>
          <w:ilvl w:val="0"/>
          <w:numId w:val="2"/>
        </w:numPr>
        <w:rPr/>
      </w:pPr>
      <w:r>
        <w:rPr/>
        <w:t>REPERG.</w:t>
      </w:r>
    </w:p>
    <w:p>
      <w:pPr>
        <w:pStyle w:val="Normal"/>
        <w:numPr>
          <w:ilvl w:val="0"/>
          <w:numId w:val="2"/>
        </w:numPr>
        <w:rPr/>
      </w:pPr>
      <w:r>
        <w:rPr/>
        <w:t>VEP Flash.</w:t>
      </w:r>
    </w:p>
    <w:p>
      <w:pPr>
        <w:pStyle w:val="Normal"/>
        <w:numPr>
          <w:ilvl w:val="0"/>
          <w:numId w:val="2"/>
        </w:numPr>
        <w:rPr/>
      </w:pPr>
      <w:r>
        <w:rPr/>
        <w:t>VEP Wzorzec.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Test VEP dla ostrości wzroku i wrażliwości na kontrast.</w:t>
      </w:r>
    </w:p>
    <w:p>
      <w:pPr>
        <w:pStyle w:val="Normal"/>
        <w:numPr>
          <w:ilvl w:val="0"/>
          <w:numId w:val="2"/>
        </w:numPr>
        <w:rPr>
          <w:lang w:val="pl-PL"/>
        </w:rPr>
      </w:pPr>
      <w:r>
        <w:rPr>
          <w:lang w:val="pl-PL"/>
        </w:rPr>
        <w:t>EOG szybkie i wolne dla źrenicy pacjenta (z rozszerzoną lub bez rozszerzenia).</w:t>
      </w:r>
    </w:p>
    <w:p>
      <w:pPr>
        <w:pStyle w:val="Normal"/>
        <w:numPr>
          <w:ilvl w:val="0"/>
          <w:numId w:val="2"/>
        </w:numPr>
        <w:rPr/>
      </w:pPr>
      <w:r>
        <w:rPr/>
        <w:t>Wieloogniskowe ERG.</w:t>
      </w:r>
    </w:p>
    <w:p>
      <w:pPr>
        <w:pStyle w:val="Normal"/>
        <w:numPr>
          <w:ilvl w:val="0"/>
          <w:numId w:val="2"/>
        </w:numPr>
        <w:rPr/>
      </w:pPr>
      <w:r>
        <w:rPr/>
        <w:t>Wieloogniskowe PERG.</w:t>
      </w:r>
    </w:p>
    <w:p>
      <w:pPr>
        <w:pStyle w:val="Normal"/>
        <w:numPr>
          <w:ilvl w:val="0"/>
          <w:numId w:val="2"/>
        </w:numPr>
        <w:rPr/>
      </w:pPr>
      <w:r>
        <w:rPr/>
        <w:t>Wieloogniskowe VEP.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left="720" w:hanging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lang w:val="pl-PL"/>
        </w:rPr>
      </w:pPr>
      <w:r>
        <w:rPr>
          <w:b/>
          <w:bCs/>
          <w:lang w:val="pl-PL"/>
        </w:rPr>
        <w:t>Miniganzfeld stimulator dla dzieci z wbudowaną kamerą podczerwieni i wyświetlaczem (opcjonalnie)</w:t>
      </w:r>
    </w:p>
    <w:p>
      <w:pPr>
        <w:pStyle w:val="Normal"/>
        <w:rPr>
          <w:lang w:val="pl-PL"/>
        </w:rPr>
      </w:pPr>
      <w:r>
        <w:rPr>
          <w:b/>
          <w:bCs/>
          <w:lang w:val="pl-PL"/>
        </w:rPr>
        <w:t>Stymulator wzorca  10/19/21/32/42/55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 xml:space="preserve"> cali, o wysokiej luminancji, LCD, OLED, rozdzielczość 1280x1024.</w:t>
      </w:r>
    </w:p>
    <w:p>
      <w:pPr>
        <w:pStyle w:val="Normal"/>
        <w:numPr>
          <w:ilvl w:val="0"/>
          <w:numId w:val="4"/>
        </w:numPr>
        <w:rPr/>
      </w:pPr>
      <w:r>
        <w:rPr/>
        <w:t>Automatyczna kalibracja.</w:t>
      </w:r>
    </w:p>
    <w:p>
      <w:pPr>
        <w:pStyle w:val="Normal"/>
        <w:numPr>
          <w:ilvl w:val="0"/>
          <w:numId w:val="4"/>
        </w:numPr>
        <w:rPr>
          <w:lang w:val="pl-PL"/>
        </w:rPr>
      </w:pPr>
      <w:r>
        <w:rPr>
          <w:lang w:val="pl-PL"/>
        </w:rPr>
        <w:t>Regulowane pole widzenia do 90 stopni.</w:t>
      </w:r>
    </w:p>
    <w:p>
      <w:pPr>
        <w:pStyle w:val="Normal"/>
        <w:numPr>
          <w:ilvl w:val="0"/>
          <w:numId w:val="4"/>
        </w:numPr>
        <w:rPr>
          <w:lang w:val="pl-PL"/>
        </w:rPr>
      </w:pPr>
      <w:r>
        <w:rPr>
          <w:lang w:val="pl-PL"/>
        </w:rPr>
        <w:t>Automatyczna korekcja kąta widzenia stymulatora wzorca, zgodnie z zastosowaniem korekcji optycznej błędu refrakcji pacjenta.</w:t>
      </w:r>
    </w:p>
    <w:p>
      <w:pPr>
        <w:pStyle w:val="Normal"/>
        <w:spacing w:before="0" w:after="0"/>
        <w:rPr>
          <w:lang w:val="pl-PL"/>
        </w:rPr>
      </w:pPr>
      <w:r>
        <w:rPr>
          <w:lang w:val="pl-PL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Powyższe stanowi część planów zakupowych Zamawiającego. Całkowita przewidywana wartość wszystkich zakupów wynosi 1 241 000.00 PLN.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Oferent może złożyć ofertę na wszystkie części lub tylko na wybraną część zamówienia.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Zamawiający nie dopuszcza składania ofert wariantowych.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Zamawiający zastrzega sobie prawo do możliwości dokonania zmian w ogłoszeniu lub warunkach zamówienia.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Zamawiający zastrzega sobie prawo do unieważnienie postępowania na każdym etapie bez podawania przyczyny lub pozostawienie postępowania bez rozstrzygnięcia , a roszczenia Oferentów z tego tytułu są wyłączone. Wszelka korespondencja z Oferentami będzie prowadzona w języku polskim. Dokumenty sporządzone w innym języku powinny być przetłumaczone przez Oferenta. Ceny podane w innej walucie zostaną przeliczone wg kursu NBP po kursie Sprzedaży obowiązującym na dzień przygotowania oferty.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Przedsięwzięcie jest planowane do współfinansowania z Fundusz na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rzecz Sprawiedliwej Transformacji.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/>
          <w:color w:val="000000"/>
        </w:rPr>
        <w:t>Tam, gdzie w opisie zostało wskazane pochodzenie (marka, znak towarowy, producent, dostawca) materiałów lub normy, aprobaty, specyfikacje i systemy, o których mowa w art. 101 ust. 1 – 3 ustawy z dnia 11 września 2019 roku Prawo zamówień publicznych (t.j. Dz.U. poz. 1605), Zamawiający dopuszcza oferowanie materiałów lub rozwiązań równoważnych pod warunkiem, że zagwarantują one realizację robót/dostaw/usług w zgodzie z obowiązującymi przepisami oraz zapewnią uzyskanie parametrów technicznych nie gorszych od założonych w wyżej wymienionym opisie.</w:t>
      </w:r>
    </w:p>
    <w:p>
      <w:pPr>
        <w:pStyle w:val="Normal"/>
        <w:spacing w:before="0" w:after="0"/>
        <w:ind w:left="36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Warunki udziału w postępowaniu oraz opis sposobu dokonywania oceny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Kryteria formalne: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Oferent dysponuje potencjałem organizacyjno – technicznym i znajduje się w sytuacji ekonomicznej i finansowej gwarantującym wykonanie zamówienia. </w:t>
      </w:r>
    </w:p>
    <w:p>
      <w:pPr>
        <w:pStyle w:val="ListParagraph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>Wobec Oferenta nie toczy się postępowanie o ogłoszenie upadłości, postępowanie upadłościowe, restrukturyzacyjne, likwidacyjne, egzekucyjne lub komornik nie prowadzi postępowania zabezpieczającego. Nie toczą się wobec Wykonawcy żadne postępowania egzekucyjne.</w:t>
      </w:r>
      <w:r>
        <w:rPr/>
        <w:t xml:space="preserve"> </w:t>
      </w:r>
      <w:r>
        <w:rPr>
          <w:rFonts w:cs="Calibri" w:cstheme="minorHAnsi"/>
        </w:rPr>
        <w:t>Wykonawca nie posiada zaległości podatkowych i z tytułu składek na ubezpieczenie społeczne i zdrowotne,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Brak powiązania wykonawcy z Zamawiającym: Wykonawca nie jest powiązany </w:t>
        <w:br/>
        <w:t xml:space="preserve">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związanych z przygotowaniem i przeprowadzeniem procedury wyboru wykonawcy, a Wykonawcą, polegające w szczególności na: 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  <w:br/>
        <w:t>z wykonawcą, jego zastępcą prawnym lub członkami organów zarządzających lub organów nadzorczych wykonawców ubiegających się o udzielenie zamówienia,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pozostawaniu z wykonawcą w takim stosunku prawnym lub faktycznym, że istnieje uzasadniona wątpliwość co do ich bezstronności lub niezależności w związku z postępowaniem o udzielenie zamówienia.</w:t>
        <w:br/>
      </w:r>
    </w:p>
    <w:p>
      <w:pPr>
        <w:pStyle w:val="ListParagraph"/>
        <w:numPr>
          <w:ilvl w:val="0"/>
          <w:numId w:val="2"/>
        </w:numPr>
        <w:rPr>
          <w:rFonts w:cs="Calibri" w:cstheme="minorHAnsi"/>
        </w:rPr>
      </w:pPr>
      <w:r>
        <w:rPr>
          <w:rFonts w:cs="Calibri" w:cstheme="minorHAnsi"/>
        </w:rPr>
        <w:t xml:space="preserve">Brak jest podstaw do wykluczenia z postępowania na podstawie: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1440" w:hanging="357"/>
        <w:rPr>
          <w:rFonts w:cs="Calibri" w:cstheme="minorHAnsi"/>
        </w:rPr>
      </w:pPr>
      <w:r>
        <w:rPr>
          <w:rFonts w:cs="Calibri" w:cstheme="minorHAnsi"/>
        </w:rPr>
        <w:t xml:space="preserve">art. 108 ustawy Prawo zamówień publicznych.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left="1440" w:hanging="357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cstheme="minorHAnsi"/>
        </w:rPr>
        <w:t>art. 7 ustawy z dnia 13 kwietnia 2022 r. o szczególnych rozwiązaniach w zakresie przeciwdziałania wspieraniu agresji na Ukrainę oraz służących ochronie bezpieczeństwa</w:t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 w:cstheme="minorHAnsi"/>
        </w:rPr>
        <w:t>narodowego</w:t>
      </w:r>
      <w:r>
        <w:rPr>
          <w:rFonts w:cs="Calibri"/>
          <w:color w:val="00000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138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Oferent oświadczył, że przestrzega obowiązujących przepisów prawa dotyczących szeroko rozumianej ochrony środowiska, w szczególności w zakresie uzyskania niezbędnych zezwoleń, dokonania zgłoszeń i składania informacji oraz respektowania ograniczeń korzystania ze środowiska, wykorzystania potencjału gospodarki o obiegu zamkniętym </w:t>
        <w:br/>
        <w:t xml:space="preserve">w tym, w szczególności należytej gospodarki odpadami. Ponadto Wykonawca oświadcza, że postępuje zgodnie z zasadą zrównoważonego rozwoju i podejmuje działania ograniczające negatywny wpływ własnej działalności na środowisko naturalne.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Zamawiający dokona oceny spełnienia przez Oferentów warunków udziału w postępowaniu wg formuły „spełnia – nie spełnia” na podstawie niżej wymienionych oświadczeń i dokumentów: </w:t>
      </w:r>
    </w:p>
    <w:p>
      <w:pPr>
        <w:pStyle w:val="ListParagraph"/>
        <w:numPr>
          <w:ilvl w:val="0"/>
          <w:numId w:val="19"/>
        </w:numPr>
        <w:spacing w:lineRule="auto" w:line="240" w:before="0" w:after="178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Dokumenty, jakie ma dostarczyć Oferent w celu potwierdzenia spełnienia warunków udziału w postępowaniu: Oświadczenie Oferenta o spełnieniu warunków udziału w postępowaniu o treści </w:t>
      </w:r>
      <w:r>
        <w:rPr>
          <w:rFonts w:cs="Calibri"/>
          <w:b/>
          <w:bCs/>
          <w:color w:val="000000"/>
        </w:rPr>
        <w:t xml:space="preserve">Załącznika nr 1 </w:t>
      </w:r>
      <w:r>
        <w:rPr>
          <w:rFonts w:cs="Calibri"/>
          <w:color w:val="000000"/>
        </w:rPr>
        <w:t xml:space="preserve">do niniejszego zapytania. </w:t>
      </w:r>
    </w:p>
    <w:p>
      <w:pPr>
        <w:pStyle w:val="ListParagraph"/>
        <w:numPr>
          <w:ilvl w:val="0"/>
          <w:numId w:val="19"/>
        </w:numPr>
        <w:spacing w:lineRule="auto" w:line="240" w:before="0" w:after="138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Dokumenty, jakie ma dostarczyć Oferent w celu wykazania braku podstaw do wykluczenia z postępowania: </w:t>
      </w:r>
    </w:p>
    <w:p>
      <w:pPr>
        <w:pStyle w:val="ListParagraph"/>
        <w:numPr>
          <w:ilvl w:val="0"/>
          <w:numId w:val="10"/>
        </w:numPr>
        <w:spacing w:lineRule="auto" w:line="240" w:before="0" w:after="138"/>
        <w:ind w:left="1418" w:hanging="425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Wypełniony formularz oferty– </w:t>
      </w:r>
      <w:r>
        <w:rPr>
          <w:rFonts w:cs="Calibri"/>
          <w:b/>
          <w:bCs/>
          <w:color w:val="000000"/>
        </w:rPr>
        <w:t xml:space="preserve">Załącznik nr 1 </w:t>
      </w:r>
      <w:r>
        <w:rPr>
          <w:rFonts w:cs="Calibri"/>
          <w:color w:val="000000"/>
        </w:rPr>
        <w:t xml:space="preserve">do niniejszego zapytania, </w:t>
      </w:r>
    </w:p>
    <w:p>
      <w:pPr>
        <w:pStyle w:val="ListParagraph"/>
        <w:numPr>
          <w:ilvl w:val="0"/>
          <w:numId w:val="10"/>
        </w:numPr>
        <w:spacing w:lineRule="auto" w:line="240" w:before="0" w:after="138"/>
        <w:ind w:left="1418" w:hanging="425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Oświadczenie o braku podstaw do wykluczenia Oferenta na podstawie art. 108 ustawy Prawo zamówień publicznych, o treści </w:t>
      </w:r>
      <w:r>
        <w:rPr>
          <w:rFonts w:cs="Calibri"/>
          <w:b/>
          <w:bCs/>
          <w:color w:val="000000"/>
        </w:rPr>
        <w:t xml:space="preserve">Załącznika nr 1 </w:t>
      </w:r>
      <w:r>
        <w:rPr>
          <w:rFonts w:cs="Calibri"/>
          <w:color w:val="000000"/>
        </w:rPr>
        <w:t xml:space="preserve">do niniejszego zapytania, </w:t>
      </w:r>
    </w:p>
    <w:p>
      <w:pPr>
        <w:pStyle w:val="ListParagraph"/>
        <w:numPr>
          <w:ilvl w:val="0"/>
          <w:numId w:val="10"/>
        </w:numPr>
        <w:spacing w:lineRule="auto" w:line="240" w:before="0" w:after="138"/>
        <w:ind w:left="1418" w:hanging="425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Pełnomocnictwo do podpisania oferty. Pełnomocnictwo należy załączyć do oferty tylko wówczas, gdy oferta jest podpisana przez osobę nie figurującą w rejestrze lub wpisie do ewidencji działalności gospodarczej. Brak podpisu na ofercie lub podpisanie oferty przez osobę do tego nieupoważnioną spowoduje odrzucenie oferty. </w:t>
      </w:r>
    </w:p>
    <w:p>
      <w:pPr>
        <w:pStyle w:val="ListParagraph"/>
        <w:numPr>
          <w:ilvl w:val="0"/>
          <w:numId w:val="19"/>
        </w:numPr>
        <w:spacing w:lineRule="auto" w:line="240" w:before="0" w:after="138"/>
        <w:contextualSpacing/>
        <w:rPr>
          <w:rFonts w:ascii="Calibri" w:hAnsi="Calibri" w:cs="Calibri"/>
          <w:color w:val="000000"/>
        </w:rPr>
      </w:pPr>
      <w:r>
        <w:rPr/>
        <w:t>Wykonawca do oferty zobowiązany jest dołączyć specyfikację techniczną oferowanego sprzętu.</w:t>
      </w:r>
      <w:bookmarkStart w:id="2" w:name="_Hlk167193902"/>
      <w:bookmarkEnd w:id="2"/>
    </w:p>
    <w:p>
      <w:pPr>
        <w:pStyle w:val="Normal"/>
        <w:spacing w:lineRule="auto" w:line="240" w:before="0" w:after="138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Harmonogram realizacji zamówienia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1. Podpisanie umowy z wybranym Oferentem niezwłocznie po rozstrzygnięciu postępowania.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2. Termin realizacji przedmiotu zamówienia-do 9</w:t>
      </w:r>
      <w:r>
        <w:rPr>
          <w:rFonts w:cs="Calibri" w:cstheme="minorHAnsi"/>
          <w:shd w:fill="auto" w:val="clear"/>
        </w:rPr>
        <w:t>0 dni od dnia zawarcia umowy.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3. Terminy płatności: płatności po wykonaniu całości zamówienia na podstawie wystawionej faktury, z terminem płatności 30 dni od dnia wpływu faktury.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Kryteria oceny ofert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Kryteria formalne: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Spełnienie warunków udziału w postępowaniu o których mowa w pkt. II.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Oferty spełniające wymagania niniejszego Zapytania ofertowego zostaną ocenione przez Zamawiającego zgodnie z przyjętymi kryteriami oceny.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W przypadku gdy żadna ze złożonych ofert nie spełni oczekiwań Zamawiającego, wybór ofert może zostać unieważniony bez podania przyczyny.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 przypadku gdy cena ofert przekroczy wartość środków zabezpieczonych na ten cel w budżecie projektu, wybór ofert / postępowanie może zostać unieważnione lub mogą zostać przeprowadzone dodatkowe negocjacje cenowe.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 przypadku, gdy dla Zamawiającego oferta nie będzie w pełni jasna może on się zwrócić do wykonawcy o dodatkowe wyjaśnienia lub doprecyzowanie oferty.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b/>
          <w:bCs/>
        </w:rPr>
      </w:pPr>
      <w:r>
        <w:rPr>
          <w:rFonts w:cs="Calibri" w:cstheme="minorHAnsi"/>
          <w:b/>
          <w:bCs/>
        </w:rPr>
        <w:t>Informacja o wagach punktowych lub procentowych przypisanych do kryteriów oceny oferty oraz opis sposobu przyznawania punktacji za spełnienie danego kryterium oceny oferty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Kryteria wyboru oferty: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Cena (łączna cena netto kompleksowej realizacji zamówienia) - 50%;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kryterium to wyliczane będzie zgodnie z zależnością:</w:t>
      </w:r>
    </w:p>
    <w:p>
      <w:pPr>
        <w:pStyle w:val="Normal"/>
        <w:spacing w:before="0" w:after="0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C = (C min / C of) * 50%*100, gdzie: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C - ilość punktów za łączną cenę netto badanej oferty;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C min - cena z oferty z najniższą ceną;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C of - cena z oferty ocenianej.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Okres gwarancji w miesiącach - 20%;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kryterium to wyliczane będzie zgodnie z zależnością:</w:t>
      </w:r>
    </w:p>
    <w:p>
      <w:pPr>
        <w:pStyle w:val="Normal"/>
        <w:spacing w:before="0" w:after="0"/>
        <w:rPr>
          <w:rFonts w:cs="Calibri" w:cstheme="minorHAnsi"/>
          <w:lang w:val="en-US"/>
        </w:rPr>
      </w:pPr>
      <w:r>
        <w:rPr>
          <w:rFonts w:cs="Calibri" w:cstheme="minorHAnsi"/>
          <w:lang w:val="en-US"/>
        </w:rPr>
        <w:t>G = (G of / G max) * 20%*100, gdzie: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G - ilość punktów za gwarancję badanej oferty;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G max - najdłuższy okres udzielonej gwarancji;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G of - okres gwarancji z oferty ocenianej.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Okres gwarancji powinien być określony w miesiącach licząc od daty podpisania protokołu odbioru bez uwag. Wymagany okres gwarancji nie może być krótszy niż 12 miesiące, stąd punktacja przyznawana jest w przypadku zaoferowania gwarancji powyżej 12 miesięcy.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Energooszczędność- 30%;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E=(E min/Eof) * 30%*100, gdzie: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E – ilość punktów, jakie otrzyma badana oferta za kryterium Energooszczędność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E min – najniższe zużycie energii na godzinę pracy maszyny spośród wszystkich badanych ofert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E of – średnie zużycie prądu na godzinę pracy maszyny z oferty badanej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Uwaga: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Dot. Część I - W kryterium Energooszczędność powinno zostać wskazane średnie zużycie prądu oferowanej maszyny na godzinę jej pracy. Zużycie powinno zostać określone w megadżulach (mJ). 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Ostateczna ilość punktów będzie liczona wg następującego wzoru: P= C+G+E, gdzie P to przyznana punktacja, C oznacza cenę, G gwarancję, E energooszczędność. Za najkorzystniejszą zostanie uznana oferta, która uzyska najwyższą końcową ilość punktów oraz spełni wszystkie warunki i wymagania określone w zapytaniu ofertowym.</w:t>
      </w:r>
    </w:p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cs="Calibri" w:cstheme="minorHAnsi"/>
        </w:rPr>
        <w:t>Jeśli dwie lub więcej ofert uzyska tą samą liczbę punktów to kryterium decydującym będzie cena przedmiotu zamówienia.</w:t>
      </w:r>
    </w:p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eastAsia="Times New Roman" w:cs="Calibri" w:cstheme="minorHAnsi"/>
          <w:bCs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</w:rPr>
      </w:pPr>
      <w:r>
        <w:rPr>
          <w:rFonts w:cs="Calibri" w:cstheme="minorHAnsi"/>
          <w:b/>
        </w:rPr>
        <w:t>Wymagania dotyczące składników ceny i gwarancji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>Cena powinna obejmować wszystkie koszty niezbędne do zrealizowania zamówienia, w tym wszelkie upusty, rabaty, winny być od razu ujęte w cenie, tak by podana cena za realizację przedmiotu zamówienia była ceną ostateczną, bez konieczności dokonywania przez Zamawiającego przeliczeń i innych działań w celu jej określenia.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 xml:space="preserve">Termin gwarancji upływa po wskazanym okresie gwarancji liczonej od dnia podpisania protokołu odbioru końcowego przez Zamawiającego.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>Udzielona gwarancja jakości na wykonane prace przez Wykonawcę ulegać będzie przedłużeniu o okres usuwania wad tj. od pisemnego zgłoszenia wady do jej usunięcia potwierdzonej protokolarnie.</w:t>
      </w:r>
    </w:p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eastAsia="Times New Roman" w:cs="Calibri" w:cstheme="minorHAnsi"/>
          <w:bCs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eastAsia="Times New Roman" w:cs="Calibri" w:cstheme="minorHAnsi"/>
          <w:b/>
          <w:bCs/>
        </w:rPr>
      </w:pPr>
      <w:r>
        <w:rPr>
          <w:rFonts w:cs="Calibri" w:cstheme="minorHAnsi"/>
          <w:b/>
          <w:bCs/>
        </w:rPr>
        <w:t>Termin składania ofert i wymagania formalne oferty</w:t>
      </w:r>
    </w:p>
    <w:p>
      <w:pPr>
        <w:pStyle w:val="Normal"/>
        <w:spacing w:before="0" w:after="0"/>
        <w:rPr>
          <w:rFonts w:eastAsia="Times New Roman" w:cs="Calibri" w:cstheme="minorHAnsi"/>
          <w:bCs/>
        </w:rPr>
      </w:pPr>
      <w:r>
        <w:rPr>
          <w:rFonts w:cs="Calibri" w:cstheme="minorHAnsi"/>
        </w:rPr>
        <w:t xml:space="preserve">Oferta powinna być sformułowana w języku polskim, przygotowana w sposób jak najbardziej zrozumiały, czytelny i kompletny oraz jednoznacznie odnosić się do przedmiotu Zapytania ofertowego. Oferta przygotowana w oparciu o niniejsze Zapytanie ofertowe – podpisana przez uprawnioną osobę, powinna być dostarczony za pomocą platformy https://bazakonkurencyjnosci.funduszeeuropejskie.gov.pl/ do dnia </w:t>
      </w:r>
      <w:r>
        <w:rPr>
          <w:rFonts w:cs="Calibri" w:cstheme="minorHAnsi"/>
        </w:rPr>
        <w:t>20.09.</w:t>
      </w:r>
      <w:r>
        <w:rPr>
          <w:rFonts w:cs="Calibri" w:cstheme="minorHAnsi"/>
          <w:shd w:fill="auto" w:val="clear"/>
        </w:rPr>
        <w:t>2024</w:t>
      </w:r>
      <w:r>
        <w:rPr>
          <w:rFonts w:cs="Calibri" w:cstheme="minorHAnsi"/>
        </w:rPr>
        <w:t>.</w:t>
      </w:r>
    </w:p>
    <w:p>
      <w:pPr>
        <w:pStyle w:val="ListParagraph"/>
        <w:spacing w:before="0" w:after="0"/>
        <w:ind w:left="1080" w:hanging="0"/>
        <w:contextualSpacing/>
        <w:rPr>
          <w:rFonts w:eastAsia="Times New Roman" w:cs="Calibri" w:cstheme="minorHAnsi"/>
          <w:bCs/>
        </w:rPr>
      </w:pPr>
      <w:r>
        <w:rPr>
          <w:rFonts w:eastAsia="Times New Roman" w:cs="Calibri" w:cstheme="minorHAnsi"/>
          <w:bCs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Warunki istotnych zmian umowy zawartej w wyniku przeprowadzonego postępowania o udzielenie zamówienia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Wszelkie zmiany i uzupełnienia do umowy między Zamawiającym i Wykonawcą mogą być dokonane za zgodą obu stron wyrażoną na piśmie pod rygorem nieważności.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przewiduje możliwość zmiany umowy, w przypadku, gdy nastąpi zmiana powszechnie obowiązujących przepisów prawa w zakresie mającym wpływ na realizację przedmiotu umowy.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przewiduje możliwość zmiany umowy, w przypadku zaistnienia okoliczności spowodowanych czynnikami zewnętrznymi, nieprzewidywalnymi na etapie postępowania</w:t>
        <w:br/>
        <w:t>i niezależnymi od którejkolwiek ze stron.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Zamawiający przewiduje możliwość zmiany harmonogramu lub terminu realizacji umowy, które wynikać będą z postanowień umowy Zamawiającego z Instytucją Finansującą, jeśli umowa ta została zawarta lub zmieniona aneksem po udzieleniu zamówienia. Zamawiający dopuszcza także zmianę terminu realizacji umowy, która będzie wynikała z porozumienia zawartego pomiędzy Wykonawcą a Zamawiającym. Zmiana terminu realizacji zamówienia, </w:t>
        <w:br/>
        <w:t>o której mowa powyżej może być spowodowana w szczególności: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warunkami atmosferycznymi uniemożliwiającymi lub utrudniającymi terminową realizację zamówienia,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opóźnieniami w uzyskaniu decyzji administracyjnych czy potrzebnych do realizacji zamówienia zgód, pozwoleń wydanych przez podmioty trzecie,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ascii="Calibri" w:hAnsi="Calibri" w:cs="Calibri"/>
        </w:rPr>
      </w:pPr>
      <w:r>
        <w:rPr>
          <w:rFonts w:cs="Calibri"/>
        </w:rPr>
        <w:t xml:space="preserve">gdy opóźnienie w realizacji umowy nastąpiło z przyczyn nieleżących po stronie Wykonawcy – w takim przypadku zmiana terminu realizacji nastąpi o okres niezawinionego opóźnienia w realizacji umowy, 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zmianami przepisów prawa mających wpływ na realizację zamówienia,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koniecznością wprowadzenia korekty dokumentów bądź wykonaniu innych czynności nie wynikających z winy Oferenta,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konieczność zmiany umowy spowodowana jest okolicznościami, których Zamawiający, działając z należytą starannością nie mógł przewidzieć, np. wojna, pandemia i inne zdarzenia losowe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zwłoką w przystąpieniu przez Zamawiającego do odbiorów - o okres zwłoki Zamawiającego;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przestojem w wyniku działania urzędów i służb miejskich, w tym wydania decyzji administracyjnych powodujących przestój, które nie mogły być przewidziane przez profesjonalnie działającego Wykonawcę - o czas przestoju.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może dokonać zmiany umówionego zakresu zamówienia w przypadku: koniecznych lub uzasadnionych zmian w dokumentacji postępowania powstałych z przyczyn niemożliwych do przewidzenia, konieczności lub techniczno-ekonomicznej zasadności zastosowania materiałów, podzespołów i urządzeń równoważnych, zamiany materiałów lub urządzeń pod warunkiem, że zmiany te będą korzystne dla Zamawiającego będą to przykładowo okoliczności: powodujące poprawienie parametrów technicznych; wynikające z aktualizacji rozwiązań z uwagi na postęp technologiczny, braku dostępności na rynku lub zmiany obowiązujących przepisów, konieczności wykonania rozwiązań równoważnych wynikających z uwarunkowań technologicznych lub użytkowych, ograniczenia finansowego po stronie</w:t>
      </w:r>
    </w:p>
    <w:p>
      <w:pPr>
        <w:pStyle w:val="ListParagraph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Zamawiającego z przyczyn od niego niezależnych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Wykonanie przez Wykonawcę robót dodatkowych i zamiennych wymaga Aneksu, określającego ich zakres i należne z tego tytułu wynagrodzenie, chyba że po rozszerzeniu Zakresu Umowy Strony ustalą, że mają zastosowanie zasady określone w Procedurach.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przewiduje możliwość zmiany terminu płatności w przypadku: ograniczenia finansowego po stronie Zamawiającego, z przyczyn od niego niezależnych m.in. w sytuacji odstąpienia jednostki przekazującej dofinansowanie od dofinansowania projektu lub opóźnienia w wypłacie.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przewiduje zmianę w postaci prac/kosztów dodatkowych - za prace/koszty dodatkowe mogą być uznane te, których na etapie składania ofert nie można było przewidzieć przy zachowaniu należytej staranności przez Oferenta/Wykonawcy.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Wykonanie przez Wykonawcę robót dodatkowych i zamiennych wymaga Aneksu, określającego ich zakres i należne z tego tytułu wynagrodzenie.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przewiduje możliwość zmian, które dotyczą realizacji dodatkowych dostaw, usług od dotychczasowego wykonawcy, nieobjętych zamówieniem podstawowym, o ile staną się niezbędne i zostaną spełnione łącznie następujące warunki:</w:t>
      </w:r>
    </w:p>
    <w:p>
      <w:pPr>
        <w:pStyle w:val="ListParagraph"/>
        <w:numPr>
          <w:ilvl w:val="1"/>
          <w:numId w:val="13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>
      <w:pPr>
        <w:pStyle w:val="ListParagraph"/>
        <w:numPr>
          <w:ilvl w:val="1"/>
          <w:numId w:val="13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>zmiana wykonawcy spowodowałaby istotną niedogodność lub znaczne zwiększenie kosztów dla zamawiającego,</w:t>
      </w:r>
    </w:p>
    <w:p>
      <w:pPr>
        <w:pStyle w:val="ListParagraph"/>
        <w:numPr>
          <w:ilvl w:val="1"/>
          <w:numId w:val="13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wartość zmian nie przekracza 50% wartości zamówienia określonej w pierwotnie </w:t>
        <w:br/>
        <w:t>w Umowie,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przewiduje możliwość dokonania zmiany w Umowie, o ile nie prowadzi ona do zmiany ogólnego charakteru Umowy i zostały spełnione łącznie następujące warunki:</w:t>
      </w:r>
    </w:p>
    <w:p>
      <w:pPr>
        <w:pStyle w:val="ListParagraph"/>
        <w:numPr>
          <w:ilvl w:val="1"/>
          <w:numId w:val="14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>konieczność zmiany Umowy spowodowana jest okolicznościami, których zamawiający, działając z należytą starannością, nie mógł przewidzieć,</w:t>
      </w:r>
    </w:p>
    <w:p>
      <w:pPr>
        <w:pStyle w:val="ListParagraph"/>
        <w:numPr>
          <w:ilvl w:val="1"/>
          <w:numId w:val="14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wartość zmian nie przekracza 50% wartości zamówienia określonej pierwotnie </w:t>
        <w:br/>
        <w:t>w Umowie,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Zamawiający przewiduje zmianę wykonawcy, któremu zamawiający udzielił zamówienia </w:t>
        <w:br/>
        <w:t>w ten sposób, że ma go zastąpić nowy wykonawca:</w:t>
      </w:r>
    </w:p>
    <w:p>
      <w:pPr>
        <w:pStyle w:val="ListParagraph"/>
        <w:numPr>
          <w:ilvl w:val="1"/>
          <w:numId w:val="15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>
      <w:pPr>
        <w:pStyle w:val="ListParagraph"/>
        <w:numPr>
          <w:ilvl w:val="1"/>
          <w:numId w:val="15"/>
        </w:numPr>
        <w:spacing w:before="0" w:after="0"/>
        <w:ind w:left="1134" w:hanging="567"/>
        <w:contextualSpacing/>
        <w:rPr>
          <w:rFonts w:cs="Calibri" w:cstheme="minorHAnsi"/>
        </w:rPr>
      </w:pPr>
      <w:r>
        <w:rPr>
          <w:rFonts w:cs="Calibri" w:cstheme="minorHAnsi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Zamawiający przewiduje zmiany, które nie prowadzą do zmiany ogólnego charakteru umowy, a łączna wartość zmian jest mniejsza niż 5 382 000 EUR w przypadku robót budowlanych, </w:t>
        <w:br/>
        <w:t>a 140 000 EUR w przypadku dostaw i usług i jednocześnie jest mniejsza od 10% wartości zamówienia określonej pierwotnie w Umowie w przypadku zamówień na usługi lub dostawy albo, w przypadku zamówień na roboty.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Zamawiający dopuszcza zmiany, za obopólną zgodą, w harmonogramie budowy będącym załącznikiem do umowy o ile nie wpłyną one na ustalony termin zakończenia budowy.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Zamówienia uzupełniające i dodatkowe: 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Zamawiający może udzielić Wykonawcy wybranemu zgodnie z zasadą konkurencyjności, </w:t>
        <w:br/>
        <w:t xml:space="preserve">w okresie 3 lat od udzielenia zamówienia podstawowego, przewidzianych w zapytaniu ofertowym zamówień na roboty budowlane, polegających na powtórzeniu podobnych robót budowlanych. 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Zamawiający może udzielić Wykonawcy wybranemu zgodnie z zasadą konkurencyjności zamówienia na dodatkowe dostawy, polegających na częściowej wymianie dostarczonych produktów lub instalacji albo zwiększeniu bieżących dostaw lub rozbudowie istniejących instalacji, a zmiana wykonawcy prowadziłaby do nabycia materiałów o innych właściwościach technicznych, co powodowałoby niekompatybilność techniczną lub nieproporcjonalnie duże trudności techniczne w użytkowaniu i utrzymaniu tych produktów lub instalacji. Czas trwania umowy w sprawie zamówienia na dostawy dodatkowe nie może przekraczać 3 lat. </w:t>
      </w:r>
    </w:p>
    <w:p>
      <w:pPr>
        <w:pStyle w:val="Normal"/>
        <w:spacing w:lineRule="auto" w:line="240" w:before="0" w:after="0"/>
        <w:ind w:left="360" w:hanging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 </w:t>
      </w:r>
      <w:r>
        <w:rPr>
          <w:rFonts w:cs="Calibri"/>
          <w:b/>
          <w:bCs/>
          <w:color w:val="000000"/>
          <w:sz w:val="23"/>
          <w:szCs w:val="23"/>
        </w:rPr>
        <w:t xml:space="preserve">Dodatkowe informacje: </w:t>
      </w:r>
    </w:p>
    <w:p>
      <w:pPr>
        <w:pStyle w:val="ListParagraph"/>
        <w:numPr>
          <w:ilvl w:val="0"/>
          <w:numId w:val="17"/>
        </w:numPr>
        <w:spacing w:lineRule="auto" w:line="240" w:before="0" w:after="56"/>
        <w:ind w:left="709" w:hanging="425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Zamawiający zastrzega sobie prawo do zamknięcia postępowania bez dokonania wyboru którejkolwiek z ofert lub jego unieważnienia bez podawania przyczyny a roszczenia Oferentów z tego tytułu są wyłączone. </w:t>
      </w:r>
    </w:p>
    <w:p>
      <w:pPr>
        <w:pStyle w:val="Normal"/>
        <w:numPr>
          <w:ilvl w:val="0"/>
          <w:numId w:val="17"/>
        </w:numPr>
        <w:spacing w:lineRule="auto" w:line="240" w:before="0" w:after="56"/>
        <w:ind w:left="709" w:hanging="425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W przypadku Oferenta, którego oferta zawierać będzie rażąco niską cenę w stosunku do przedmiotu zamówienia, Zamawiający zastrzega sobie prawo do jego wezwania do złożenia stosownych wyjaśnień i przedstawienia sposobu wyliczenia ceny netto zamówienia. Zamawiający wezwie Oferentów, którzy we wskazanym terminie złożyli oferty, do złożenia wyjaśnień wyznaczając w tym celu odpowiedni termin oraz wskazując zakres wymaganych wyjaśnień. Cenę uznaje się za rażąco niską, jeżeli jest niższa o co najmniej 30% od szacowanej wartości zamówienia lub średniej arytmetycznej cen wszystkich złożonych ofert. Zamawiający odrzuci ofertę Oferenta, który nie złożył wyjaśnień lub jeżeli dokonana ocena wyjaśnień wraz z dostarczonymi dowodami potwierdza, że oferta zawiera rażąco niską cenę w stosunku do przedmiotu zamówienia. </w:t>
      </w:r>
    </w:p>
    <w:p>
      <w:pPr>
        <w:pStyle w:val="Normal"/>
        <w:numPr>
          <w:ilvl w:val="0"/>
          <w:numId w:val="17"/>
        </w:numPr>
        <w:spacing w:lineRule="auto" w:line="240" w:before="0" w:after="56"/>
        <w:ind w:left="709" w:hanging="425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 wynikach postępowania oferenci zostaną poinformowani niezwłocznie po zakończeniu oceny poprzez zamieszczenie takiej informacji w Bazie konkurencyjności. </w:t>
      </w:r>
    </w:p>
    <w:p>
      <w:pPr>
        <w:pStyle w:val="Normal"/>
        <w:numPr>
          <w:ilvl w:val="0"/>
          <w:numId w:val="17"/>
        </w:numPr>
        <w:spacing w:lineRule="auto" w:line="240" w:before="0" w:after="56"/>
        <w:ind w:left="709" w:hanging="425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Po wyborze najkorzystniejszej Oferty Zamawiający podpisze z wybranym Oferentem Umowę na wykonanie zamówienia będącego przedmiotem zamówienia. </w:t>
      </w:r>
    </w:p>
    <w:p>
      <w:pPr>
        <w:pStyle w:val="Normal"/>
        <w:numPr>
          <w:ilvl w:val="0"/>
          <w:numId w:val="17"/>
        </w:numPr>
        <w:spacing w:lineRule="auto" w:line="240" w:before="0" w:after="56"/>
        <w:ind w:left="709" w:hanging="425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Zamawiający może poprawić w ofercie oczywiste omyłki pisarskie, oczywiste omyłki rachunkowe, z uwzględnieniem konsekwencji rachunkowych dokonanych poprawek; inne omyłki polegające na niezgodności oferty z dokumentami zamówienia, niepowodujące istotnych zmian w treści oferty. Zamawiający wyznaczy wykonawcy termin 2 dni robocze na wyrażenie zgody na poprawienie w ofercie omyłki lub zakwestionowanie jej poprawienia. Brak odpowiedzi w wyznaczonym terminie uznaje się za wyrażenie zgody na poprawienie omyłki. 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left="709" w:hanging="425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Zamawiający może wezwać Oferenta do złożenia wyjaśnień dotyczących oświadczeń lub dokumentów potwierdzających spełnianie warunków udziału w postępowaniu lub spełniania przez oferowane roboty budowlane wymagań określonych w Zapytaniu ofertowym. </w:t>
      </w:r>
    </w:p>
    <w:p>
      <w:pPr>
        <w:pStyle w:val="Normal"/>
        <w:spacing w:before="0" w:after="0"/>
        <w:ind w:left="709" w:hanging="4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uppressAutoHyphens w:val="true"/>
        <w:spacing w:before="0" w:after="0"/>
        <w:contextualSpacing/>
        <w:rPr>
          <w:rFonts w:eastAsia="Arial Unicode MS" w:cs="Calibri" w:cstheme="minorHAnsi"/>
          <w:b/>
          <w:bCs/>
        </w:rPr>
      </w:pPr>
      <w:r>
        <w:rPr>
          <w:rFonts w:eastAsia="Arial Unicode MS" w:cs="Calibri" w:cstheme="minorHAnsi"/>
          <w:b/>
          <w:bCs/>
        </w:rPr>
        <w:t xml:space="preserve">Klauzula informacyjna z art. 13 RODO </w:t>
      </w:r>
    </w:p>
    <w:p>
      <w:pPr>
        <w:pStyle w:val="ListParagraph"/>
        <w:suppressAutoHyphens w:val="true"/>
        <w:spacing w:before="0" w:after="0"/>
        <w:ind w:left="1134" w:hanging="0"/>
        <w:contextualSpacing/>
        <w:rPr>
          <w:rFonts w:eastAsia="Arial Unicode MS" w:cs="Calibri" w:cstheme="minorHAnsi"/>
          <w:b/>
          <w:bCs/>
        </w:rPr>
      </w:pPr>
      <w:r>
        <w:rPr>
          <w:rFonts w:eastAsia="Arial Unicode MS" w:cs="Calibri" w:cstheme="minorHAnsi"/>
          <w:b/>
          <w:bCs/>
        </w:rPr>
      </w:r>
    </w:p>
    <w:p>
      <w:pPr>
        <w:pStyle w:val="ListParagraph"/>
        <w:spacing w:before="0" w:after="0"/>
        <w:ind w:left="363" w:hanging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Administratorem danych osobowych jest "SIMPLEX" Sp.  z o.o.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Dane osobowe przetwarzane będą na podstawie art. 6 ust. 1 lit. c RODO w celu związanym z postępowaniem o udzielenie niniejszego zamówienia prowadzonego </w:t>
        <w:br/>
        <w:t>w trybie zasady konkurencyjności.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Odbiorcami danych osobowych będą osoby lub podmioty, którym udostępniona zostanie dokumentacja niniejszego postępowania. 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Dane osobowe będą przechowywane przez okres postępowania o udzielenie zamówienia oraz po jego zakończeniu zgodnie z przepisami dotyczącymi archiwizacji i trwałości projektu. 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Przetwarzane dane osobowe mogą być pozyskiwane od wykonawców, których dane dotyczą lub innych podmiotów na których zasoby się powołują wykonawcy.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Przetwarzane dane osobowe obejmują w szczególności imię i nazwisko, adres e-mail, telefon oraz inne dane osobowe podane przez osobę składającą ofertę i inną korespondencję wpływającą do Zamawiającego w celu udziału w postępowaniu </w:t>
        <w:br/>
        <w:t xml:space="preserve">o udzielenie zamówienia. 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W odniesieniu do danych osobowych osób fizycznych decyzje nie będą podejmowane </w:t>
        <w:br/>
        <w:t>w sposób zautomatyzowany, stosowanie do art. 22 RODO.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Każda osoba, której dane osobowe zostaną wskazane w niniejszym postępowaniu lub toku realizacji umowy posiada: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na podstawie art. 15 RODO prawo dostępu do danych osobowych jej dotyczących;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na podstawie art. 16 RODO prawo do sprostowania jej danych osobowych (</w:t>
      </w:r>
      <w:r>
        <w:rPr>
          <w:rFonts w:cs="Calibri" w:cstheme="minorHAnsi"/>
          <w:i/>
          <w:iCs/>
        </w:rPr>
        <w:t>skorzystanie z prawa do sprostowania nie może skutkować zmianą wyniku postępowania o udzielenie zamówienia publicznego ani zmianą postanowień umowy oraz nie może naruszać integralności protokołu oraz jego załączników</w:t>
      </w:r>
      <w:r>
        <w:rPr>
          <w:rFonts w:cs="Calibri" w:cstheme="minorHAnsi"/>
        </w:rPr>
        <w:t>);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na podstawie art. 18 RODO prawo żądania od administratora ograniczenia przetwarzania danych osobowych z zastrzeżeniem przypadków, o których mowa </w:t>
        <w:br/>
        <w:t>w art. 18 ust. 2 RODO (</w:t>
      </w:r>
      <w:r>
        <w:rPr>
          <w:rFonts w:cs="Calibri" w:cstheme="minorHAnsi"/>
          <w:i/>
          <w:iCs/>
        </w:rPr>
        <w:t xml:space="preserve">prawo do ograniczenia przetwarzania nie ma zastosowania </w:t>
        <w:br/>
        <w:t xml:space="preserve">w odniesieniu do przechowywania, w celu zapewnienia korzystania ze środków ochrony prawnej lub w celu ochrony praw innej osoby fizycznej lub prawnej, lub </w:t>
        <w:br/>
        <w:t>z uwagi na ważne względy interesu publicznego Unii Europejskiej lub państwa członkowskiego</w:t>
      </w:r>
      <w:r>
        <w:rPr>
          <w:rFonts w:cs="Calibri" w:cstheme="minorHAnsi"/>
        </w:rPr>
        <w:t>);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Każdej osobie, której dane osobowe zostaną wskazane w niniejszym postępowaniu lub toku realizacji umowy nie przysługuje:</w:t>
      </w:r>
    </w:p>
    <w:p>
      <w:pPr>
        <w:pStyle w:val="ListParagraph"/>
        <w:numPr>
          <w:ilvl w:val="0"/>
          <w:numId w:val="7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7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prawo do przenoszenia danych osobowych, o którym mowa w art. 20 RODO;</w:t>
      </w:r>
    </w:p>
    <w:p>
      <w:pPr>
        <w:pStyle w:val="ListParagraph"/>
        <w:numPr>
          <w:ilvl w:val="0"/>
          <w:numId w:val="7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na podstawie art. 21 RODO prawo sprzeciwu, wobec przetwarzania danych osobowych, gdyż podstawą prawną przetwarzania jej danych osobowych jest art. 6 ust. 1 lit. c RODO.</w:t>
      </w:r>
    </w:p>
    <w:p>
      <w:pPr>
        <w:pStyle w:val="ListParagraph"/>
        <w:numPr>
          <w:ilvl w:val="0"/>
          <w:numId w:val="8"/>
        </w:numPr>
        <w:suppressAutoHyphens w:val="true"/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>
      <w:pPr>
        <w:pStyle w:val="Normal"/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uppressAutoHyphens w:val="true"/>
        <w:spacing w:before="0" w:after="0"/>
        <w:rPr>
          <w:rFonts w:cs="Calibri" w:cstheme="minorHAnsi"/>
        </w:rPr>
      </w:pPr>
      <w:r>
        <w:rPr>
          <w:rFonts w:cs="Calibri" w:cstheme="minorHAnsi"/>
        </w:rPr>
        <w:t>Załączniki: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360" w:hanging="36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Załącznik nr 1 – Formularz ofert </w:t>
      </w:r>
    </w:p>
    <w:p>
      <w:pPr>
        <w:pStyle w:val="Normal"/>
        <w:suppressAutoHyphens w:val="true"/>
        <w:spacing w:before="0" w:after="0"/>
        <w:rPr>
          <w:rFonts w:cs="Calibri" w:cstheme="minorHAnsi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5005" cy="420370"/>
          <wp:effectExtent l="0" t="0" r="0" b="0"/>
          <wp:docPr id="1" name="Obraz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9"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4d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c647f"/>
    <w:rPr/>
  </w:style>
  <w:style w:type="character" w:styleId="StopkaZnak" w:customStyle="1">
    <w:name w:val="Stopka Znak"/>
    <w:basedOn w:val="DefaultParagraphFont"/>
    <w:uiPriority w:val="99"/>
    <w:qFormat/>
    <w:rsid w:val="006c647f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c647f"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uiPriority w:val="99"/>
    <w:unhideWhenUsed/>
    <w:rsid w:val="00795e90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95e90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414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424144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424144"/>
    <w:rPr>
      <w:b/>
      <w:bCs/>
      <w:sz w:val="20"/>
      <w:szCs w:val="20"/>
    </w:rPr>
  </w:style>
  <w:style w:type="character" w:styleId="AkapitzlistZnak" w:customStyle="1">
    <w:name w:val="Akapit z listą Znak"/>
    <w:uiPriority w:val="34"/>
    <w:qFormat/>
    <w:locked/>
    <w:rsid w:val="004f44d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c64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c64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64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3168e5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2414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24144"/>
    <w:pPr/>
    <w:rPr>
      <w:b/>
      <w:bCs/>
    </w:rPr>
  </w:style>
  <w:style w:type="paragraph" w:styleId="Default" w:customStyle="1">
    <w:name w:val="Default"/>
    <w:qFormat/>
    <w:rsid w:val="00e6236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Revision">
    <w:name w:val="Revision"/>
    <w:uiPriority w:val="99"/>
    <w:semiHidden/>
    <w:qFormat/>
    <w:rsid w:val="00aa74c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327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A22166-2F9F-484B-960E-3F5F54E9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LibreOffice/7.5.3.2$Windows_X86_64 LibreOffice_project/9f56dff12ba03b9acd7730a5a481eea045e468f3</Application>
  <AppVersion>15.0000</AppVersion>
  <DocSecurity>0</DocSecurity>
  <Pages>11</Pages>
  <Words>3698</Words>
  <Characters>24200</Characters>
  <CharactersWithSpaces>27645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2024-06-06T09:58:00Z</dcterms:created>
  <dc:creator>adriana.sikorska</dc:creator>
  <dc:description/>
  <dc:language>pl-PL</dc:language>
  <cp:lastModifiedBy/>
  <cp:lastPrinted>2024-05-21T09:27:00Z</cp:lastPrinted>
  <dcterms:modified xsi:type="dcterms:W3CDTF">2024-09-11T20:38:13Z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