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BA75E" w14:textId="77777777" w:rsidR="00200F62" w:rsidRDefault="00200F62">
      <w:pPr>
        <w:pStyle w:val="TreA"/>
        <w:rPr>
          <w:rFonts w:hint="eastAsia"/>
        </w:rPr>
      </w:pPr>
    </w:p>
    <w:p w14:paraId="2FB081AA" w14:textId="77777777" w:rsidR="00200F62" w:rsidRDefault="00200F62">
      <w:pPr>
        <w:pStyle w:val="TreA"/>
        <w:rPr>
          <w:rFonts w:hint="eastAsia"/>
          <w:b/>
          <w:bCs/>
        </w:rPr>
      </w:pPr>
    </w:p>
    <w:p w14:paraId="216B194C" w14:textId="77777777" w:rsidR="00200F62" w:rsidRDefault="00843888">
      <w:pPr>
        <w:pStyle w:val="TreA"/>
        <w:rPr>
          <w:rFonts w:hint="eastAsia"/>
          <w:b/>
          <w:bCs/>
          <w:sz w:val="28"/>
          <w:szCs w:val="28"/>
        </w:rPr>
      </w:pPr>
      <w:r>
        <w:rPr>
          <w:b/>
          <w:bCs/>
          <w:sz w:val="28"/>
          <w:szCs w:val="28"/>
        </w:rPr>
        <w:t>Opis og</w:t>
      </w:r>
      <w:r>
        <w:rPr>
          <w:b/>
          <w:bCs/>
          <w:sz w:val="28"/>
          <w:szCs w:val="28"/>
          <w:lang w:val="es-ES_tradnl"/>
        </w:rPr>
        <w:t>ó</w:t>
      </w:r>
      <w:r>
        <w:rPr>
          <w:b/>
          <w:bCs/>
          <w:sz w:val="28"/>
          <w:szCs w:val="28"/>
        </w:rPr>
        <w:t xml:space="preserve">lny </w:t>
      </w:r>
    </w:p>
    <w:p w14:paraId="339EE6ED" w14:textId="77777777" w:rsidR="00200F62" w:rsidRDefault="00200F62">
      <w:pPr>
        <w:pStyle w:val="TreA"/>
        <w:rPr>
          <w:rFonts w:hint="eastAsia"/>
        </w:rPr>
      </w:pPr>
    </w:p>
    <w:p w14:paraId="720DE6B0" w14:textId="77777777" w:rsidR="00200F62" w:rsidRDefault="00843888">
      <w:pPr>
        <w:pStyle w:val="TreA"/>
        <w:rPr>
          <w:rFonts w:hint="eastAsia"/>
        </w:rPr>
      </w:pPr>
      <w:r>
        <w:t xml:space="preserve">Instalacja fotowoltaiczna na terenie zakładu produkcyjnego Bioeko Osnowo o mocy 1799,77 kWp </w:t>
      </w:r>
    </w:p>
    <w:p w14:paraId="1A57F0EA" w14:textId="77777777" w:rsidR="00200F62" w:rsidRDefault="00843888">
      <w:pPr>
        <w:pStyle w:val="TreA"/>
        <w:rPr>
          <w:rFonts w:hint="eastAsia"/>
        </w:rPr>
      </w:pPr>
      <w:r>
        <w:t>skł</w:t>
      </w:r>
      <w:r>
        <w:rPr>
          <w:lang w:val="es-ES_tradnl"/>
        </w:rPr>
        <w:t>ada</w:t>
      </w:r>
      <w:r>
        <w:t xml:space="preserve">ć się będzie z 3673 paneli fotowoltaicznych o mocy 490 Wp każdy. </w:t>
      </w:r>
    </w:p>
    <w:p w14:paraId="3AC207F7" w14:textId="77777777" w:rsidR="00200F62" w:rsidRDefault="00200F62">
      <w:pPr>
        <w:pStyle w:val="TreA"/>
        <w:rPr>
          <w:rFonts w:hint="eastAsia"/>
        </w:rPr>
      </w:pPr>
    </w:p>
    <w:p w14:paraId="40B86918" w14:textId="435A0B16" w:rsidR="00200F62" w:rsidRDefault="00843888">
      <w:pPr>
        <w:pStyle w:val="TreA"/>
        <w:rPr>
          <w:rFonts w:hint="eastAsia"/>
        </w:rPr>
      </w:pPr>
      <w:r>
        <w:t>Instalacja będzie umieszczona na dachach 9 budynk</w:t>
      </w:r>
      <w:r>
        <w:rPr>
          <w:lang w:val="es-ES_tradnl"/>
        </w:rPr>
        <w:t>ó</w:t>
      </w:r>
      <w:r>
        <w:t>w (1396 paneli) na konstrukcjach dedykowanych aluminiowych elementami łącznymi ze stali A2 , 3 konstrukcjach specjalnych (821 paneli) wykonanych ze stali z powłoką antykorozyjną  oraz dw</w:t>
      </w:r>
      <w:r>
        <w:rPr>
          <w:lang w:val="es-ES_tradnl"/>
        </w:rPr>
        <w:t>ó</w:t>
      </w:r>
      <w:r>
        <w:t>ch instalacjach gruntowych na dedykowanych konstrukcjach ze stali nierdzewnej z powłoką  ZM310 (1456 paneli). W celu wykorzystania energii słonecznej panel</w:t>
      </w:r>
      <w:r w:rsidR="00D470A7">
        <w:t>i</w:t>
      </w:r>
      <w:r>
        <w:t xml:space="preserve"> każda z 14 instalacji wyposażona zostanie w  odpowiednie falowniki oraz sterowniki.</w:t>
      </w:r>
    </w:p>
    <w:p w14:paraId="7DA499CD" w14:textId="77777777" w:rsidR="00200F62" w:rsidRDefault="00843888">
      <w:pPr>
        <w:pStyle w:val="TreA"/>
        <w:rPr>
          <w:rFonts w:hint="eastAsia"/>
        </w:rPr>
      </w:pPr>
      <w:r>
        <w:t>Wszystkie instalacje przyłączone będą do sieci elektrycznej obiektu przez rozdzielnię nN zawierającą elementy telemechaniki wymaganej przez OSD</w:t>
      </w:r>
    </w:p>
    <w:p w14:paraId="2EAD56BE" w14:textId="77777777" w:rsidR="00200F62" w:rsidRDefault="00843888">
      <w:pPr>
        <w:pStyle w:val="TreA"/>
        <w:rPr>
          <w:rFonts w:hint="eastAsia"/>
        </w:rPr>
      </w:pPr>
      <w:r>
        <w:t>Wewnętrzną linia zasilająca wybudowana zostanie specjalnie i wyłącznie do cel</w:t>
      </w:r>
      <w:r>
        <w:rPr>
          <w:lang w:val="es-ES_tradnl"/>
        </w:rPr>
        <w:t>ó</w:t>
      </w:r>
      <w:r>
        <w:t xml:space="preserve">w przyłączenia tych instalacji. Część trasy kablowej (220 m) należy wykonać technologią bezwykopową. </w:t>
      </w:r>
    </w:p>
    <w:p w14:paraId="4AE587DF" w14:textId="77777777" w:rsidR="00200F62" w:rsidRDefault="00200F62">
      <w:pPr>
        <w:pStyle w:val="TreA"/>
        <w:rPr>
          <w:rFonts w:hint="eastAsia"/>
        </w:rPr>
      </w:pPr>
    </w:p>
    <w:p w14:paraId="629A4F79" w14:textId="1D11B516" w:rsidR="00200F62" w:rsidRDefault="00843888">
      <w:pPr>
        <w:pStyle w:val="TreA"/>
        <w:rPr>
          <w:rFonts w:hint="eastAsia"/>
        </w:rPr>
      </w:pPr>
      <w:r>
        <w:t>W celu zwiększenia auto konsumpcji instalacja fotowoltaiczna będzie współpracowała z magazynem energii o pojemności</w:t>
      </w:r>
      <w:r w:rsidR="00EF5268">
        <w:t xml:space="preserve"> min 193,5</w:t>
      </w:r>
      <w:r w:rsidR="002E16A4">
        <w:t>kWh</w:t>
      </w:r>
      <w:r>
        <w:t xml:space="preserve"> do 200 kWh. </w:t>
      </w:r>
    </w:p>
    <w:p w14:paraId="54E7D083" w14:textId="1CF7D5F5" w:rsidR="00200F62" w:rsidRPr="002170F1" w:rsidRDefault="002E16A4">
      <w:pPr>
        <w:pStyle w:val="TreA"/>
        <w:rPr>
          <w:rFonts w:hint="eastAsia"/>
          <w:color w:val="auto"/>
        </w:rPr>
      </w:pPr>
      <w:r w:rsidRPr="002170F1">
        <w:rPr>
          <w:color w:val="auto"/>
        </w:rPr>
        <w:t>Pod magazyn energii należy wykonać fundament w technologii wkręcanej (opis w punkcie  magazyn)</w:t>
      </w:r>
    </w:p>
    <w:p w14:paraId="25E5763B" w14:textId="77777777" w:rsidR="002E16A4" w:rsidRDefault="002E16A4">
      <w:pPr>
        <w:pStyle w:val="TreA"/>
        <w:rPr>
          <w:rFonts w:hint="eastAsia"/>
        </w:rPr>
      </w:pPr>
    </w:p>
    <w:p w14:paraId="5C371F95" w14:textId="58B14D1B" w:rsidR="00200F62" w:rsidRDefault="00843888">
      <w:pPr>
        <w:pStyle w:val="TreA"/>
        <w:rPr>
          <w:rFonts w:hint="eastAsia"/>
        </w:rPr>
      </w:pPr>
      <w:r>
        <w:t>Magazyn energii oraz falowniki muszą być zarządzalne przy użyciu urządzeń kt</w:t>
      </w:r>
      <w:r>
        <w:rPr>
          <w:lang w:val="es-ES_tradnl"/>
        </w:rPr>
        <w:t>ó</w:t>
      </w:r>
      <w:r>
        <w:t>re monitorują i zarządzają instalacjami</w:t>
      </w:r>
      <w:r w:rsidR="002E16A4">
        <w:t xml:space="preserve"> w jednym systemie informatycznym</w:t>
      </w:r>
      <w:r>
        <w:t>. Łączą wszystkie porty, konwertują protokoły, gromadzą i przechowują dane oraz centralnie monitorują i konserwują urządzenia w instalacjach PV.</w:t>
      </w:r>
      <w:r w:rsidR="002E16A4">
        <w:t xml:space="preserve"> </w:t>
      </w:r>
      <w:r>
        <w:t>Urządzenia te muszą  umożliwić koordynację pracy instalacji w celu zapewnienia maksymalnej auto konsumpcji oraz zabezpieczą produkcję w taki spos</w:t>
      </w:r>
      <w:r>
        <w:rPr>
          <w:lang w:val="es-ES_tradnl"/>
        </w:rPr>
        <w:t>ó</w:t>
      </w:r>
      <w:r>
        <w:t xml:space="preserve">b aby nie wprowadzać energii do sieci OSD. </w:t>
      </w:r>
    </w:p>
    <w:p w14:paraId="49C389D8" w14:textId="7C14B77D" w:rsidR="00200F62" w:rsidRDefault="00843888">
      <w:pPr>
        <w:pStyle w:val="TreA"/>
        <w:rPr>
          <w:rFonts w:hint="eastAsia"/>
        </w:rPr>
      </w:pPr>
      <w:r>
        <w:t>Możliwe ma być r</w:t>
      </w:r>
      <w:r>
        <w:rPr>
          <w:lang w:val="es-ES_tradnl"/>
        </w:rPr>
        <w:t>ó</w:t>
      </w:r>
      <w:r>
        <w:t xml:space="preserve">wnież sterowanie pracą magazynu w oparciu o taryfy dynamiczne (automatyczna regulacja ładowania i rozładowywania </w:t>
      </w:r>
      <w:r w:rsidR="00EF5268">
        <w:t xml:space="preserve"> </w:t>
      </w:r>
      <w:r>
        <w:t>magazynu w oparciu o aktualną cenę energii z dokładnością do 15 minut).</w:t>
      </w:r>
    </w:p>
    <w:p w14:paraId="6D8C00D4" w14:textId="77777777" w:rsidR="00200F62" w:rsidRDefault="00200F62">
      <w:pPr>
        <w:pStyle w:val="TreA"/>
        <w:rPr>
          <w:rFonts w:hint="eastAsia"/>
        </w:rPr>
      </w:pPr>
    </w:p>
    <w:p w14:paraId="5B2ED987" w14:textId="77777777" w:rsidR="00200F62" w:rsidRDefault="00200F62">
      <w:pPr>
        <w:pStyle w:val="TreA"/>
        <w:rPr>
          <w:rFonts w:hint="eastAsia"/>
          <w:b/>
          <w:bCs/>
          <w:sz w:val="28"/>
          <w:szCs w:val="28"/>
        </w:rPr>
      </w:pPr>
    </w:p>
    <w:p w14:paraId="2F5C03F5" w14:textId="77777777" w:rsidR="00200F62" w:rsidRDefault="00843888">
      <w:pPr>
        <w:pStyle w:val="TreA"/>
        <w:rPr>
          <w:rFonts w:hint="eastAsia"/>
          <w:b/>
          <w:bCs/>
          <w:sz w:val="28"/>
          <w:szCs w:val="28"/>
        </w:rPr>
      </w:pPr>
      <w:r>
        <w:rPr>
          <w:b/>
          <w:bCs/>
          <w:sz w:val="28"/>
          <w:szCs w:val="28"/>
        </w:rPr>
        <w:t>Parametry podstawowych komponent</w:t>
      </w:r>
      <w:r>
        <w:rPr>
          <w:b/>
          <w:bCs/>
          <w:sz w:val="28"/>
          <w:szCs w:val="28"/>
          <w:lang w:val="es-ES_tradnl"/>
        </w:rPr>
        <w:t>ó</w:t>
      </w:r>
      <w:r>
        <w:rPr>
          <w:b/>
          <w:bCs/>
          <w:sz w:val="28"/>
          <w:szCs w:val="28"/>
          <w:lang w:val="en-US"/>
        </w:rPr>
        <w:t>w :</w:t>
      </w:r>
    </w:p>
    <w:p w14:paraId="7810A7C4" w14:textId="77777777" w:rsidR="00200F62" w:rsidRDefault="00200F62">
      <w:pPr>
        <w:pStyle w:val="TreA"/>
        <w:rPr>
          <w:rFonts w:hint="eastAsia"/>
        </w:rPr>
      </w:pPr>
    </w:p>
    <w:p w14:paraId="3200FB45" w14:textId="77777777" w:rsidR="00200F62" w:rsidRDefault="00843888">
      <w:pPr>
        <w:pStyle w:val="TreA"/>
        <w:numPr>
          <w:ilvl w:val="0"/>
          <w:numId w:val="2"/>
        </w:numPr>
        <w:rPr>
          <w:rFonts w:hint="eastAsia"/>
        </w:rPr>
      </w:pPr>
      <w:r>
        <w:t>Panel fotowoltaiczny:</w:t>
      </w:r>
    </w:p>
    <w:p w14:paraId="6AB463A6" w14:textId="77777777" w:rsidR="00200F62" w:rsidRDefault="00200F62">
      <w:pPr>
        <w:pStyle w:val="TreA"/>
        <w:rPr>
          <w:rFonts w:hint="eastAsia"/>
        </w:rPr>
      </w:pPr>
    </w:p>
    <w:p w14:paraId="255FD27D" w14:textId="77777777" w:rsidR="00200F62" w:rsidRDefault="00843888">
      <w:pPr>
        <w:pStyle w:val="TreA"/>
        <w:numPr>
          <w:ilvl w:val="0"/>
          <w:numId w:val="4"/>
        </w:numPr>
        <w:rPr>
          <w:rFonts w:hint="eastAsia"/>
        </w:rPr>
      </w:pPr>
      <w:r>
        <w:t>długość ramy poniżej 2 metr</w:t>
      </w:r>
      <w:r>
        <w:rPr>
          <w:lang w:val="es-ES_tradnl"/>
        </w:rPr>
        <w:t>ó</w:t>
      </w:r>
      <w:r>
        <w:t xml:space="preserve">w </w:t>
      </w:r>
    </w:p>
    <w:p w14:paraId="681AD090" w14:textId="77777777" w:rsidR="00200F62" w:rsidRDefault="00843888">
      <w:pPr>
        <w:pStyle w:val="TreA"/>
        <w:numPr>
          <w:ilvl w:val="0"/>
          <w:numId w:val="4"/>
        </w:numPr>
        <w:rPr>
          <w:rFonts w:hint="eastAsia"/>
        </w:rPr>
      </w:pPr>
      <w:r>
        <w:t>waga poniżej 24 kg</w:t>
      </w:r>
    </w:p>
    <w:p w14:paraId="67C00545"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zastosowanie technologii typu N i-TOPCon</w:t>
      </w:r>
    </w:p>
    <w:p w14:paraId="4C97038E"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panel typu szkło/szkło</w:t>
      </w:r>
    </w:p>
    <w:p w14:paraId="5870301B"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klasa ogniowa (A+C)</w:t>
      </w:r>
    </w:p>
    <w:p w14:paraId="62F26D9F"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niskonapięciowa konstrukcja pozwalająca na zainstalowanie wysokiej mocy łań</w:t>
      </w:r>
      <w:r>
        <w:rPr>
          <w:color w:val="333333"/>
          <w:sz w:val="22"/>
          <w:szCs w:val="22"/>
          <w:u w:color="333333"/>
          <w:lang w:val="es-ES_tradnl"/>
        </w:rPr>
        <w:t>cucha</w:t>
      </w:r>
    </w:p>
    <w:p w14:paraId="09646999" w14:textId="77777777" w:rsidR="00200F62" w:rsidRDefault="00843888">
      <w:pPr>
        <w:pStyle w:val="Domylne"/>
        <w:spacing w:before="0" w:line="240" w:lineRule="auto"/>
        <w:jc w:val="both"/>
        <w:rPr>
          <w:rFonts w:hint="eastAsia"/>
          <w:color w:val="333333"/>
          <w:sz w:val="22"/>
          <w:szCs w:val="22"/>
          <w:u w:color="333333"/>
        </w:rPr>
      </w:pPr>
      <w:r>
        <w:rPr>
          <w:color w:val="333333"/>
          <w:sz w:val="22"/>
          <w:szCs w:val="22"/>
          <w:u w:color="333333"/>
        </w:rPr>
        <w:t>-  do 5400 Pa obciążenia śniegiem i 2400 Pa obciążenia wiatrem (obciążenia testowe)</w:t>
      </w:r>
    </w:p>
    <w:p w14:paraId="6C33B738"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do 25 lat gwarancji produktowej oraz 30 lat gwarancji utrzymania mocy</w:t>
      </w:r>
    </w:p>
    <w:p w14:paraId="1708D8BB"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maksymalnie 1% degradacji w pierwszym roku i 0,4% degradacji rocznej</w:t>
      </w:r>
    </w:p>
    <w:p w14:paraId="496F3B4D"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współczynnik temperaturowy Pmax(–0,29%/</w:t>
      </w:r>
      <w:r>
        <w:rPr>
          <w:color w:val="333333"/>
          <w:sz w:val="22"/>
          <w:szCs w:val="22"/>
          <w:u w:color="333333"/>
          <w:lang w:val="it-IT"/>
        </w:rPr>
        <w:t>°</w:t>
      </w:r>
      <w:r>
        <w:rPr>
          <w:color w:val="333333"/>
          <w:sz w:val="22"/>
          <w:szCs w:val="22"/>
          <w:u w:color="333333"/>
          <w:lang w:val="pt-PT"/>
        </w:rPr>
        <w:t>C)</w:t>
      </w:r>
    </w:p>
    <w:p w14:paraId="4B42C9BF"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 xml:space="preserve">sprawność modułu nie mniej niż </w:t>
      </w:r>
      <w:r>
        <w:rPr>
          <w:color w:val="333333"/>
          <w:sz w:val="22"/>
          <w:szCs w:val="22"/>
          <w:u w:color="333333"/>
          <w:lang w:val="pt-PT"/>
        </w:rPr>
        <w:t>22% (STC)</w:t>
      </w:r>
    </w:p>
    <w:p w14:paraId="5C4276E2"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moc 490 W (STC)</w:t>
      </w:r>
    </w:p>
    <w:p w14:paraId="7CD7956A"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 xml:space="preserve">maksymalne napięcie robocze nie więcej niż </w:t>
      </w:r>
      <w:r>
        <w:rPr>
          <w:color w:val="333333"/>
          <w:sz w:val="22"/>
          <w:szCs w:val="22"/>
          <w:u w:color="333333"/>
          <w:lang w:val="pt-PT"/>
        </w:rPr>
        <w:t>32,9 V (STC)</w:t>
      </w:r>
    </w:p>
    <w:p w14:paraId="758BF120"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 xml:space="preserve">tolerancja mocy 0/+5 W </w:t>
      </w:r>
    </w:p>
    <w:p w14:paraId="14AE4EF1"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 xml:space="preserve">napięcie obwodu otwartego nie więcej niż </w:t>
      </w:r>
      <w:r>
        <w:rPr>
          <w:color w:val="333333"/>
          <w:sz w:val="22"/>
          <w:szCs w:val="22"/>
          <w:u w:color="333333"/>
          <w:lang w:val="pt-PT"/>
        </w:rPr>
        <w:t>39,6 V (STC)</w:t>
      </w:r>
    </w:p>
    <w:p w14:paraId="7E171FD4"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 xml:space="preserve">prąd zwarciowy nie więcej niż </w:t>
      </w:r>
      <w:r>
        <w:rPr>
          <w:color w:val="333333"/>
          <w:sz w:val="22"/>
          <w:szCs w:val="22"/>
          <w:u w:color="333333"/>
          <w:lang w:val="pt-PT"/>
        </w:rPr>
        <w:t>15,83 A (STC)</w:t>
      </w:r>
    </w:p>
    <w:p w14:paraId="582D15A1"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lastRenderedPageBreak/>
        <w:t>liczba ogniw nie mniej niż 108</w:t>
      </w:r>
    </w:p>
    <w:p w14:paraId="54A3A704"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tylna szyba o wysokiej przepuszczalności</w:t>
      </w:r>
    </w:p>
    <w:p w14:paraId="254B2304" w14:textId="77777777" w:rsidR="00200F62" w:rsidRDefault="00843888">
      <w:pPr>
        <w:pStyle w:val="Domylne"/>
        <w:numPr>
          <w:ilvl w:val="0"/>
          <w:numId w:val="4"/>
        </w:numPr>
        <w:spacing w:before="0" w:line="240" w:lineRule="auto"/>
        <w:jc w:val="both"/>
        <w:rPr>
          <w:rFonts w:hint="eastAsia"/>
          <w:color w:val="333333"/>
          <w:sz w:val="22"/>
          <w:szCs w:val="22"/>
        </w:rPr>
      </w:pPr>
      <w:r>
        <w:rPr>
          <w:color w:val="333333"/>
          <w:sz w:val="22"/>
          <w:szCs w:val="22"/>
          <w:u w:color="333333"/>
        </w:rPr>
        <w:t>temperatura pracy -40 do +85 ºC</w:t>
      </w:r>
    </w:p>
    <w:p w14:paraId="4E8B0CC5" w14:textId="77777777" w:rsidR="00200F62" w:rsidRDefault="00200F62">
      <w:pPr>
        <w:pStyle w:val="Domylne"/>
        <w:spacing w:before="0" w:line="240" w:lineRule="auto"/>
        <w:jc w:val="both"/>
        <w:rPr>
          <w:rFonts w:hint="eastAsia"/>
          <w:color w:val="333333"/>
          <w:sz w:val="22"/>
          <w:szCs w:val="22"/>
          <w:u w:color="333333"/>
        </w:rPr>
      </w:pPr>
    </w:p>
    <w:p w14:paraId="4775C3DF" w14:textId="77777777" w:rsidR="00200F62" w:rsidRDefault="00843888">
      <w:pPr>
        <w:pStyle w:val="TreA"/>
        <w:rPr>
          <w:rFonts w:hint="eastAsia"/>
        </w:rPr>
      </w:pPr>
      <w:r>
        <w:t xml:space="preserve">2. Falowniki </w:t>
      </w:r>
    </w:p>
    <w:p w14:paraId="0BE827D8" w14:textId="77777777" w:rsidR="00200F62" w:rsidRDefault="00200F62">
      <w:pPr>
        <w:pStyle w:val="TreA"/>
        <w:rPr>
          <w:rFonts w:hint="eastAsia"/>
        </w:rPr>
      </w:pPr>
    </w:p>
    <w:p w14:paraId="644D372C" w14:textId="77777777" w:rsidR="00200F62" w:rsidRDefault="00843888">
      <w:pPr>
        <w:pStyle w:val="TreA"/>
        <w:numPr>
          <w:ilvl w:val="0"/>
          <w:numId w:val="4"/>
        </w:numPr>
        <w:rPr>
          <w:rFonts w:hint="eastAsia"/>
        </w:rPr>
      </w:pPr>
      <w:r>
        <w:t>moc od 15 kW do 115 kW</w:t>
      </w:r>
    </w:p>
    <w:p w14:paraId="014A8B8C" w14:textId="77777777" w:rsidR="00200F62" w:rsidRDefault="00843888">
      <w:pPr>
        <w:pStyle w:val="TreA"/>
        <w:numPr>
          <w:ilvl w:val="0"/>
          <w:numId w:val="4"/>
        </w:numPr>
        <w:rPr>
          <w:rFonts w:hint="eastAsia"/>
        </w:rPr>
      </w:pPr>
      <w:r>
        <w:t xml:space="preserve">aktywna ochrona przed wyładowaniami łukowymi </w:t>
      </w:r>
    </w:p>
    <w:p w14:paraId="23D8374D" w14:textId="77777777" w:rsidR="00200F62" w:rsidRDefault="00843888">
      <w:pPr>
        <w:pStyle w:val="TreA"/>
        <w:numPr>
          <w:ilvl w:val="0"/>
          <w:numId w:val="4"/>
        </w:numPr>
        <w:rPr>
          <w:rFonts w:hint="eastAsia"/>
        </w:rPr>
      </w:pPr>
      <w:r>
        <w:t>sprawność maksymalna nie mniej niż 98,4 %</w:t>
      </w:r>
    </w:p>
    <w:p w14:paraId="38CE5CB7" w14:textId="77777777" w:rsidR="00200F62" w:rsidRDefault="00843888">
      <w:pPr>
        <w:pStyle w:val="TreA"/>
        <w:numPr>
          <w:ilvl w:val="0"/>
          <w:numId w:val="4"/>
        </w:numPr>
        <w:rPr>
          <w:rFonts w:hint="eastAsia"/>
        </w:rPr>
      </w:pPr>
      <w:r>
        <w:t xml:space="preserve">napięcie znamionowe 400 Vac </w:t>
      </w:r>
    </w:p>
    <w:p w14:paraId="5FC7B25B" w14:textId="77777777" w:rsidR="00200F62" w:rsidRDefault="00843888">
      <w:pPr>
        <w:pStyle w:val="TreA"/>
        <w:numPr>
          <w:ilvl w:val="0"/>
          <w:numId w:val="4"/>
        </w:numPr>
        <w:rPr>
          <w:rFonts w:hint="eastAsia"/>
        </w:rPr>
      </w:pPr>
      <w:r>
        <w:t>ochronnik przeciwprzepięciowy DC typ II</w:t>
      </w:r>
    </w:p>
    <w:p w14:paraId="0B12355D" w14:textId="77777777" w:rsidR="00200F62" w:rsidRDefault="00843888">
      <w:pPr>
        <w:pStyle w:val="TreA"/>
        <w:numPr>
          <w:ilvl w:val="0"/>
          <w:numId w:val="4"/>
        </w:numPr>
        <w:rPr>
          <w:rFonts w:hint="eastAsia"/>
        </w:rPr>
      </w:pPr>
      <w:r>
        <w:t>ochronnik przeciwprzepięciowy AC typ II</w:t>
      </w:r>
    </w:p>
    <w:p w14:paraId="5495DE44" w14:textId="77777777" w:rsidR="00200F62" w:rsidRDefault="00843888">
      <w:pPr>
        <w:pStyle w:val="TreA"/>
        <w:numPr>
          <w:ilvl w:val="0"/>
          <w:numId w:val="4"/>
        </w:numPr>
        <w:rPr>
          <w:rFonts w:hint="eastAsia"/>
        </w:rPr>
      </w:pPr>
      <w:r>
        <w:t>jednostka monitorują</w:t>
      </w:r>
      <w:r>
        <w:rPr>
          <w:lang w:val="fr-FR"/>
        </w:rPr>
        <w:t>ce pr</w:t>
      </w:r>
      <w:r>
        <w:t>ą</w:t>
      </w:r>
      <w:r>
        <w:rPr>
          <w:lang w:val="en-US"/>
        </w:rPr>
        <w:t>d up</w:t>
      </w:r>
      <w:r>
        <w:t>ływu (RCMU)</w:t>
      </w:r>
    </w:p>
    <w:p w14:paraId="147CBA5C" w14:textId="77777777" w:rsidR="00200F62" w:rsidRDefault="00843888">
      <w:pPr>
        <w:pStyle w:val="TreA"/>
        <w:numPr>
          <w:ilvl w:val="0"/>
          <w:numId w:val="4"/>
        </w:numPr>
        <w:rPr>
          <w:rFonts w:hint="eastAsia"/>
        </w:rPr>
      </w:pPr>
      <w:r>
        <w:t>monitorowanie awarii łań</w:t>
      </w:r>
      <w:r>
        <w:rPr>
          <w:lang w:val="es-ES_tradnl"/>
        </w:rPr>
        <w:t>cucha PV</w:t>
      </w:r>
    </w:p>
    <w:p w14:paraId="1006253B" w14:textId="77777777" w:rsidR="00200F62" w:rsidRDefault="00843888">
      <w:pPr>
        <w:pStyle w:val="TreA"/>
        <w:numPr>
          <w:ilvl w:val="0"/>
          <w:numId w:val="4"/>
        </w:numPr>
        <w:rPr>
          <w:rFonts w:hint="eastAsia"/>
        </w:rPr>
      </w:pPr>
      <w:r>
        <w:t xml:space="preserve">Zintegrowana funkcja </w:t>
      </w:r>
    </w:p>
    <w:p w14:paraId="56CEF8B0" w14:textId="77777777" w:rsidR="00200F62" w:rsidRDefault="00843888">
      <w:pPr>
        <w:pStyle w:val="TreA"/>
        <w:numPr>
          <w:ilvl w:val="0"/>
          <w:numId w:val="4"/>
        </w:numPr>
        <w:rPr>
          <w:rFonts w:hint="eastAsia"/>
        </w:rPr>
      </w:pPr>
      <w:r>
        <w:t>Regulowany zakres wpółczynnika mocy 0,8 wyprzedzający … 0,8 opóźniony</w:t>
      </w:r>
    </w:p>
    <w:p w14:paraId="5D2750E0" w14:textId="77777777" w:rsidR="00200F62" w:rsidRDefault="00843888">
      <w:pPr>
        <w:pStyle w:val="TreA"/>
        <w:numPr>
          <w:ilvl w:val="0"/>
          <w:numId w:val="4"/>
        </w:numPr>
        <w:rPr>
          <w:rFonts w:hint="eastAsia"/>
        </w:rPr>
      </w:pPr>
      <w:r>
        <w:t>wejście DC maksymalne napięcie wejściowe 1100 V</w:t>
      </w:r>
    </w:p>
    <w:p w14:paraId="48569284" w14:textId="77777777" w:rsidR="00200F62" w:rsidRDefault="00843888">
      <w:pPr>
        <w:pStyle w:val="TreA"/>
        <w:numPr>
          <w:ilvl w:val="0"/>
          <w:numId w:val="4"/>
        </w:numPr>
        <w:rPr>
          <w:rFonts w:hint="eastAsia"/>
        </w:rPr>
      </w:pPr>
      <w:r>
        <w:t>maks. prąd zwarciowy na MPPT 40A</w:t>
      </w:r>
    </w:p>
    <w:p w14:paraId="3C3FB66F" w14:textId="77777777" w:rsidR="00200F62" w:rsidRDefault="00843888">
      <w:pPr>
        <w:pStyle w:val="TreA"/>
        <w:numPr>
          <w:ilvl w:val="0"/>
          <w:numId w:val="4"/>
        </w:numPr>
        <w:rPr>
          <w:rFonts w:hint="eastAsia"/>
        </w:rPr>
      </w:pPr>
      <w:r>
        <w:t>napięcie startowe 200V</w:t>
      </w:r>
    </w:p>
    <w:p w14:paraId="73468A0D" w14:textId="77777777" w:rsidR="00200F62" w:rsidRDefault="00843888">
      <w:pPr>
        <w:pStyle w:val="TreA"/>
        <w:numPr>
          <w:ilvl w:val="0"/>
          <w:numId w:val="4"/>
        </w:numPr>
        <w:rPr>
          <w:rFonts w:hint="eastAsia"/>
        </w:rPr>
      </w:pPr>
      <w:r>
        <w:t>magistrala monitorują</w:t>
      </w:r>
      <w:r>
        <w:rPr>
          <w:lang w:val="en-US"/>
        </w:rPr>
        <w:t>ca MBUS</w:t>
      </w:r>
    </w:p>
    <w:p w14:paraId="742B0ABB" w14:textId="77777777" w:rsidR="00200F62" w:rsidRDefault="00843888">
      <w:pPr>
        <w:pStyle w:val="TreA"/>
        <w:numPr>
          <w:ilvl w:val="0"/>
          <w:numId w:val="4"/>
        </w:numPr>
        <w:rPr>
          <w:rFonts w:hint="eastAsia"/>
        </w:rPr>
      </w:pPr>
      <w:r>
        <w:t>komunikacja RS485</w:t>
      </w:r>
    </w:p>
    <w:p w14:paraId="3247AB6F" w14:textId="77777777" w:rsidR="00200F62" w:rsidRDefault="00843888">
      <w:pPr>
        <w:pStyle w:val="TreA"/>
        <w:numPr>
          <w:ilvl w:val="0"/>
          <w:numId w:val="4"/>
        </w:numPr>
        <w:rPr>
          <w:rFonts w:hint="eastAsia"/>
        </w:rPr>
      </w:pPr>
      <w:r>
        <w:t xml:space="preserve">konstrukcja bez transformatorowa </w:t>
      </w:r>
    </w:p>
    <w:p w14:paraId="028892C6" w14:textId="77777777" w:rsidR="00200F62" w:rsidRDefault="00843888">
      <w:pPr>
        <w:pStyle w:val="TreA"/>
        <w:numPr>
          <w:ilvl w:val="0"/>
          <w:numId w:val="4"/>
        </w:numPr>
        <w:rPr>
          <w:rFonts w:hint="eastAsia"/>
        </w:rPr>
      </w:pPr>
      <w:r>
        <w:t>pob</w:t>
      </w:r>
      <w:r>
        <w:rPr>
          <w:lang w:val="es-ES_tradnl"/>
        </w:rPr>
        <w:t>ó</w:t>
      </w:r>
      <w:r>
        <w:t>r mocy w porze nocnej ≤</w:t>
      </w:r>
      <w:r w:rsidRPr="00552C74">
        <w:t>5,5W</w:t>
      </w:r>
    </w:p>
    <w:p w14:paraId="4C737A6A" w14:textId="77777777" w:rsidR="00200F62" w:rsidRDefault="00843888">
      <w:pPr>
        <w:pStyle w:val="TreA"/>
        <w:numPr>
          <w:ilvl w:val="0"/>
          <w:numId w:val="4"/>
        </w:numPr>
        <w:rPr>
          <w:rFonts w:hint="eastAsia"/>
        </w:rPr>
      </w:pPr>
      <w:r>
        <w:t xml:space="preserve">chłodzenie powietrzem </w:t>
      </w:r>
    </w:p>
    <w:p w14:paraId="052C0F1A" w14:textId="77777777" w:rsidR="00200F62" w:rsidRDefault="00200F62">
      <w:pPr>
        <w:pStyle w:val="TreA"/>
        <w:rPr>
          <w:rFonts w:hint="eastAsia"/>
          <w:color w:val="FF2600"/>
          <w:u w:color="FF2600"/>
        </w:rPr>
      </w:pPr>
    </w:p>
    <w:p w14:paraId="664199BA" w14:textId="77777777" w:rsidR="00200F62" w:rsidRDefault="00843888">
      <w:pPr>
        <w:pStyle w:val="TreA"/>
        <w:rPr>
          <w:rFonts w:hint="eastAsia"/>
        </w:rPr>
      </w:pPr>
      <w:r>
        <w:t xml:space="preserve">3.  Magazyn energii </w:t>
      </w:r>
    </w:p>
    <w:p w14:paraId="7DB36A6E" w14:textId="77777777" w:rsidR="00200F62" w:rsidRDefault="00200F62">
      <w:pPr>
        <w:pStyle w:val="TreA"/>
        <w:rPr>
          <w:rFonts w:hint="eastAsia"/>
        </w:rPr>
      </w:pPr>
    </w:p>
    <w:p w14:paraId="6706F372" w14:textId="77777777" w:rsidR="00200F62" w:rsidRDefault="00843888">
      <w:pPr>
        <w:pStyle w:val="TreA"/>
        <w:numPr>
          <w:ilvl w:val="0"/>
          <w:numId w:val="4"/>
        </w:numPr>
        <w:rPr>
          <w:rFonts w:hint="eastAsia"/>
        </w:rPr>
      </w:pPr>
      <w:r>
        <w:t xml:space="preserve">Konfiguracja magazynu energii </w:t>
      </w:r>
      <w:r>
        <w:rPr>
          <w:lang w:val="en-US"/>
        </w:rPr>
        <w:t>12S1P</w:t>
      </w:r>
    </w:p>
    <w:p w14:paraId="10B6556D" w14:textId="2FA8EB42"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sz w:val="22"/>
          <w:szCs w:val="22"/>
        </w:rPr>
      </w:pPr>
      <w:r>
        <w:rPr>
          <w:rFonts w:ascii="Helvetica" w:hAnsi="Helvetica"/>
          <w:sz w:val="22"/>
          <w:szCs w:val="22"/>
        </w:rPr>
        <w:t xml:space="preserve"> -  </w:t>
      </w:r>
      <w:r w:rsidR="00FA4C8B">
        <w:rPr>
          <w:rFonts w:ascii="Helvetica" w:hAnsi="Helvetica"/>
          <w:sz w:val="22"/>
          <w:szCs w:val="22"/>
        </w:rPr>
        <w:t xml:space="preserve">Minimalna </w:t>
      </w:r>
      <w:r>
        <w:rPr>
          <w:rFonts w:ascii="Helvetica" w:hAnsi="Helvetica"/>
          <w:sz w:val="22"/>
          <w:szCs w:val="22"/>
        </w:rPr>
        <w:t xml:space="preserve"> pojemność magazynu ESS </w:t>
      </w:r>
      <w:r>
        <w:rPr>
          <w:rFonts w:ascii="Helvetica" w:hAnsi="Helvetica"/>
          <w:sz w:val="22"/>
          <w:szCs w:val="22"/>
          <w:lang w:val="en-US"/>
        </w:rPr>
        <w:t>193,5 kWh</w:t>
      </w:r>
    </w:p>
    <w:p w14:paraId="3DF7F77C"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moc znamionowa 100 kW</w:t>
      </w:r>
    </w:p>
    <w:p w14:paraId="6CDE356C" w14:textId="77777777" w:rsidR="00200F62" w:rsidRDefault="00843888">
      <w:pPr>
        <w:pStyle w:val="Domylne"/>
        <w:numPr>
          <w:ilvl w:val="0"/>
          <w:numId w:val="5"/>
        </w:numPr>
        <w:spacing w:before="0" w:line="240" w:lineRule="auto"/>
        <w:rPr>
          <w:rFonts w:ascii="Helvetica" w:hAnsi="Helvetica"/>
          <w:sz w:val="22"/>
          <w:szCs w:val="22"/>
          <w:lang w:val="it-IT"/>
        </w:rPr>
      </w:pPr>
      <w:r>
        <w:rPr>
          <w:rFonts w:ascii="Helvetica" w:hAnsi="Helvetica"/>
          <w:sz w:val="22"/>
          <w:szCs w:val="22"/>
          <w:lang w:val="it-IT"/>
        </w:rPr>
        <w:t>monta</w:t>
      </w:r>
      <w:r>
        <w:rPr>
          <w:rFonts w:ascii="Helvetica" w:hAnsi="Helvetica"/>
          <w:sz w:val="22"/>
          <w:szCs w:val="22"/>
        </w:rPr>
        <w:t xml:space="preserve">ż zewnętrzny </w:t>
      </w:r>
    </w:p>
    <w:p w14:paraId="23B46739"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 xml:space="preserve">zintegrowany system przeciwpożarowy ESS </w:t>
      </w:r>
    </w:p>
    <w:p w14:paraId="5AE8BA44"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zastosowany środek gaśniczy -  perfluorohexanon</w:t>
      </w:r>
    </w:p>
    <w:p w14:paraId="2D3EA443" w14:textId="77777777" w:rsidR="00200F62" w:rsidRDefault="00843888">
      <w:pPr>
        <w:pStyle w:val="Domylne"/>
        <w:numPr>
          <w:ilvl w:val="0"/>
          <w:numId w:val="5"/>
        </w:numPr>
        <w:spacing w:before="0" w:line="240" w:lineRule="auto"/>
        <w:rPr>
          <w:rFonts w:ascii="Helvetica" w:hAnsi="Helvetica"/>
          <w:sz w:val="22"/>
          <w:szCs w:val="22"/>
          <w:lang w:val="it-IT"/>
        </w:rPr>
      </w:pPr>
      <w:r>
        <w:rPr>
          <w:rFonts w:ascii="Helvetica" w:hAnsi="Helvetica"/>
          <w:sz w:val="22"/>
          <w:szCs w:val="22"/>
          <w:lang w:val="it-IT"/>
        </w:rPr>
        <w:t>materia</w:t>
      </w:r>
      <w:r>
        <w:rPr>
          <w:rFonts w:ascii="Helvetica" w:hAnsi="Helvetica"/>
          <w:sz w:val="22"/>
          <w:szCs w:val="22"/>
        </w:rPr>
        <w:t>ł ogniwa LFP</w:t>
      </w:r>
    </w:p>
    <w:p w14:paraId="573064D9"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obsługiwana szybkość ładowania i rozładowywania &lt;= 0,5C</w:t>
      </w:r>
    </w:p>
    <w:p w14:paraId="7699AFBF"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Inteligentny sterownik modułu rack (SRC)</w:t>
      </w:r>
    </w:p>
    <w:p w14:paraId="00F82734"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sprawność SRC nie mniej niż 98%</w:t>
      </w:r>
    </w:p>
    <w:p w14:paraId="4B04B042"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 xml:space="preserve">inteligentny system sterowania mocą  </w:t>
      </w:r>
      <w:r>
        <w:rPr>
          <w:rFonts w:ascii="Helvetica" w:hAnsi="Helvetica"/>
          <w:sz w:val="22"/>
          <w:szCs w:val="22"/>
          <w:lang w:val="fr-FR"/>
        </w:rPr>
        <w:t>(PCS)</w:t>
      </w:r>
    </w:p>
    <w:p w14:paraId="0DEAC0ED" w14:textId="77777777" w:rsidR="00200F62" w:rsidRDefault="00843888">
      <w:pPr>
        <w:pStyle w:val="Domylne"/>
        <w:numPr>
          <w:ilvl w:val="0"/>
          <w:numId w:val="5"/>
        </w:numPr>
        <w:spacing w:before="0" w:line="240" w:lineRule="auto"/>
        <w:rPr>
          <w:rFonts w:ascii="Helvetica" w:hAnsi="Helvetica"/>
          <w:sz w:val="22"/>
          <w:szCs w:val="22"/>
        </w:rPr>
      </w:pPr>
      <w:r>
        <w:rPr>
          <w:rFonts w:ascii="Helvetica" w:hAnsi="Helvetica"/>
          <w:sz w:val="22"/>
          <w:szCs w:val="22"/>
        </w:rPr>
        <w:t>sprawność PCS nie mniej niż 98%</w:t>
      </w:r>
    </w:p>
    <w:p w14:paraId="37150682" w14:textId="19E8DEF7" w:rsidR="00AB2072" w:rsidRDefault="00AB2072">
      <w:pPr>
        <w:pStyle w:val="Domylne"/>
        <w:numPr>
          <w:ilvl w:val="0"/>
          <w:numId w:val="5"/>
        </w:numPr>
        <w:spacing w:before="0" w:line="240" w:lineRule="auto"/>
        <w:rPr>
          <w:rFonts w:ascii="Helvetica" w:hAnsi="Helvetica"/>
          <w:sz w:val="22"/>
          <w:szCs w:val="22"/>
        </w:rPr>
      </w:pPr>
      <w:r>
        <w:rPr>
          <w:rFonts w:ascii="Helvetica" w:hAnsi="Helvetica"/>
          <w:sz w:val="22"/>
          <w:szCs w:val="22"/>
        </w:rPr>
        <w:t>ilość cykli ładowania minimalnie 5000</w:t>
      </w:r>
    </w:p>
    <w:p w14:paraId="77C6A520" w14:textId="78F41F6E" w:rsidR="00AB2072" w:rsidRDefault="00AB2072">
      <w:pPr>
        <w:pStyle w:val="Domylne"/>
        <w:numPr>
          <w:ilvl w:val="0"/>
          <w:numId w:val="5"/>
        </w:numPr>
        <w:spacing w:before="0" w:line="240" w:lineRule="auto"/>
        <w:rPr>
          <w:rFonts w:ascii="Helvetica" w:hAnsi="Helvetica"/>
          <w:sz w:val="22"/>
          <w:szCs w:val="22"/>
        </w:rPr>
      </w:pPr>
      <w:r>
        <w:rPr>
          <w:rFonts w:ascii="Helvetica" w:hAnsi="Helvetica"/>
          <w:sz w:val="22"/>
          <w:szCs w:val="22"/>
        </w:rPr>
        <w:t>gradacja EOL maksymalnie 70%</w:t>
      </w:r>
    </w:p>
    <w:p w14:paraId="01F80716" w14:textId="77777777" w:rsidR="00200F62" w:rsidRDefault="00843888">
      <w:pPr>
        <w:pStyle w:val="TreA"/>
        <w:numPr>
          <w:ilvl w:val="0"/>
          <w:numId w:val="4"/>
        </w:numPr>
        <w:rPr>
          <w:rFonts w:hint="eastAsia"/>
        </w:rPr>
      </w:pPr>
      <w:r>
        <w:t>możliwość konfiguracji charakterystyki LVRT w toku oddawania do eksploatacji. Parametryzacja możliwa w zakresach obejmujących (lub szerszym) wymagania krajowe dla wszystkich typ</w:t>
      </w:r>
      <w:r>
        <w:rPr>
          <w:lang w:val="es-ES_tradnl"/>
        </w:rPr>
        <w:t>ó</w:t>
      </w:r>
      <w:r>
        <w:t>w MWE (B, C, D): Liczba punkt</w:t>
      </w:r>
      <w:r>
        <w:rPr>
          <w:lang w:val="es-ES_tradnl"/>
        </w:rPr>
        <w:t>ó</w:t>
      </w:r>
      <w:r>
        <w:t xml:space="preserve">w charakterystyki: [2-10], dla każdego punktu - argument czasowy [0 – 60000 ms], rozdzielczość: 1ms. Dla każdego punktu - wartość względna U/Un % [0-100%], rozdzielczość: 1% </w:t>
      </w:r>
    </w:p>
    <w:p w14:paraId="7624DB5C" w14:textId="77777777" w:rsidR="00FA4C8B" w:rsidRDefault="00FA4C8B" w:rsidP="00FA4C8B">
      <w:pPr>
        <w:pStyle w:val="TreA"/>
        <w:ind w:left="240"/>
        <w:rPr>
          <w:rFonts w:hint="eastAsia"/>
        </w:rPr>
      </w:pPr>
    </w:p>
    <w:p w14:paraId="1970106F" w14:textId="77777777" w:rsidR="00FA4C8B" w:rsidRDefault="00FA4C8B" w:rsidP="00FA4C8B">
      <w:pPr>
        <w:pStyle w:val="TreA"/>
        <w:rPr>
          <w:rFonts w:hint="eastAsia"/>
        </w:rPr>
      </w:pPr>
      <w:r>
        <w:t>Fundamenty wkręcane powinny charakteryzować się następującymi parametrami:</w:t>
      </w:r>
    </w:p>
    <w:p w14:paraId="7B333741" w14:textId="77777777"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t>1. Kompresja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240 kN/jednostka </w:t>
      </w:r>
    </w:p>
    <w:p w14:paraId="76DBBD02" w14:textId="77777777"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t>2. Tensja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120 kn/jednostka </w:t>
      </w:r>
    </w:p>
    <w:p w14:paraId="66EEF46E" w14:textId="77777777"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t xml:space="preserve">3. Pozycjonowanie </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+|- 2cm</w:t>
      </w:r>
    </w:p>
    <w:p w14:paraId="7823FFCB" w14:textId="77777777"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t>4. Niwelacja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2mm</w:t>
      </w:r>
    </w:p>
    <w:p w14:paraId="1818F4CD" w14:textId="77777777"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lastRenderedPageBreak/>
        <w:t>6. Osiadanie</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- 12 mm</w:t>
      </w:r>
    </w:p>
    <w:p w14:paraId="10741F3D" w14:textId="79FAAEA9" w:rsidR="00FA4C8B" w:rsidRDefault="00FA4C8B" w:rsidP="00FA4C8B">
      <w:pPr>
        <w:pStyle w:val="Domylne"/>
        <w:spacing w:before="0" w:line="240" w:lineRule="auto"/>
        <w:rPr>
          <w:rFonts w:ascii="Helvetica" w:eastAsia="Helvetica" w:hAnsi="Helvetica" w:cs="Helvetica"/>
          <w:sz w:val="22"/>
          <w:szCs w:val="22"/>
        </w:rPr>
      </w:pPr>
      <w:r>
        <w:rPr>
          <w:rFonts w:ascii="Helvetica" w:hAnsi="Helvetica"/>
          <w:sz w:val="22"/>
          <w:szCs w:val="22"/>
        </w:rPr>
        <w:t>7. Żywotność jednostek</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minimum od 65 lat (ochrona redukcyjna zgodnie z Eurokod 7)</w:t>
      </w:r>
    </w:p>
    <w:p w14:paraId="04D278C7" w14:textId="77777777" w:rsidR="00FA4C8B" w:rsidRDefault="00FA4C8B" w:rsidP="00FA4C8B">
      <w:pPr>
        <w:pStyle w:val="TreA"/>
        <w:ind w:left="240"/>
        <w:rPr>
          <w:rFonts w:hint="eastAsia"/>
        </w:rPr>
      </w:pPr>
    </w:p>
    <w:p w14:paraId="364DDA73" w14:textId="1188BBDC" w:rsidR="00200F62" w:rsidRPr="00C11072" w:rsidRDefault="00843888" w:rsidP="00C11072">
      <w:pPr>
        <w:pStyle w:val="TreA"/>
        <w:rPr>
          <w:rFonts w:hint="eastAsia"/>
        </w:rPr>
      </w:pPr>
      <w:r>
        <w:br/>
      </w:r>
    </w:p>
    <w:p w14:paraId="63C23063" w14:textId="21931702"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sz w:val="22"/>
          <w:szCs w:val="22"/>
        </w:rPr>
      </w:pPr>
      <w:r>
        <w:rPr>
          <w:rFonts w:ascii="Helvetica" w:hAnsi="Helvetica"/>
          <w:sz w:val="22"/>
          <w:szCs w:val="22"/>
        </w:rPr>
        <w:t>3. System zarządzania systemem</w:t>
      </w:r>
      <w:r w:rsidR="00C11072">
        <w:rPr>
          <w:rFonts w:ascii="Helvetica" w:hAnsi="Helvetica"/>
          <w:sz w:val="22"/>
          <w:szCs w:val="22"/>
        </w:rPr>
        <w:t>, który</w:t>
      </w:r>
      <w:r>
        <w:rPr>
          <w:rFonts w:ascii="Helvetica" w:hAnsi="Helvetica"/>
          <w:sz w:val="22"/>
          <w:szCs w:val="22"/>
        </w:rPr>
        <w:t xml:space="preserve"> monitoruje i zarządza instalacjami fotowoltaicznymi. Łączy wszystkie porty, konwertuje protokoły, gromadzi i przechowuje dane oraz centralnie monitoruje i konserwuje urządzenia w instalacjach PV. Urządzenia i oprogramowanie powinny być dostarczone przez producenta falownik</w:t>
      </w:r>
      <w:r>
        <w:rPr>
          <w:rFonts w:ascii="Helvetica" w:hAnsi="Helvetica"/>
          <w:sz w:val="22"/>
          <w:szCs w:val="22"/>
          <w:lang w:val="es-ES_tradnl"/>
        </w:rPr>
        <w:t>ó</w:t>
      </w:r>
      <w:r>
        <w:rPr>
          <w:rFonts w:ascii="Helvetica" w:hAnsi="Helvetica"/>
          <w:sz w:val="22"/>
          <w:szCs w:val="22"/>
        </w:rPr>
        <w:t>w i współpracować programowo z magazynem energii.</w:t>
      </w:r>
    </w:p>
    <w:p w14:paraId="5D87D5E6" w14:textId="659EA198" w:rsidR="00200F62" w:rsidRPr="00C11072" w:rsidRDefault="00843888" w:rsidP="00C1107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sz w:val="22"/>
          <w:szCs w:val="22"/>
        </w:rPr>
      </w:pPr>
      <w:r>
        <w:rPr>
          <w:rFonts w:ascii="Helvetica" w:eastAsia="Helvetica" w:hAnsi="Helvetica" w:cs="Helvetica"/>
          <w:noProof/>
          <w:sz w:val="22"/>
          <w:szCs w:val="22"/>
        </w:rPr>
        <w:drawing>
          <wp:anchor distT="152400" distB="152400" distL="152400" distR="152400" simplePos="0" relativeHeight="251658241" behindDoc="0" locked="0" layoutInCell="1" allowOverlap="1" wp14:anchorId="020C8679" wp14:editId="358F76B2">
            <wp:simplePos x="0" y="0"/>
            <wp:positionH relativeFrom="margin">
              <wp:posOffset>-147320</wp:posOffset>
            </wp:positionH>
            <wp:positionV relativeFrom="line">
              <wp:posOffset>303529</wp:posOffset>
            </wp:positionV>
            <wp:extent cx="6116321" cy="4163020"/>
            <wp:effectExtent l="0" t="0" r="0" b="0"/>
            <wp:wrapThrough wrapText="bothSides" distL="152400" distR="152400">
              <wp:wrapPolygon edited="1">
                <wp:start x="0" y="0"/>
                <wp:lineTo x="21600" y="0"/>
                <wp:lineTo x="21600" y="21600"/>
                <wp:lineTo x="0" y="21600"/>
                <wp:lineTo x="0" y="0"/>
              </wp:wrapPolygon>
            </wp:wrapThrough>
            <wp:docPr id="1073741825" name="officeArt object" descr="Obrazek"/>
            <wp:cNvGraphicFramePr/>
            <a:graphic xmlns:a="http://schemas.openxmlformats.org/drawingml/2006/main">
              <a:graphicData uri="http://schemas.openxmlformats.org/drawingml/2006/picture">
                <pic:pic xmlns:pic="http://schemas.openxmlformats.org/drawingml/2006/picture">
                  <pic:nvPicPr>
                    <pic:cNvPr id="1073741825" name="Obrazek" descr="Obrazek"/>
                    <pic:cNvPicPr>
                      <a:picLocks noChangeAspect="1"/>
                    </pic:cNvPicPr>
                  </pic:nvPicPr>
                  <pic:blipFill>
                    <a:blip r:embed="rId10"/>
                    <a:stretch>
                      <a:fillRect/>
                    </a:stretch>
                  </pic:blipFill>
                  <pic:spPr>
                    <a:xfrm>
                      <a:off x="0" y="0"/>
                      <a:ext cx="6116321" cy="4163020"/>
                    </a:xfrm>
                    <a:prstGeom prst="rect">
                      <a:avLst/>
                    </a:prstGeom>
                    <a:ln w="12700" cap="flat">
                      <a:noFill/>
                      <a:miter lim="400000"/>
                    </a:ln>
                    <a:effectLst/>
                  </pic:spPr>
                </pic:pic>
              </a:graphicData>
            </a:graphic>
          </wp:anchor>
        </w:drawing>
      </w:r>
    </w:p>
    <w:p w14:paraId="3F25AFB2" w14:textId="77777777" w:rsidR="00200F62" w:rsidRDefault="00843888">
      <w:pPr>
        <w:pStyle w:val="TreA"/>
        <w:rPr>
          <w:rFonts w:hint="eastAsia"/>
        </w:rPr>
      </w:pPr>
      <w:r>
        <w:t>Parametry głównego modułu zarządzania instalacją </w:t>
      </w:r>
    </w:p>
    <w:p w14:paraId="23D22305" w14:textId="77777777" w:rsidR="00200F62" w:rsidRDefault="00843888">
      <w:pPr>
        <w:pStyle w:val="TreA"/>
        <w:numPr>
          <w:ilvl w:val="0"/>
          <w:numId w:val="7"/>
        </w:numPr>
        <w:rPr>
          <w:rFonts w:hint="eastAsia"/>
        </w:rPr>
      </w:pPr>
      <w:r>
        <w:t xml:space="preserve">minimalna ilość obsługiwanych urządzeń </w:t>
      </w:r>
      <w:r>
        <w:rPr>
          <w:lang w:val="ru-RU"/>
        </w:rPr>
        <w:t xml:space="preserve">- 80 </w:t>
      </w:r>
    </w:p>
    <w:p w14:paraId="4F964B1C" w14:textId="77777777" w:rsidR="00200F62" w:rsidRDefault="00843888">
      <w:pPr>
        <w:pStyle w:val="TreA"/>
        <w:numPr>
          <w:ilvl w:val="0"/>
          <w:numId w:val="7"/>
        </w:numPr>
        <w:rPr>
          <w:rFonts w:hint="eastAsia"/>
        </w:rPr>
      </w:pPr>
      <w:r>
        <w:t>wymagania dotyczą</w:t>
      </w:r>
      <w:r>
        <w:rPr>
          <w:lang w:val="da-DK"/>
        </w:rPr>
        <w:t>ce interfejs</w:t>
      </w:r>
      <w:r>
        <w:rPr>
          <w:lang w:val="es-ES_tradnl"/>
        </w:rPr>
        <w:t>ó</w:t>
      </w:r>
      <w:r>
        <w:t xml:space="preserve">w  komunikacyjnych </w:t>
      </w:r>
    </w:p>
    <w:p w14:paraId="53CC5846" w14:textId="77777777" w:rsidR="00200F62" w:rsidRDefault="00843888">
      <w:pPr>
        <w:pStyle w:val="TreA"/>
        <w:rPr>
          <w:rFonts w:hint="eastAsia"/>
        </w:rPr>
      </w:pPr>
      <w:r>
        <w:t xml:space="preserve"> - W</w:t>
      </w:r>
      <w:r>
        <w:rPr>
          <w:lang w:val="it-IT"/>
        </w:rPr>
        <w:t>AN x 1, 10 / 100 / 1000 Mbps</w:t>
      </w:r>
    </w:p>
    <w:p w14:paraId="61634CDF" w14:textId="77777777" w:rsidR="00200F62" w:rsidRDefault="00843888">
      <w:pPr>
        <w:pStyle w:val="TreA"/>
        <w:numPr>
          <w:ilvl w:val="0"/>
          <w:numId w:val="4"/>
        </w:numPr>
        <w:rPr>
          <w:rFonts w:hint="eastAsia"/>
          <w:lang w:val="it-IT"/>
        </w:rPr>
      </w:pPr>
      <w:r>
        <w:rPr>
          <w:lang w:val="it-IT"/>
        </w:rPr>
        <w:t>LAN x 1, 10 / 100 / 1000 Mbps</w:t>
      </w:r>
    </w:p>
    <w:p w14:paraId="3988DFE1" w14:textId="77777777" w:rsidR="00200F62" w:rsidRDefault="00843888">
      <w:pPr>
        <w:pStyle w:val="TreA"/>
        <w:numPr>
          <w:ilvl w:val="0"/>
          <w:numId w:val="4"/>
        </w:numPr>
        <w:rPr>
          <w:rFonts w:hint="eastAsia"/>
        </w:rPr>
      </w:pPr>
      <w:r>
        <w:t>RS485 COM x 3, 1200 / 2400 / 4800 / 9600 / 19200 / 115200 bps, 1000 m</w:t>
      </w:r>
    </w:p>
    <w:p w14:paraId="53017E8C" w14:textId="77777777" w:rsidR="00200F62" w:rsidRDefault="00843888">
      <w:pPr>
        <w:pStyle w:val="TreA"/>
        <w:numPr>
          <w:ilvl w:val="0"/>
          <w:numId w:val="4"/>
        </w:numPr>
        <w:rPr>
          <w:rFonts w:hint="eastAsia"/>
        </w:rPr>
      </w:pPr>
      <w:r>
        <w:t>MBUS x 1, 115.2 kbps, kompatybilne z PLC</w:t>
      </w:r>
    </w:p>
    <w:p w14:paraId="7B60A975" w14:textId="77777777" w:rsidR="00200F62" w:rsidRDefault="00843888">
      <w:pPr>
        <w:pStyle w:val="TreA"/>
        <w:rPr>
          <w:rFonts w:hint="eastAsia"/>
        </w:rPr>
      </w:pPr>
      <w:r>
        <w:t xml:space="preserve">c) wejścia i wyjścia programowalne DIx4, D0x2, AIx4 </w:t>
      </w:r>
    </w:p>
    <w:p w14:paraId="4651DD39" w14:textId="77777777" w:rsidR="00200F62" w:rsidRDefault="00843888">
      <w:pPr>
        <w:pStyle w:val="TreA"/>
        <w:rPr>
          <w:rFonts w:hint="eastAsia"/>
        </w:rPr>
      </w:pPr>
      <w:r>
        <w:t xml:space="preserve">d) protokół </w:t>
      </w:r>
      <w:r>
        <w:rPr>
          <w:lang w:val="pt-PT"/>
        </w:rPr>
        <w:t xml:space="preserve">Modbus-TCP, IEC 60870-5-104 </w:t>
      </w:r>
    </w:p>
    <w:p w14:paraId="4DA0A6F4" w14:textId="77777777" w:rsidR="00200F62" w:rsidRDefault="00843888">
      <w:pPr>
        <w:pStyle w:val="TreA"/>
        <w:rPr>
          <w:rFonts w:hint="eastAsia"/>
        </w:rPr>
      </w:pPr>
      <w:r>
        <w:t>e) protokół M</w:t>
      </w:r>
      <w:r>
        <w:rPr>
          <w:lang w:val="en-US"/>
        </w:rPr>
        <w:t>odbus-RTU, IEC 60870-5-103 (standard), DL / T645</w:t>
      </w:r>
    </w:p>
    <w:p w14:paraId="2731B0EA" w14:textId="77777777" w:rsidR="00200F62" w:rsidRDefault="00843888">
      <w:pPr>
        <w:pStyle w:val="TreA"/>
        <w:rPr>
          <w:rFonts w:hint="eastAsia"/>
        </w:rPr>
      </w:pPr>
      <w:r>
        <w:t xml:space="preserve">f) wbudowany serwer www do zarządzania i konfiguracji </w:t>
      </w:r>
    </w:p>
    <w:p w14:paraId="385CC56B" w14:textId="77777777" w:rsidR="00200F62" w:rsidRDefault="00200F62">
      <w:pPr>
        <w:pStyle w:val="TreA"/>
        <w:rPr>
          <w:rFonts w:hint="eastAsia"/>
        </w:rPr>
      </w:pPr>
    </w:p>
    <w:p w14:paraId="58906FD9" w14:textId="77777777" w:rsidR="00200F62" w:rsidRDefault="00200F62">
      <w:pPr>
        <w:pStyle w:val="TreA"/>
        <w:rPr>
          <w:rFonts w:hint="eastAsia"/>
          <w:b/>
          <w:bCs/>
          <w:sz w:val="28"/>
          <w:szCs w:val="28"/>
        </w:rPr>
      </w:pPr>
    </w:p>
    <w:p w14:paraId="381FAD7A" w14:textId="20326996" w:rsidR="00200F62" w:rsidRDefault="00843888">
      <w:pPr>
        <w:pStyle w:val="TreA"/>
        <w:rPr>
          <w:rFonts w:hint="eastAsia"/>
          <w:b/>
          <w:bCs/>
          <w:sz w:val="28"/>
          <w:szCs w:val="28"/>
        </w:rPr>
      </w:pPr>
      <w:r>
        <w:rPr>
          <w:b/>
          <w:bCs/>
          <w:sz w:val="28"/>
          <w:szCs w:val="28"/>
        </w:rPr>
        <w:t>Instalacje dachowe</w:t>
      </w:r>
    </w:p>
    <w:p w14:paraId="324EEC66" w14:textId="77777777" w:rsidR="00200F62" w:rsidRDefault="00200F62">
      <w:pPr>
        <w:pStyle w:val="TreA"/>
        <w:rPr>
          <w:rFonts w:hint="eastAsia"/>
        </w:rPr>
      </w:pPr>
    </w:p>
    <w:p w14:paraId="18CFDF0C" w14:textId="77777777" w:rsidR="00200F62" w:rsidRDefault="00200F62">
      <w:pPr>
        <w:pStyle w:val="TreA"/>
        <w:rPr>
          <w:rFonts w:hint="eastAsia"/>
        </w:rPr>
      </w:pPr>
    </w:p>
    <w:p w14:paraId="79AC889A" w14:textId="77777777" w:rsidR="00200F62" w:rsidRDefault="00843888">
      <w:pPr>
        <w:pStyle w:val="TreA"/>
        <w:numPr>
          <w:ilvl w:val="0"/>
          <w:numId w:val="8"/>
        </w:numPr>
        <w:rPr>
          <w:rFonts w:hint="eastAsia"/>
        </w:rPr>
      </w:pPr>
      <w:r>
        <w:t>Budynek nr 10</w:t>
      </w:r>
    </w:p>
    <w:p w14:paraId="6B017374" w14:textId="77777777" w:rsidR="00200F62" w:rsidRDefault="00200F62">
      <w:pPr>
        <w:pStyle w:val="TreA"/>
        <w:rPr>
          <w:rFonts w:hint="eastAsia"/>
        </w:rPr>
      </w:pPr>
    </w:p>
    <w:p w14:paraId="31B71E8E" w14:textId="77777777" w:rsidR="00200F62" w:rsidRDefault="00843888">
      <w:pPr>
        <w:pStyle w:val="TreA"/>
        <w:numPr>
          <w:ilvl w:val="0"/>
          <w:numId w:val="4"/>
        </w:numPr>
        <w:rPr>
          <w:rFonts w:hint="eastAsia"/>
        </w:rPr>
      </w:pPr>
      <w:r>
        <w:lastRenderedPageBreak/>
        <w:t xml:space="preserve">ilość paneli 200 szt </w:t>
      </w:r>
    </w:p>
    <w:p w14:paraId="591BF956" w14:textId="77777777" w:rsidR="00200F62" w:rsidRDefault="00843888">
      <w:pPr>
        <w:pStyle w:val="TreA"/>
        <w:numPr>
          <w:ilvl w:val="0"/>
          <w:numId w:val="4"/>
        </w:numPr>
        <w:rPr>
          <w:rFonts w:hint="eastAsia"/>
        </w:rPr>
      </w:pPr>
      <w:r>
        <w:t>dach skośny konstrukcja paneli r</w:t>
      </w:r>
      <w:r>
        <w:rPr>
          <w:lang w:val="es-ES_tradnl"/>
        </w:rPr>
        <w:t>ó</w:t>
      </w:r>
      <w:r>
        <w:t xml:space="preserve">wnoległa do dachu </w:t>
      </w:r>
    </w:p>
    <w:p w14:paraId="21394A96" w14:textId="77777777" w:rsidR="00200F62" w:rsidRDefault="00843888">
      <w:pPr>
        <w:pStyle w:val="TreA"/>
        <w:numPr>
          <w:ilvl w:val="0"/>
          <w:numId w:val="4"/>
        </w:numPr>
        <w:rPr>
          <w:rFonts w:hint="eastAsia"/>
        </w:rPr>
      </w:pPr>
      <w:r>
        <w:t>falowniki 2x30 kW, 1x15 kW</w:t>
      </w:r>
    </w:p>
    <w:p w14:paraId="2DEF1703" w14:textId="77777777" w:rsidR="00200F62" w:rsidRDefault="00200F62">
      <w:pPr>
        <w:pStyle w:val="TreA"/>
        <w:rPr>
          <w:rFonts w:hint="eastAsia"/>
        </w:rPr>
      </w:pPr>
    </w:p>
    <w:p w14:paraId="4852A29C" w14:textId="77777777" w:rsidR="00200F62" w:rsidRDefault="00843888">
      <w:pPr>
        <w:pStyle w:val="TreA"/>
        <w:rPr>
          <w:rFonts w:hint="eastAsia"/>
        </w:rPr>
      </w:pPr>
      <w:r>
        <w:t>2. Budynek nr 11</w:t>
      </w:r>
    </w:p>
    <w:p w14:paraId="25351051" w14:textId="77777777" w:rsidR="00200F62" w:rsidRDefault="00200F62">
      <w:pPr>
        <w:pStyle w:val="TreA"/>
        <w:rPr>
          <w:rFonts w:hint="eastAsia"/>
        </w:rPr>
      </w:pPr>
    </w:p>
    <w:p w14:paraId="7FBFBE80" w14:textId="77777777" w:rsidR="00200F62" w:rsidRDefault="00843888">
      <w:pPr>
        <w:pStyle w:val="TreA"/>
        <w:numPr>
          <w:ilvl w:val="0"/>
          <w:numId w:val="4"/>
        </w:numPr>
        <w:rPr>
          <w:rFonts w:hint="eastAsia"/>
        </w:rPr>
      </w:pPr>
      <w:r>
        <w:t>ilość paneli 138 szt</w:t>
      </w:r>
    </w:p>
    <w:p w14:paraId="79FC34D9" w14:textId="77777777" w:rsidR="00200F62" w:rsidRDefault="00843888">
      <w:pPr>
        <w:pStyle w:val="TreA"/>
        <w:numPr>
          <w:ilvl w:val="0"/>
          <w:numId w:val="4"/>
        </w:numPr>
        <w:rPr>
          <w:rFonts w:hint="eastAsia"/>
        </w:rPr>
      </w:pPr>
      <w:r>
        <w:t xml:space="preserve">dach płaski konstrukcja wsch-zach </w:t>
      </w:r>
    </w:p>
    <w:p w14:paraId="5B846EE1" w14:textId="77777777" w:rsidR="00200F62" w:rsidRDefault="00843888">
      <w:pPr>
        <w:pStyle w:val="TreA"/>
        <w:numPr>
          <w:ilvl w:val="0"/>
          <w:numId w:val="4"/>
        </w:numPr>
        <w:rPr>
          <w:rFonts w:hint="eastAsia"/>
        </w:rPr>
      </w:pPr>
      <w:r>
        <w:t>falownik 2x25kW</w:t>
      </w:r>
    </w:p>
    <w:p w14:paraId="029E85EF" w14:textId="77777777" w:rsidR="00200F62" w:rsidRDefault="00200F62">
      <w:pPr>
        <w:pStyle w:val="TreA"/>
        <w:rPr>
          <w:rFonts w:hint="eastAsia"/>
        </w:rPr>
      </w:pPr>
    </w:p>
    <w:p w14:paraId="1684CD49" w14:textId="77777777" w:rsidR="00200F62" w:rsidRDefault="00843888">
      <w:pPr>
        <w:pStyle w:val="TreA"/>
        <w:rPr>
          <w:rFonts w:hint="eastAsia"/>
        </w:rPr>
      </w:pPr>
      <w:r>
        <w:t xml:space="preserve">3. Budynek nr 12 </w:t>
      </w:r>
    </w:p>
    <w:p w14:paraId="7FC42A7B" w14:textId="77777777" w:rsidR="00200F62" w:rsidRDefault="00200F62">
      <w:pPr>
        <w:pStyle w:val="TreA"/>
        <w:rPr>
          <w:rFonts w:hint="eastAsia"/>
        </w:rPr>
      </w:pPr>
    </w:p>
    <w:p w14:paraId="239EB409" w14:textId="77777777" w:rsidR="00200F62" w:rsidRDefault="00843888">
      <w:pPr>
        <w:pStyle w:val="TreA"/>
        <w:numPr>
          <w:ilvl w:val="0"/>
          <w:numId w:val="4"/>
        </w:numPr>
        <w:rPr>
          <w:rFonts w:hint="eastAsia"/>
        </w:rPr>
      </w:pPr>
      <w:r>
        <w:t xml:space="preserve">ilość paneli 280 szt </w:t>
      </w:r>
    </w:p>
    <w:p w14:paraId="1A6D80C8" w14:textId="77777777" w:rsidR="00200F62" w:rsidRDefault="00843888">
      <w:pPr>
        <w:pStyle w:val="TreA"/>
        <w:numPr>
          <w:ilvl w:val="0"/>
          <w:numId w:val="4"/>
        </w:numPr>
        <w:rPr>
          <w:rFonts w:hint="eastAsia"/>
        </w:rPr>
      </w:pPr>
      <w:r>
        <w:t>dach skośny konstrukcja paneli r</w:t>
      </w:r>
      <w:r>
        <w:rPr>
          <w:lang w:val="es-ES_tradnl"/>
        </w:rPr>
        <w:t>ó</w:t>
      </w:r>
      <w:r>
        <w:t xml:space="preserve">wnoległa do dachu </w:t>
      </w:r>
    </w:p>
    <w:p w14:paraId="75F24561" w14:textId="77777777" w:rsidR="00200F62" w:rsidRDefault="00843888">
      <w:pPr>
        <w:pStyle w:val="TreA"/>
        <w:numPr>
          <w:ilvl w:val="0"/>
          <w:numId w:val="4"/>
        </w:numPr>
        <w:rPr>
          <w:rFonts w:hint="eastAsia"/>
        </w:rPr>
      </w:pPr>
      <w:r>
        <w:t>falowniki 2x50 kW</w:t>
      </w:r>
    </w:p>
    <w:p w14:paraId="6A5C9A70" w14:textId="77777777" w:rsidR="00200F62" w:rsidRDefault="00200F62">
      <w:pPr>
        <w:pStyle w:val="TreA"/>
        <w:rPr>
          <w:rFonts w:hint="eastAsia"/>
        </w:rPr>
      </w:pPr>
    </w:p>
    <w:p w14:paraId="7D9DB2CB" w14:textId="77777777" w:rsidR="00200F62" w:rsidRDefault="00843888">
      <w:pPr>
        <w:pStyle w:val="TreA"/>
        <w:rPr>
          <w:rFonts w:hint="eastAsia"/>
        </w:rPr>
      </w:pPr>
      <w:r>
        <w:t xml:space="preserve">4. Budynek nr 15 </w:t>
      </w:r>
    </w:p>
    <w:p w14:paraId="25E11C78" w14:textId="77777777" w:rsidR="00200F62" w:rsidRDefault="00200F62">
      <w:pPr>
        <w:pStyle w:val="TreA"/>
        <w:rPr>
          <w:rFonts w:hint="eastAsia"/>
        </w:rPr>
      </w:pPr>
    </w:p>
    <w:p w14:paraId="480DF1D9" w14:textId="77777777" w:rsidR="00200F62" w:rsidRDefault="00843888">
      <w:pPr>
        <w:pStyle w:val="TreA"/>
        <w:numPr>
          <w:ilvl w:val="0"/>
          <w:numId w:val="4"/>
        </w:numPr>
        <w:rPr>
          <w:rFonts w:hint="eastAsia"/>
        </w:rPr>
      </w:pPr>
      <w:r>
        <w:t xml:space="preserve">ilość paneli 40 szt </w:t>
      </w:r>
    </w:p>
    <w:p w14:paraId="5A03EBE5" w14:textId="77777777" w:rsidR="00200F62" w:rsidRDefault="00843888">
      <w:pPr>
        <w:pStyle w:val="TreA"/>
        <w:numPr>
          <w:ilvl w:val="0"/>
          <w:numId w:val="4"/>
        </w:numPr>
        <w:rPr>
          <w:rFonts w:hint="eastAsia"/>
        </w:rPr>
      </w:pPr>
      <w:r>
        <w:t>dach płaski konstrukcja wsch-zach</w:t>
      </w:r>
    </w:p>
    <w:p w14:paraId="637D96C4" w14:textId="77777777" w:rsidR="00200F62" w:rsidRDefault="00843888">
      <w:pPr>
        <w:pStyle w:val="TreA"/>
        <w:numPr>
          <w:ilvl w:val="0"/>
          <w:numId w:val="4"/>
        </w:numPr>
        <w:rPr>
          <w:rFonts w:hint="eastAsia"/>
        </w:rPr>
      </w:pPr>
      <w:r>
        <w:t>falowniki 17 kW</w:t>
      </w:r>
    </w:p>
    <w:p w14:paraId="640DD097" w14:textId="77777777" w:rsidR="00200F62" w:rsidRDefault="00200F62">
      <w:pPr>
        <w:pStyle w:val="TreA"/>
        <w:rPr>
          <w:rFonts w:hint="eastAsia"/>
        </w:rPr>
      </w:pPr>
    </w:p>
    <w:p w14:paraId="01082692" w14:textId="77777777" w:rsidR="00200F62" w:rsidRDefault="00200F62">
      <w:pPr>
        <w:pStyle w:val="TreA"/>
        <w:rPr>
          <w:rFonts w:hint="eastAsia"/>
        </w:rPr>
      </w:pPr>
    </w:p>
    <w:p w14:paraId="30BC703A" w14:textId="77777777" w:rsidR="00200F62" w:rsidRDefault="00843888">
      <w:pPr>
        <w:pStyle w:val="TreA"/>
        <w:rPr>
          <w:rFonts w:hint="eastAsia"/>
        </w:rPr>
      </w:pPr>
      <w:r>
        <w:t>5. Budynek nr 9</w:t>
      </w:r>
    </w:p>
    <w:p w14:paraId="482A3BF6" w14:textId="77777777" w:rsidR="00200F62" w:rsidRDefault="00200F62">
      <w:pPr>
        <w:pStyle w:val="TreA"/>
        <w:rPr>
          <w:rFonts w:hint="eastAsia"/>
        </w:rPr>
      </w:pPr>
    </w:p>
    <w:p w14:paraId="174B1803" w14:textId="77777777" w:rsidR="00200F62" w:rsidRDefault="00843888">
      <w:pPr>
        <w:pStyle w:val="TreA"/>
        <w:numPr>
          <w:ilvl w:val="0"/>
          <w:numId w:val="4"/>
        </w:numPr>
        <w:rPr>
          <w:rFonts w:hint="eastAsia"/>
        </w:rPr>
      </w:pPr>
      <w:r>
        <w:t xml:space="preserve">ilość paneli 78 szt </w:t>
      </w:r>
    </w:p>
    <w:p w14:paraId="36E4D965" w14:textId="77777777" w:rsidR="00200F62" w:rsidRDefault="00843888">
      <w:pPr>
        <w:pStyle w:val="TreA"/>
        <w:numPr>
          <w:ilvl w:val="0"/>
          <w:numId w:val="4"/>
        </w:numPr>
        <w:rPr>
          <w:rFonts w:hint="eastAsia"/>
        </w:rPr>
      </w:pPr>
      <w:r>
        <w:t>dach płaski konstrukcja wsch-zach klejona - papa</w:t>
      </w:r>
    </w:p>
    <w:p w14:paraId="0474DB46" w14:textId="77777777" w:rsidR="00200F62" w:rsidRDefault="00843888">
      <w:pPr>
        <w:pStyle w:val="TreA"/>
        <w:numPr>
          <w:ilvl w:val="0"/>
          <w:numId w:val="4"/>
        </w:numPr>
        <w:rPr>
          <w:rFonts w:hint="eastAsia"/>
        </w:rPr>
      </w:pPr>
      <w:r>
        <w:t>falowniki 30 kW</w:t>
      </w:r>
    </w:p>
    <w:p w14:paraId="120CCF45" w14:textId="77777777" w:rsidR="00200F62" w:rsidRDefault="00200F62">
      <w:pPr>
        <w:pStyle w:val="TreA"/>
        <w:rPr>
          <w:rFonts w:hint="eastAsia"/>
        </w:rPr>
      </w:pPr>
    </w:p>
    <w:p w14:paraId="10783E72" w14:textId="77777777" w:rsidR="00200F62" w:rsidRDefault="00843888">
      <w:pPr>
        <w:pStyle w:val="TreA"/>
        <w:rPr>
          <w:rFonts w:hint="eastAsia"/>
        </w:rPr>
      </w:pPr>
      <w:r>
        <w:t>6. Budynek nr 8</w:t>
      </w:r>
    </w:p>
    <w:p w14:paraId="70004D9D" w14:textId="77777777" w:rsidR="00200F62" w:rsidRDefault="00200F62">
      <w:pPr>
        <w:pStyle w:val="TreA"/>
        <w:rPr>
          <w:rFonts w:hint="eastAsia"/>
        </w:rPr>
      </w:pPr>
    </w:p>
    <w:p w14:paraId="56AE74B3" w14:textId="77777777" w:rsidR="00200F62" w:rsidRDefault="00843888">
      <w:pPr>
        <w:pStyle w:val="TreA"/>
        <w:numPr>
          <w:ilvl w:val="0"/>
          <w:numId w:val="4"/>
        </w:numPr>
        <w:rPr>
          <w:rFonts w:hint="eastAsia"/>
        </w:rPr>
      </w:pPr>
      <w:r>
        <w:t xml:space="preserve">ilość paneli 288 szt </w:t>
      </w:r>
    </w:p>
    <w:p w14:paraId="7DBFC9D2" w14:textId="77777777" w:rsidR="00200F62" w:rsidRDefault="00843888">
      <w:pPr>
        <w:pStyle w:val="TreA"/>
        <w:numPr>
          <w:ilvl w:val="0"/>
          <w:numId w:val="4"/>
        </w:numPr>
        <w:rPr>
          <w:rFonts w:hint="eastAsia"/>
        </w:rPr>
      </w:pPr>
      <w:r>
        <w:t>dach skośny konstrukcja paneli r</w:t>
      </w:r>
      <w:r>
        <w:rPr>
          <w:lang w:val="es-ES_tradnl"/>
        </w:rPr>
        <w:t>ó</w:t>
      </w:r>
      <w:r>
        <w:t>wnoległa do dachu</w:t>
      </w:r>
    </w:p>
    <w:p w14:paraId="41AE727A" w14:textId="77777777" w:rsidR="00200F62" w:rsidRDefault="00843888">
      <w:pPr>
        <w:pStyle w:val="TreA"/>
        <w:numPr>
          <w:ilvl w:val="0"/>
          <w:numId w:val="4"/>
        </w:numPr>
        <w:rPr>
          <w:rFonts w:hint="eastAsia"/>
        </w:rPr>
      </w:pPr>
      <w:r>
        <w:t>falowniki 2x50 kW, 2x15kW</w:t>
      </w:r>
    </w:p>
    <w:p w14:paraId="5C6A8F74" w14:textId="77777777" w:rsidR="00200F62" w:rsidRDefault="00200F62">
      <w:pPr>
        <w:pStyle w:val="TreA"/>
        <w:rPr>
          <w:rFonts w:hint="eastAsia"/>
        </w:rPr>
      </w:pPr>
    </w:p>
    <w:p w14:paraId="7F0E4CDF" w14:textId="77777777" w:rsidR="00200F62" w:rsidRDefault="00843888">
      <w:pPr>
        <w:pStyle w:val="TreA"/>
        <w:rPr>
          <w:rFonts w:hint="eastAsia"/>
        </w:rPr>
      </w:pPr>
      <w:r>
        <w:t>7. Budynek nr 6</w:t>
      </w:r>
    </w:p>
    <w:p w14:paraId="62A81141" w14:textId="77777777" w:rsidR="00200F62" w:rsidRDefault="00200F62">
      <w:pPr>
        <w:pStyle w:val="TreA"/>
        <w:rPr>
          <w:rFonts w:hint="eastAsia"/>
        </w:rPr>
      </w:pPr>
    </w:p>
    <w:p w14:paraId="64AAC965" w14:textId="77777777" w:rsidR="00200F62" w:rsidRDefault="00843888">
      <w:pPr>
        <w:pStyle w:val="TreA"/>
        <w:numPr>
          <w:ilvl w:val="0"/>
          <w:numId w:val="4"/>
        </w:numPr>
        <w:rPr>
          <w:rFonts w:hint="eastAsia"/>
        </w:rPr>
      </w:pPr>
      <w:r>
        <w:t xml:space="preserve">ilość paneli 80 szt </w:t>
      </w:r>
    </w:p>
    <w:p w14:paraId="06FD1F48" w14:textId="77777777" w:rsidR="00200F62" w:rsidRDefault="00843888">
      <w:pPr>
        <w:pStyle w:val="TreA"/>
        <w:numPr>
          <w:ilvl w:val="0"/>
          <w:numId w:val="4"/>
        </w:numPr>
        <w:rPr>
          <w:rFonts w:hint="eastAsia"/>
        </w:rPr>
      </w:pPr>
      <w:r>
        <w:t>dach skośny konstrukcja paneli r</w:t>
      </w:r>
      <w:r>
        <w:rPr>
          <w:lang w:val="es-ES_tradnl"/>
        </w:rPr>
        <w:t>ó</w:t>
      </w:r>
      <w:r>
        <w:t>wnoległa do dachu</w:t>
      </w:r>
    </w:p>
    <w:p w14:paraId="37A5BCBD" w14:textId="77777777" w:rsidR="00200F62" w:rsidRDefault="00843888">
      <w:pPr>
        <w:pStyle w:val="TreA"/>
        <w:numPr>
          <w:ilvl w:val="0"/>
          <w:numId w:val="4"/>
        </w:numPr>
        <w:rPr>
          <w:rFonts w:hint="eastAsia"/>
        </w:rPr>
      </w:pPr>
      <w:r>
        <w:t>falowniki 2x17 kW</w:t>
      </w:r>
    </w:p>
    <w:p w14:paraId="6C465F3F" w14:textId="77777777" w:rsidR="00200F62" w:rsidRDefault="00200F62">
      <w:pPr>
        <w:pStyle w:val="TreA"/>
        <w:rPr>
          <w:rFonts w:hint="eastAsia"/>
        </w:rPr>
      </w:pPr>
    </w:p>
    <w:p w14:paraId="62C0E3C1" w14:textId="77777777" w:rsidR="00200F62" w:rsidRDefault="00843888">
      <w:pPr>
        <w:pStyle w:val="TreA"/>
        <w:rPr>
          <w:rFonts w:hint="eastAsia"/>
        </w:rPr>
      </w:pPr>
      <w:r>
        <w:t>8. Budynek nr 5</w:t>
      </w:r>
    </w:p>
    <w:p w14:paraId="1CEE444C" w14:textId="77777777" w:rsidR="00200F62" w:rsidRDefault="00200F62">
      <w:pPr>
        <w:pStyle w:val="TreA"/>
        <w:rPr>
          <w:rFonts w:hint="eastAsia"/>
        </w:rPr>
      </w:pPr>
    </w:p>
    <w:p w14:paraId="7BBEE1A3" w14:textId="77777777" w:rsidR="00200F62" w:rsidRDefault="00843888">
      <w:pPr>
        <w:pStyle w:val="TreA"/>
        <w:numPr>
          <w:ilvl w:val="0"/>
          <w:numId w:val="4"/>
        </w:numPr>
        <w:rPr>
          <w:rFonts w:hint="eastAsia"/>
        </w:rPr>
      </w:pPr>
      <w:r>
        <w:t xml:space="preserve">ilość paneli 88 szt </w:t>
      </w:r>
    </w:p>
    <w:p w14:paraId="64E315BC" w14:textId="77777777" w:rsidR="00200F62" w:rsidRDefault="00843888">
      <w:pPr>
        <w:pStyle w:val="TreA"/>
        <w:numPr>
          <w:ilvl w:val="0"/>
          <w:numId w:val="4"/>
        </w:numPr>
        <w:rPr>
          <w:rFonts w:hint="eastAsia"/>
        </w:rPr>
      </w:pPr>
      <w:r>
        <w:t>dach skośny konstrukcja paneli r</w:t>
      </w:r>
      <w:r>
        <w:rPr>
          <w:lang w:val="es-ES_tradnl"/>
        </w:rPr>
        <w:t>ó</w:t>
      </w:r>
      <w:r>
        <w:t>wnoległa do dachu</w:t>
      </w:r>
    </w:p>
    <w:p w14:paraId="76C5C04F" w14:textId="77777777" w:rsidR="00200F62" w:rsidRDefault="00843888">
      <w:pPr>
        <w:pStyle w:val="TreA"/>
        <w:numPr>
          <w:ilvl w:val="0"/>
          <w:numId w:val="4"/>
        </w:numPr>
        <w:rPr>
          <w:rFonts w:hint="eastAsia"/>
        </w:rPr>
      </w:pPr>
      <w:r>
        <w:t>falowniki 36 kW</w:t>
      </w:r>
    </w:p>
    <w:p w14:paraId="1B6F8FF0" w14:textId="77777777" w:rsidR="00200F62" w:rsidRDefault="00200F62">
      <w:pPr>
        <w:pStyle w:val="TreA"/>
        <w:rPr>
          <w:rFonts w:hint="eastAsia"/>
        </w:rPr>
      </w:pPr>
    </w:p>
    <w:p w14:paraId="21F199C5" w14:textId="77777777" w:rsidR="00200F62" w:rsidRDefault="00843888">
      <w:pPr>
        <w:pStyle w:val="TreA"/>
        <w:rPr>
          <w:rFonts w:hint="eastAsia"/>
        </w:rPr>
      </w:pPr>
      <w:r>
        <w:t>9. Budynek nr 2</w:t>
      </w:r>
    </w:p>
    <w:p w14:paraId="4CA4DB27" w14:textId="77777777" w:rsidR="00200F62" w:rsidRDefault="00200F62">
      <w:pPr>
        <w:pStyle w:val="TreA"/>
        <w:rPr>
          <w:rFonts w:hint="eastAsia"/>
        </w:rPr>
      </w:pPr>
    </w:p>
    <w:p w14:paraId="6B785709" w14:textId="77777777" w:rsidR="00200F62" w:rsidRDefault="00843888">
      <w:pPr>
        <w:pStyle w:val="TreA"/>
        <w:numPr>
          <w:ilvl w:val="0"/>
          <w:numId w:val="4"/>
        </w:numPr>
        <w:rPr>
          <w:rFonts w:hint="eastAsia"/>
        </w:rPr>
      </w:pPr>
      <w:r>
        <w:t xml:space="preserve">ilość paneli 204 szt </w:t>
      </w:r>
    </w:p>
    <w:p w14:paraId="02AFD561" w14:textId="77777777" w:rsidR="00200F62" w:rsidRDefault="00843888">
      <w:pPr>
        <w:pStyle w:val="TreA"/>
        <w:numPr>
          <w:ilvl w:val="0"/>
          <w:numId w:val="4"/>
        </w:numPr>
        <w:rPr>
          <w:rFonts w:hint="eastAsia"/>
        </w:rPr>
      </w:pPr>
      <w:r>
        <w:t xml:space="preserve">dach skośny konstrukcja  wsch-zach klejona - papa </w:t>
      </w:r>
    </w:p>
    <w:p w14:paraId="2E99AD4D" w14:textId="77777777" w:rsidR="00200F62" w:rsidRDefault="00843888">
      <w:pPr>
        <w:pStyle w:val="TreA"/>
        <w:numPr>
          <w:ilvl w:val="0"/>
          <w:numId w:val="4"/>
        </w:numPr>
        <w:rPr>
          <w:rFonts w:hint="eastAsia"/>
        </w:rPr>
      </w:pPr>
      <w:r>
        <w:t>falowniki 4x20 kW,</w:t>
      </w:r>
    </w:p>
    <w:p w14:paraId="589A2C41" w14:textId="77777777" w:rsidR="00200F62" w:rsidRDefault="00200F62">
      <w:pPr>
        <w:pStyle w:val="TreA"/>
        <w:rPr>
          <w:rFonts w:hint="eastAsia"/>
        </w:rPr>
      </w:pPr>
    </w:p>
    <w:p w14:paraId="2DA09CD2" w14:textId="77777777" w:rsidR="00200F62" w:rsidRDefault="00843888">
      <w:pPr>
        <w:pStyle w:val="TreA"/>
        <w:rPr>
          <w:rFonts w:hint="eastAsia"/>
          <w:b/>
          <w:bCs/>
          <w:sz w:val="28"/>
          <w:szCs w:val="28"/>
        </w:rPr>
      </w:pPr>
      <w:r>
        <w:rPr>
          <w:b/>
          <w:bCs/>
          <w:sz w:val="28"/>
          <w:szCs w:val="28"/>
        </w:rPr>
        <w:lastRenderedPageBreak/>
        <w:t>Instalacje na konstrukcjach specjalnych wykonanych dla konkretnych lokalizacji</w:t>
      </w:r>
    </w:p>
    <w:p w14:paraId="05ACEAA7" w14:textId="77777777" w:rsidR="00200F62" w:rsidRDefault="00200F62">
      <w:pPr>
        <w:pStyle w:val="TreA"/>
        <w:rPr>
          <w:rFonts w:hint="eastAsia"/>
        </w:rPr>
      </w:pPr>
    </w:p>
    <w:p w14:paraId="55B2AB49" w14:textId="77777777" w:rsidR="00200F62" w:rsidRDefault="00843888">
      <w:pPr>
        <w:pStyle w:val="TreA"/>
        <w:rPr>
          <w:rFonts w:hint="eastAsia"/>
        </w:rPr>
      </w:pPr>
      <w:r>
        <w:t xml:space="preserve">1. lokalizacja 1 </w:t>
      </w:r>
    </w:p>
    <w:p w14:paraId="4261E636" w14:textId="77777777" w:rsidR="00200F62" w:rsidRDefault="00200F62">
      <w:pPr>
        <w:pStyle w:val="TreA"/>
        <w:rPr>
          <w:rFonts w:hint="eastAsia"/>
        </w:rPr>
      </w:pPr>
    </w:p>
    <w:p w14:paraId="40C98587" w14:textId="77777777" w:rsidR="00200F62" w:rsidRDefault="00843888">
      <w:pPr>
        <w:pStyle w:val="TreA"/>
        <w:numPr>
          <w:ilvl w:val="0"/>
          <w:numId w:val="4"/>
        </w:numPr>
        <w:rPr>
          <w:rFonts w:hint="eastAsia"/>
        </w:rPr>
      </w:pPr>
      <w:r>
        <w:t xml:space="preserve">ilość paneli 164 szt </w:t>
      </w:r>
    </w:p>
    <w:p w14:paraId="0E1452B4" w14:textId="77777777" w:rsidR="00200F62" w:rsidRDefault="00843888">
      <w:pPr>
        <w:pStyle w:val="TreA"/>
        <w:numPr>
          <w:ilvl w:val="0"/>
          <w:numId w:val="4"/>
        </w:numPr>
        <w:rPr>
          <w:rFonts w:hint="eastAsia"/>
        </w:rPr>
      </w:pPr>
      <w:r>
        <w:t>układ paneli cztery w pionie, konstrukcja związana z konstrukcją dachu umożliwiają</w:t>
      </w:r>
      <w:r>
        <w:rPr>
          <w:lang w:val="fr-FR"/>
        </w:rPr>
        <w:t>ca monta</w:t>
      </w:r>
      <w:r>
        <w:t>ż paneli, minimum trzy podporowa o odpowiednim rozstawi krokwi umożliwiającym dostęp do urządzeń do spodniej części paneli. Konstrukcja wykonana ze stali z powłoką cynkową  technologia wkrę</w:t>
      </w:r>
      <w:r>
        <w:rPr>
          <w:lang w:val="en-US"/>
        </w:rPr>
        <w:t>can</w:t>
      </w:r>
      <w:r>
        <w:t xml:space="preserve">ą. </w:t>
      </w:r>
    </w:p>
    <w:p w14:paraId="3CB581E2" w14:textId="7AB01051" w:rsidR="00200F62" w:rsidRDefault="00843888">
      <w:pPr>
        <w:pStyle w:val="TreA"/>
        <w:rPr>
          <w:rFonts w:hint="eastAsia"/>
        </w:rPr>
      </w:pPr>
      <w:r>
        <w:t>Fundamenty wkręcane powinny charakteryzować się n</w:t>
      </w:r>
      <w:r w:rsidR="00001CDD">
        <w:t>a</w:t>
      </w:r>
      <w:r>
        <w:t>st</w:t>
      </w:r>
      <w:r w:rsidR="00001CDD">
        <w:t>ępującymi</w:t>
      </w:r>
      <w:r>
        <w:t xml:space="preserve"> parametrami:</w:t>
      </w:r>
    </w:p>
    <w:p w14:paraId="1A448150"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1. Kompresja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240 kN/jednostka </w:t>
      </w:r>
    </w:p>
    <w:p w14:paraId="5121951B"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2. Tensja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120 kn/jednostka </w:t>
      </w:r>
    </w:p>
    <w:p w14:paraId="10620BBF"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 xml:space="preserve">3. Pozycjonowanie </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+|- 2cm</w:t>
      </w:r>
    </w:p>
    <w:p w14:paraId="1C69572F"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4. Niwelacja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2mm</w:t>
      </w:r>
    </w:p>
    <w:p w14:paraId="104273C7"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6. Osiadanie</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- 12 mm</w:t>
      </w:r>
    </w:p>
    <w:p w14:paraId="25EF17CE" w14:textId="77777777" w:rsidR="00FA4C8B" w:rsidRDefault="00843888" w:rsidP="00FA4C8B">
      <w:pPr>
        <w:pStyle w:val="Domylne"/>
        <w:spacing w:before="0" w:line="240" w:lineRule="auto"/>
        <w:rPr>
          <w:rFonts w:ascii="Helvetica" w:eastAsia="Helvetica" w:hAnsi="Helvetica" w:cs="Helvetica"/>
          <w:sz w:val="22"/>
          <w:szCs w:val="22"/>
        </w:rPr>
      </w:pPr>
      <w:r>
        <w:rPr>
          <w:rFonts w:ascii="Helvetica" w:hAnsi="Helvetica"/>
          <w:sz w:val="22"/>
          <w:szCs w:val="22"/>
        </w:rPr>
        <w:t>7. Żywotność jednostek</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od </w:t>
      </w:r>
      <w:r w:rsidR="00FA4C8B">
        <w:rPr>
          <w:rFonts w:ascii="Helvetica" w:hAnsi="Helvetica"/>
          <w:sz w:val="22"/>
          <w:szCs w:val="22"/>
        </w:rPr>
        <w:t xml:space="preserve">minimum </w:t>
      </w:r>
      <w:r>
        <w:rPr>
          <w:rFonts w:ascii="Helvetica" w:hAnsi="Helvetica"/>
          <w:sz w:val="22"/>
          <w:szCs w:val="22"/>
        </w:rPr>
        <w:t>65 lat</w:t>
      </w:r>
      <w:r w:rsidR="00FA4C8B">
        <w:rPr>
          <w:rFonts w:ascii="Helvetica" w:hAnsi="Helvetica"/>
          <w:sz w:val="22"/>
          <w:szCs w:val="22"/>
        </w:rPr>
        <w:t xml:space="preserve"> (ochrona redukcyjna zgodnie z Eurokod 7)</w:t>
      </w:r>
    </w:p>
    <w:p w14:paraId="60605AA1" w14:textId="62EFD5EF" w:rsidR="00200F62" w:rsidRDefault="00200F62">
      <w:pPr>
        <w:pStyle w:val="Domylne"/>
        <w:spacing w:before="0" w:line="240" w:lineRule="auto"/>
        <w:rPr>
          <w:rFonts w:ascii="Helvetica" w:eastAsia="Helvetica" w:hAnsi="Helvetica" w:cs="Helvetica"/>
          <w:sz w:val="22"/>
          <w:szCs w:val="22"/>
        </w:rPr>
      </w:pPr>
    </w:p>
    <w:p w14:paraId="6B81BB50" w14:textId="77777777" w:rsidR="00200F62" w:rsidRDefault="00200F62">
      <w:pPr>
        <w:pStyle w:val="Domylne"/>
        <w:spacing w:before="0" w:line="240" w:lineRule="auto"/>
        <w:rPr>
          <w:rFonts w:ascii="Helvetica" w:eastAsia="Helvetica" w:hAnsi="Helvetica" w:cs="Helvetica"/>
          <w:sz w:val="22"/>
          <w:szCs w:val="22"/>
        </w:rPr>
      </w:pPr>
    </w:p>
    <w:p w14:paraId="6AFBCA52" w14:textId="6B0E712B" w:rsidR="00200F62" w:rsidRDefault="00843888">
      <w:pPr>
        <w:pStyle w:val="Domylne"/>
        <w:spacing w:before="0" w:line="240" w:lineRule="auto"/>
        <w:rPr>
          <w:rFonts w:ascii="Helvetica" w:eastAsia="Helvetica" w:hAnsi="Helvetica" w:cs="Helvetica"/>
          <w:b/>
          <w:bCs/>
          <w:sz w:val="22"/>
          <w:szCs w:val="22"/>
        </w:rPr>
      </w:pPr>
      <w:r>
        <w:rPr>
          <w:rFonts w:ascii="Helvetica" w:hAnsi="Helvetica"/>
          <w:b/>
          <w:bCs/>
          <w:sz w:val="22"/>
          <w:szCs w:val="22"/>
        </w:rPr>
        <w:t>Wykonawca potwierdzi badaniami dochowanie parametr</w:t>
      </w:r>
      <w:r>
        <w:rPr>
          <w:rFonts w:ascii="Helvetica" w:hAnsi="Helvetica"/>
          <w:b/>
          <w:bCs/>
          <w:sz w:val="22"/>
          <w:szCs w:val="22"/>
          <w:lang w:val="es-ES_tradnl"/>
        </w:rPr>
        <w:t>ó</w:t>
      </w:r>
      <w:r>
        <w:rPr>
          <w:rFonts w:ascii="Helvetica" w:hAnsi="Helvetica"/>
          <w:b/>
          <w:bCs/>
          <w:sz w:val="22"/>
          <w:szCs w:val="22"/>
        </w:rPr>
        <w:t>w</w:t>
      </w:r>
      <w:r w:rsidR="00001CDD">
        <w:rPr>
          <w:rFonts w:ascii="Helvetica" w:hAnsi="Helvetica"/>
          <w:b/>
          <w:bCs/>
          <w:sz w:val="22"/>
          <w:szCs w:val="22"/>
        </w:rPr>
        <w:t xml:space="preserve"> </w:t>
      </w:r>
      <w:r>
        <w:rPr>
          <w:rFonts w:ascii="Helvetica" w:hAnsi="Helvetica"/>
          <w:b/>
          <w:bCs/>
          <w:sz w:val="22"/>
          <w:szCs w:val="22"/>
        </w:rPr>
        <w:t xml:space="preserve">każdorazowo na wezwanie zamawiającego w całym okresie udzielonej gwarancji </w:t>
      </w:r>
    </w:p>
    <w:p w14:paraId="4B37A19C" w14:textId="77777777" w:rsidR="00200F62" w:rsidRDefault="00200F62">
      <w:pPr>
        <w:pStyle w:val="TreA"/>
        <w:rPr>
          <w:rFonts w:hint="eastAsia"/>
        </w:rPr>
      </w:pPr>
    </w:p>
    <w:p w14:paraId="303FC0BA" w14:textId="77777777" w:rsidR="00200F62" w:rsidRDefault="00843888">
      <w:pPr>
        <w:pStyle w:val="TreA"/>
        <w:numPr>
          <w:ilvl w:val="0"/>
          <w:numId w:val="4"/>
        </w:numPr>
        <w:rPr>
          <w:rFonts w:hint="eastAsia"/>
        </w:rPr>
      </w:pPr>
      <w:r>
        <w:t>falowniki 1x30 kW, 1x36 kW</w:t>
      </w:r>
    </w:p>
    <w:p w14:paraId="18D17E5B" w14:textId="77777777" w:rsidR="00200F62" w:rsidRDefault="00200F62">
      <w:pPr>
        <w:pStyle w:val="TreA"/>
        <w:rPr>
          <w:rFonts w:hint="eastAsia"/>
        </w:rPr>
      </w:pPr>
    </w:p>
    <w:p w14:paraId="37E93A48" w14:textId="77777777" w:rsidR="00200F62" w:rsidRDefault="00200F62">
      <w:pPr>
        <w:pStyle w:val="TreA"/>
        <w:rPr>
          <w:rFonts w:hint="eastAsia"/>
        </w:rPr>
      </w:pPr>
    </w:p>
    <w:p w14:paraId="096DB21A" w14:textId="77777777" w:rsidR="00200F62" w:rsidRDefault="00843888">
      <w:pPr>
        <w:pStyle w:val="TreA"/>
        <w:rPr>
          <w:rFonts w:hint="eastAsia"/>
        </w:rPr>
      </w:pPr>
      <w:r>
        <w:t xml:space="preserve">2. lokalizacja 4 </w:t>
      </w:r>
    </w:p>
    <w:p w14:paraId="50565008" w14:textId="77777777" w:rsidR="00200F62" w:rsidRDefault="00200F62">
      <w:pPr>
        <w:pStyle w:val="TreA"/>
        <w:rPr>
          <w:rFonts w:hint="eastAsia"/>
        </w:rPr>
      </w:pPr>
    </w:p>
    <w:p w14:paraId="1A4932C7" w14:textId="77777777" w:rsidR="00200F62" w:rsidRDefault="00843888">
      <w:pPr>
        <w:pStyle w:val="TreA"/>
        <w:numPr>
          <w:ilvl w:val="0"/>
          <w:numId w:val="4"/>
        </w:numPr>
        <w:rPr>
          <w:rFonts w:hint="eastAsia"/>
        </w:rPr>
      </w:pPr>
      <w:r>
        <w:t xml:space="preserve">ilość paneli 208 szt </w:t>
      </w:r>
    </w:p>
    <w:p w14:paraId="052DB70A" w14:textId="77777777" w:rsidR="00200F62" w:rsidRDefault="00843888">
      <w:pPr>
        <w:pStyle w:val="TreA"/>
        <w:numPr>
          <w:ilvl w:val="0"/>
          <w:numId w:val="4"/>
        </w:numPr>
        <w:rPr>
          <w:rFonts w:hint="eastAsia"/>
        </w:rPr>
      </w:pPr>
      <w:r>
        <w:t>układ paneli cztery w pionie, konstrukcja związana z konstrukcją dachu umożliwiają</w:t>
      </w:r>
      <w:r>
        <w:rPr>
          <w:lang w:val="fr-FR"/>
        </w:rPr>
        <w:t>ca monta</w:t>
      </w:r>
      <w:r>
        <w:t>ż paneli, minimum trzy podporowa o odpowiednim rozstawi krokwi umożliwiającym dostęp do urządzeń do spodniej części paneli. Konstrukcja wykonana ze stali z powłoką cynkową  technologia wkrę</w:t>
      </w:r>
      <w:r>
        <w:rPr>
          <w:lang w:val="en-US"/>
        </w:rPr>
        <w:t>can</w:t>
      </w:r>
      <w:r>
        <w:t xml:space="preserve">ą. </w:t>
      </w:r>
    </w:p>
    <w:p w14:paraId="45D3BDB2" w14:textId="201D0732" w:rsidR="00200F62" w:rsidRDefault="00843888">
      <w:pPr>
        <w:pStyle w:val="TreA"/>
        <w:rPr>
          <w:rFonts w:hint="eastAsia"/>
        </w:rPr>
      </w:pPr>
      <w:r>
        <w:t>Fundamenty wkręcane powinny charakteryzować się n</w:t>
      </w:r>
      <w:r w:rsidR="005A7337">
        <w:t>astępującymi</w:t>
      </w:r>
      <w:r>
        <w:t xml:space="preserve"> parametrami:</w:t>
      </w:r>
    </w:p>
    <w:p w14:paraId="67211EF1"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1. Kompresja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240 kN/jednostka </w:t>
      </w:r>
    </w:p>
    <w:p w14:paraId="7CACF61D"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2. Tensja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max. 120 kn/jednostka </w:t>
      </w:r>
    </w:p>
    <w:p w14:paraId="126AAC53"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 xml:space="preserve">3. Pozycjonowanie </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+|- 2cm</w:t>
      </w:r>
    </w:p>
    <w:p w14:paraId="2161B44F"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4. Niwelacja</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 2mm</w:t>
      </w:r>
    </w:p>
    <w:p w14:paraId="3C4F1177" w14:textId="77777777" w:rsidR="00200F62" w:rsidRDefault="00843888">
      <w:pPr>
        <w:pStyle w:val="Domylne"/>
        <w:spacing w:before="0" w:line="240" w:lineRule="auto"/>
        <w:rPr>
          <w:rFonts w:ascii="Helvetica" w:eastAsia="Helvetica" w:hAnsi="Helvetica" w:cs="Helvetica"/>
          <w:sz w:val="22"/>
          <w:szCs w:val="22"/>
        </w:rPr>
      </w:pPr>
      <w:r>
        <w:rPr>
          <w:rFonts w:ascii="Helvetica" w:hAnsi="Helvetica"/>
          <w:sz w:val="22"/>
          <w:szCs w:val="22"/>
        </w:rPr>
        <w:t>6. Osiadanie</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- 12 mm</w:t>
      </w:r>
    </w:p>
    <w:p w14:paraId="688639A3" w14:textId="5758363D" w:rsidR="00FA4C8B" w:rsidRDefault="00843888" w:rsidP="00FA4C8B">
      <w:pPr>
        <w:pStyle w:val="Domylne"/>
        <w:spacing w:before="0" w:line="240" w:lineRule="auto"/>
        <w:rPr>
          <w:rFonts w:ascii="Helvetica" w:eastAsia="Helvetica" w:hAnsi="Helvetica" w:cs="Helvetica"/>
          <w:sz w:val="22"/>
          <w:szCs w:val="22"/>
        </w:rPr>
      </w:pPr>
      <w:r>
        <w:rPr>
          <w:rFonts w:ascii="Helvetica" w:hAnsi="Helvetica"/>
          <w:sz w:val="22"/>
          <w:szCs w:val="22"/>
        </w:rPr>
        <w:t>7. Żywotność jednostek</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 xml:space="preserve">- od </w:t>
      </w:r>
      <w:r w:rsidR="00FA4C8B">
        <w:rPr>
          <w:rFonts w:ascii="Helvetica" w:hAnsi="Helvetica"/>
          <w:sz w:val="22"/>
          <w:szCs w:val="22"/>
        </w:rPr>
        <w:t>minimum 65 lat (ochrona redukcyjna zgodnie z Eurokod 7)</w:t>
      </w:r>
    </w:p>
    <w:p w14:paraId="405DE91B" w14:textId="6070F57A" w:rsidR="00200F62" w:rsidRDefault="00200F62">
      <w:pPr>
        <w:pStyle w:val="Domylne"/>
        <w:spacing w:before="0" w:line="240" w:lineRule="auto"/>
        <w:rPr>
          <w:rFonts w:ascii="Helvetica" w:eastAsia="Helvetica" w:hAnsi="Helvetica" w:cs="Helvetica"/>
          <w:sz w:val="22"/>
          <w:szCs w:val="22"/>
        </w:rPr>
      </w:pPr>
    </w:p>
    <w:p w14:paraId="6DC499B5" w14:textId="77777777" w:rsidR="00200F62" w:rsidRDefault="00200F62">
      <w:pPr>
        <w:pStyle w:val="Domylne"/>
        <w:spacing w:before="0" w:line="240" w:lineRule="auto"/>
        <w:rPr>
          <w:rFonts w:ascii="Helvetica" w:eastAsia="Helvetica" w:hAnsi="Helvetica" w:cs="Helvetica"/>
          <w:sz w:val="22"/>
          <w:szCs w:val="22"/>
        </w:rPr>
      </w:pPr>
    </w:p>
    <w:p w14:paraId="2A4999FC" w14:textId="77777777" w:rsidR="00200F62" w:rsidRDefault="00843888">
      <w:pPr>
        <w:pStyle w:val="Domylne"/>
        <w:spacing w:before="0" w:line="240" w:lineRule="auto"/>
        <w:rPr>
          <w:rFonts w:ascii="Helvetica" w:eastAsia="Helvetica" w:hAnsi="Helvetica" w:cs="Helvetica"/>
          <w:b/>
          <w:bCs/>
          <w:sz w:val="22"/>
          <w:szCs w:val="22"/>
        </w:rPr>
      </w:pPr>
      <w:r>
        <w:rPr>
          <w:rFonts w:ascii="Helvetica" w:hAnsi="Helvetica"/>
          <w:b/>
          <w:bCs/>
          <w:sz w:val="22"/>
          <w:szCs w:val="22"/>
        </w:rPr>
        <w:t>Wykonawca potwierdzi badaniami dochowanie parametr</w:t>
      </w:r>
      <w:r>
        <w:rPr>
          <w:rFonts w:ascii="Helvetica" w:hAnsi="Helvetica"/>
          <w:b/>
          <w:bCs/>
          <w:sz w:val="22"/>
          <w:szCs w:val="22"/>
          <w:lang w:val="es-ES_tradnl"/>
        </w:rPr>
        <w:t>ó</w:t>
      </w:r>
      <w:r>
        <w:rPr>
          <w:rFonts w:ascii="Helvetica" w:hAnsi="Helvetica"/>
          <w:b/>
          <w:bCs/>
          <w:sz w:val="22"/>
          <w:szCs w:val="22"/>
        </w:rPr>
        <w:t xml:space="preserve">w na każdorazowo na wezwanie zamawiającego w całym okresie udzielonej gwarancji </w:t>
      </w:r>
    </w:p>
    <w:p w14:paraId="64A51B4E" w14:textId="77777777" w:rsidR="00200F62" w:rsidRDefault="00200F62">
      <w:pPr>
        <w:pStyle w:val="Domylne"/>
        <w:spacing w:before="0" w:line="240" w:lineRule="auto"/>
        <w:rPr>
          <w:rFonts w:ascii="Helvetica" w:eastAsia="Helvetica" w:hAnsi="Helvetica" w:cs="Helvetica"/>
          <w:sz w:val="22"/>
          <w:szCs w:val="22"/>
        </w:rPr>
      </w:pPr>
    </w:p>
    <w:p w14:paraId="2D157978" w14:textId="77777777" w:rsidR="00200F62" w:rsidRDefault="00843888">
      <w:pPr>
        <w:pStyle w:val="TreA"/>
        <w:numPr>
          <w:ilvl w:val="0"/>
          <w:numId w:val="4"/>
        </w:numPr>
        <w:rPr>
          <w:rFonts w:hint="eastAsia"/>
        </w:rPr>
      </w:pPr>
      <w:r>
        <w:t>falowniki 1x50 kW, 1x36 kW</w:t>
      </w:r>
    </w:p>
    <w:p w14:paraId="2BE1CD48" w14:textId="77777777" w:rsidR="00200F62" w:rsidRDefault="00200F62">
      <w:pPr>
        <w:pStyle w:val="TreA"/>
        <w:rPr>
          <w:rFonts w:hint="eastAsia"/>
        </w:rPr>
      </w:pPr>
    </w:p>
    <w:p w14:paraId="108D1116" w14:textId="77777777" w:rsidR="00200F62" w:rsidRDefault="00843888">
      <w:pPr>
        <w:pStyle w:val="TreA"/>
        <w:rPr>
          <w:rFonts w:hint="eastAsia"/>
        </w:rPr>
      </w:pPr>
      <w:r>
        <w:t xml:space="preserve">3. lokalizacja 7 </w:t>
      </w:r>
    </w:p>
    <w:p w14:paraId="0ED528E0" w14:textId="77777777" w:rsidR="00200F62" w:rsidRDefault="00200F62">
      <w:pPr>
        <w:pStyle w:val="TreA"/>
        <w:rPr>
          <w:rFonts w:hint="eastAsia"/>
        </w:rPr>
      </w:pPr>
    </w:p>
    <w:p w14:paraId="228DCF7A" w14:textId="77777777" w:rsidR="00200F62" w:rsidRDefault="00843888">
      <w:pPr>
        <w:pStyle w:val="TreA"/>
        <w:numPr>
          <w:ilvl w:val="0"/>
          <w:numId w:val="4"/>
        </w:numPr>
        <w:rPr>
          <w:rFonts w:hint="eastAsia"/>
        </w:rPr>
      </w:pPr>
      <w:r>
        <w:t xml:space="preserve">ilość paneli 449 szt </w:t>
      </w:r>
    </w:p>
    <w:p w14:paraId="53ADD036" w14:textId="0F4D7866" w:rsidR="00200F62" w:rsidRDefault="00843888" w:rsidP="00FA4C8B">
      <w:pPr>
        <w:pStyle w:val="TreA"/>
        <w:numPr>
          <w:ilvl w:val="0"/>
          <w:numId w:val="4"/>
        </w:numPr>
        <w:rPr>
          <w:rFonts w:hint="eastAsia"/>
        </w:rPr>
      </w:pPr>
      <w:r>
        <w:t xml:space="preserve">konstrukcja składająca się z odpowiednio dobranych płatwi pokrytych blachą trapezową posadowiona na konstrukcji obiektu budowlanego oraz dedykowanymi elementami do mocowania paneli fotowoltaicznych. Podkonstrukcja wykonana ze stali </w:t>
      </w:r>
      <w:r w:rsidRPr="00FA4C8B">
        <w:rPr>
          <w:color w:val="FF2600"/>
        </w:rPr>
        <w:t xml:space="preserve"> </w:t>
      </w:r>
      <w:r>
        <w:t xml:space="preserve"> z powłoką cynkową. Bac</w:t>
      </w:r>
      <w:r w:rsidR="00FA4C8B">
        <w:t>ha trapezowa o grubości minimum 0,7 mm</w:t>
      </w:r>
    </w:p>
    <w:p w14:paraId="4E1982F4" w14:textId="77777777" w:rsidR="00200F62" w:rsidRDefault="00200F62">
      <w:pPr>
        <w:pStyle w:val="TreA"/>
        <w:rPr>
          <w:rFonts w:hint="eastAsia"/>
        </w:rPr>
      </w:pPr>
    </w:p>
    <w:p w14:paraId="43C1B497" w14:textId="77777777" w:rsidR="00200F62" w:rsidRDefault="00843888">
      <w:pPr>
        <w:pStyle w:val="TreA"/>
        <w:numPr>
          <w:ilvl w:val="0"/>
          <w:numId w:val="4"/>
        </w:numPr>
        <w:rPr>
          <w:rFonts w:hint="eastAsia"/>
        </w:rPr>
      </w:pPr>
      <w:r>
        <w:t>falowniki 3x50 kW, 1x36 kW</w:t>
      </w:r>
    </w:p>
    <w:p w14:paraId="0BEDE59A" w14:textId="77777777" w:rsidR="00200F62" w:rsidRDefault="00200F62">
      <w:pPr>
        <w:pStyle w:val="TreA"/>
        <w:rPr>
          <w:rFonts w:hint="eastAsia"/>
          <w:b/>
          <w:bCs/>
          <w:sz w:val="28"/>
          <w:szCs w:val="28"/>
        </w:rPr>
      </w:pPr>
    </w:p>
    <w:p w14:paraId="408DF473" w14:textId="77777777" w:rsidR="00200F62" w:rsidRDefault="00843888">
      <w:pPr>
        <w:pStyle w:val="TreA"/>
        <w:rPr>
          <w:rFonts w:hint="eastAsia"/>
          <w:b/>
          <w:bCs/>
          <w:sz w:val="28"/>
          <w:szCs w:val="28"/>
        </w:rPr>
      </w:pPr>
      <w:r>
        <w:rPr>
          <w:b/>
          <w:bCs/>
          <w:sz w:val="28"/>
          <w:szCs w:val="28"/>
        </w:rPr>
        <w:t xml:space="preserve">Instalacje gruntowe </w:t>
      </w:r>
    </w:p>
    <w:p w14:paraId="20E7BFC3" w14:textId="77777777" w:rsidR="00200F62" w:rsidRDefault="00200F62">
      <w:pPr>
        <w:pStyle w:val="TreA"/>
        <w:rPr>
          <w:rFonts w:hint="eastAsia"/>
          <w:b/>
          <w:bCs/>
          <w:sz w:val="28"/>
          <w:szCs w:val="28"/>
        </w:rPr>
      </w:pPr>
    </w:p>
    <w:p w14:paraId="75B46976" w14:textId="77777777" w:rsidR="00200F62" w:rsidRDefault="00200F62">
      <w:pPr>
        <w:pStyle w:val="TreA"/>
        <w:rPr>
          <w:rFonts w:hint="eastAsia"/>
          <w:b/>
          <w:bCs/>
          <w:sz w:val="28"/>
          <w:szCs w:val="28"/>
        </w:rPr>
      </w:pPr>
    </w:p>
    <w:p w14:paraId="253EDAF7" w14:textId="77777777" w:rsidR="00200F62" w:rsidRDefault="00843888">
      <w:pPr>
        <w:pStyle w:val="TreA"/>
        <w:rPr>
          <w:rFonts w:hint="eastAsia"/>
        </w:rPr>
      </w:pPr>
      <w:r>
        <w:t>1. lokalizacja 3</w:t>
      </w:r>
    </w:p>
    <w:p w14:paraId="7762FC63" w14:textId="77777777" w:rsidR="00200F62" w:rsidRDefault="00200F62">
      <w:pPr>
        <w:pStyle w:val="TreA"/>
        <w:rPr>
          <w:rFonts w:hint="eastAsia"/>
        </w:rPr>
      </w:pPr>
    </w:p>
    <w:p w14:paraId="2B7946D2" w14:textId="77777777" w:rsidR="00200F62" w:rsidRDefault="00843888">
      <w:pPr>
        <w:pStyle w:val="TreA"/>
        <w:numPr>
          <w:ilvl w:val="0"/>
          <w:numId w:val="4"/>
        </w:numPr>
        <w:rPr>
          <w:rFonts w:hint="eastAsia"/>
        </w:rPr>
      </w:pPr>
      <w:r>
        <w:t xml:space="preserve">ilość paneli 184 szt </w:t>
      </w:r>
    </w:p>
    <w:p w14:paraId="669EACA5" w14:textId="77777777" w:rsidR="00200F62" w:rsidRDefault="00843888">
      <w:pPr>
        <w:pStyle w:val="TreA"/>
        <w:numPr>
          <w:ilvl w:val="0"/>
          <w:numId w:val="4"/>
        </w:numPr>
        <w:rPr>
          <w:rFonts w:hint="eastAsia"/>
        </w:rPr>
      </w:pPr>
      <w:r>
        <w:t>układ paneli cztery w pionie południe , Konstrukcja dedykowana wykonana ze stali z powłoką ZM310 z gwarancją do 25 lat mocowana technologią wbijaną. Przed wykoniem konstrukcji należy wykonać pr</w:t>
      </w:r>
      <w:r>
        <w:rPr>
          <w:lang w:val="es-ES_tradnl"/>
        </w:rPr>
        <w:t>ó</w:t>
      </w:r>
      <w:r>
        <w:t xml:space="preserve">by na wyrywanie  </w:t>
      </w:r>
    </w:p>
    <w:p w14:paraId="70522548" w14:textId="77777777" w:rsidR="00200F62" w:rsidRDefault="00843888">
      <w:pPr>
        <w:pStyle w:val="TreA"/>
        <w:numPr>
          <w:ilvl w:val="0"/>
          <w:numId w:val="4"/>
        </w:numPr>
        <w:rPr>
          <w:rFonts w:hint="eastAsia"/>
        </w:rPr>
      </w:pPr>
      <w:r>
        <w:t>falowniki 2x50 kW,</w:t>
      </w:r>
    </w:p>
    <w:p w14:paraId="1A6D3837" w14:textId="77777777" w:rsidR="00200F62" w:rsidRDefault="00200F62">
      <w:pPr>
        <w:pStyle w:val="TreA"/>
        <w:rPr>
          <w:rFonts w:hint="eastAsia"/>
        </w:rPr>
      </w:pPr>
    </w:p>
    <w:p w14:paraId="6B124F99" w14:textId="77777777" w:rsidR="00200F62" w:rsidRDefault="00843888">
      <w:pPr>
        <w:pStyle w:val="TreA"/>
        <w:rPr>
          <w:rFonts w:hint="eastAsia"/>
        </w:rPr>
      </w:pPr>
      <w:r>
        <w:t xml:space="preserve">2. lokalizacja 14 </w:t>
      </w:r>
    </w:p>
    <w:p w14:paraId="38849492" w14:textId="77777777" w:rsidR="00200F62" w:rsidRDefault="00200F62">
      <w:pPr>
        <w:pStyle w:val="TreA"/>
        <w:rPr>
          <w:rFonts w:hint="eastAsia"/>
        </w:rPr>
      </w:pPr>
    </w:p>
    <w:p w14:paraId="514485C5" w14:textId="77777777" w:rsidR="00200F62" w:rsidRDefault="00843888">
      <w:pPr>
        <w:pStyle w:val="TreA"/>
        <w:numPr>
          <w:ilvl w:val="0"/>
          <w:numId w:val="4"/>
        </w:numPr>
        <w:rPr>
          <w:rFonts w:hint="eastAsia"/>
        </w:rPr>
      </w:pPr>
      <w:r>
        <w:t xml:space="preserve">ilość paneli 1272 szt </w:t>
      </w:r>
    </w:p>
    <w:p w14:paraId="4CCCC383" w14:textId="77777777" w:rsidR="00200F62" w:rsidRDefault="00843888">
      <w:pPr>
        <w:pStyle w:val="TreA"/>
        <w:numPr>
          <w:ilvl w:val="0"/>
          <w:numId w:val="4"/>
        </w:numPr>
        <w:rPr>
          <w:rFonts w:hint="eastAsia"/>
        </w:rPr>
      </w:pPr>
      <w:r>
        <w:t xml:space="preserve">układ paneli cztery w pionie wsch-zach, Konstrukcja dedykowana wykonana ze stali z powłoką ZM310 z gwarancją do 25 lat  </w:t>
      </w:r>
    </w:p>
    <w:p w14:paraId="66755679" w14:textId="77777777" w:rsidR="00200F62" w:rsidRDefault="00843888">
      <w:pPr>
        <w:pStyle w:val="TreA"/>
        <w:numPr>
          <w:ilvl w:val="0"/>
          <w:numId w:val="4"/>
        </w:numPr>
        <w:rPr>
          <w:rFonts w:hint="eastAsia"/>
        </w:rPr>
      </w:pPr>
      <w:r>
        <w:t>falowniki 4x115 kW,</w:t>
      </w:r>
    </w:p>
    <w:p w14:paraId="3E8350A6" w14:textId="77777777" w:rsidR="00200F62" w:rsidRDefault="00200F62">
      <w:pPr>
        <w:pStyle w:val="TreA"/>
        <w:rPr>
          <w:rFonts w:hint="eastAsia"/>
        </w:rPr>
      </w:pPr>
    </w:p>
    <w:p w14:paraId="4EB9D156" w14:textId="77777777" w:rsidR="00200F62" w:rsidRDefault="00200F62">
      <w:pPr>
        <w:pStyle w:val="TreA"/>
        <w:rPr>
          <w:rFonts w:hint="eastAsia"/>
        </w:rPr>
      </w:pPr>
    </w:p>
    <w:p w14:paraId="49A0B2B3" w14:textId="77777777" w:rsidR="00200F62" w:rsidRDefault="00843888">
      <w:pPr>
        <w:pStyle w:val="TreA"/>
        <w:rPr>
          <w:rFonts w:hint="eastAsia"/>
          <w:b/>
          <w:bCs/>
          <w:sz w:val="24"/>
          <w:szCs w:val="24"/>
        </w:rPr>
      </w:pPr>
      <w:r>
        <w:rPr>
          <w:b/>
          <w:bCs/>
          <w:sz w:val="24"/>
          <w:szCs w:val="24"/>
        </w:rPr>
        <w:t xml:space="preserve">Połączenie instalacji fotowoltaicznych z siecią nN obiektu. </w:t>
      </w:r>
    </w:p>
    <w:p w14:paraId="34F44A6E" w14:textId="77777777" w:rsidR="00200F62" w:rsidRDefault="00200F62">
      <w:pPr>
        <w:pStyle w:val="TreA"/>
        <w:rPr>
          <w:rFonts w:hint="eastAsia"/>
        </w:rPr>
      </w:pPr>
    </w:p>
    <w:p w14:paraId="1AD829CA" w14:textId="77777777" w:rsidR="00200F62" w:rsidRDefault="00200F62">
      <w:pPr>
        <w:pStyle w:val="TreA"/>
        <w:rPr>
          <w:rFonts w:hint="eastAsia"/>
        </w:rPr>
      </w:pPr>
    </w:p>
    <w:p w14:paraId="71C7FD53" w14:textId="77777777" w:rsidR="00200F62" w:rsidRDefault="00843888">
      <w:pPr>
        <w:pStyle w:val="TreA"/>
        <w:rPr>
          <w:rFonts w:hint="eastAsia"/>
        </w:rPr>
      </w:pPr>
      <w:r>
        <w:t>Instalacja przyłączona zostanie do sieci obiektu przez dedykowaną rozdzielnie nN</w:t>
      </w:r>
    </w:p>
    <w:p w14:paraId="204E5C47" w14:textId="77777777" w:rsidR="00200F62" w:rsidRDefault="00200F62">
      <w:pPr>
        <w:pStyle w:val="TreA"/>
        <w:rPr>
          <w:rFonts w:hint="eastAsia"/>
        </w:rPr>
      </w:pPr>
    </w:p>
    <w:p w14:paraId="7936E4D5" w14:textId="55373EEC" w:rsidR="00200F62" w:rsidRDefault="00843888">
      <w:pPr>
        <w:pStyle w:val="TreA"/>
        <w:rPr>
          <w:rFonts w:hint="eastAsia"/>
        </w:rPr>
      </w:pPr>
      <w:r>
        <w:t xml:space="preserve">Należy zapewnić pomiary i transmisję </w:t>
      </w:r>
      <w:r>
        <w:rPr>
          <w:lang w:val="es-ES_tradnl"/>
        </w:rPr>
        <w:t xml:space="preserve">do </w:t>
      </w:r>
      <w:r>
        <w:t>Energa Operator danych mierzonych po stronie</w:t>
      </w:r>
    </w:p>
    <w:p w14:paraId="49F5C5CD"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średnich napięć zgodnie z wymogami NC RfG i IRiESD w zakresie nieobjętym zapisami NC RfG. Należy zapewnić wyposażenie źr</w:t>
      </w:r>
      <w:r>
        <w:rPr>
          <w:rFonts w:ascii="Arial" w:hAnsi="Arial"/>
          <w:sz w:val="22"/>
          <w:szCs w:val="22"/>
          <w:lang w:val="es-ES_tradnl"/>
        </w:rPr>
        <w:t>ó</w:t>
      </w:r>
      <w:r>
        <w:rPr>
          <w:rFonts w:ascii="Arial" w:hAnsi="Arial"/>
          <w:sz w:val="22"/>
          <w:szCs w:val="22"/>
        </w:rPr>
        <w:t>dła wytw</w:t>
      </w:r>
      <w:r>
        <w:rPr>
          <w:rFonts w:ascii="Arial" w:hAnsi="Arial"/>
          <w:sz w:val="22"/>
          <w:szCs w:val="22"/>
          <w:lang w:val="es-ES_tradnl"/>
        </w:rPr>
        <w:t>ó</w:t>
      </w:r>
      <w:r>
        <w:rPr>
          <w:rFonts w:ascii="Arial" w:hAnsi="Arial"/>
          <w:sz w:val="22"/>
          <w:szCs w:val="22"/>
        </w:rPr>
        <w:t>rczego w urządzenia telemechaniki i telekomunikacji, systemy oraz łącza wraz z parametryzowaniem niezbędne do realizacji łączności i przesyłu danych on-line o stanie źr</w:t>
      </w:r>
      <w:r>
        <w:rPr>
          <w:rFonts w:ascii="Arial" w:hAnsi="Arial"/>
          <w:sz w:val="22"/>
          <w:szCs w:val="22"/>
          <w:lang w:val="es-ES_tradnl"/>
        </w:rPr>
        <w:t>ó</w:t>
      </w:r>
      <w:r>
        <w:rPr>
          <w:rFonts w:ascii="Arial" w:hAnsi="Arial"/>
          <w:sz w:val="22"/>
          <w:szCs w:val="22"/>
        </w:rPr>
        <w:t>dła wytw</w:t>
      </w:r>
      <w:r>
        <w:rPr>
          <w:rFonts w:ascii="Arial" w:hAnsi="Arial"/>
          <w:sz w:val="22"/>
          <w:szCs w:val="22"/>
          <w:lang w:val="es-ES_tradnl"/>
        </w:rPr>
        <w:t>ó</w:t>
      </w:r>
      <w:r>
        <w:rPr>
          <w:rFonts w:ascii="Arial" w:hAnsi="Arial"/>
          <w:sz w:val="22"/>
          <w:szCs w:val="22"/>
        </w:rPr>
        <w:t xml:space="preserve">rczego do Systemu SCADA Energa Operator. Celem wymiany danych przewidzieć 2 kanały transmisji. Jako protokół transmisji należy przyjąć standard DNP3. </w:t>
      </w:r>
    </w:p>
    <w:p w14:paraId="74B21E37"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703E0E87"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1.  Wymagany zakres sygnałów, pomiar</w:t>
      </w:r>
      <w:r>
        <w:rPr>
          <w:rFonts w:ascii="Arial" w:hAnsi="Arial"/>
          <w:sz w:val="22"/>
          <w:szCs w:val="22"/>
          <w:lang w:val="es-ES_tradnl"/>
        </w:rPr>
        <w:t>ó</w:t>
      </w:r>
      <w:r>
        <w:rPr>
          <w:rFonts w:ascii="Arial" w:hAnsi="Arial"/>
          <w:sz w:val="22"/>
          <w:szCs w:val="22"/>
        </w:rPr>
        <w:t>w i sterowań telemechaniki obiektowej:</w:t>
      </w:r>
    </w:p>
    <w:p w14:paraId="17C0364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Sygnalizacja łącznik</w:t>
      </w:r>
      <w:r>
        <w:rPr>
          <w:rFonts w:ascii="Arial" w:hAnsi="Arial"/>
          <w:sz w:val="22"/>
          <w:szCs w:val="22"/>
          <w:lang w:val="es-ES_tradnl"/>
        </w:rPr>
        <w:t>ó</w:t>
      </w:r>
      <w:r>
        <w:rPr>
          <w:rFonts w:ascii="Arial" w:hAnsi="Arial"/>
          <w:sz w:val="22"/>
          <w:szCs w:val="22"/>
        </w:rPr>
        <w:t>w:</w:t>
      </w:r>
    </w:p>
    <w:p w14:paraId="43EEDE31"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a) łączniki po stronie średniego napię</w:t>
      </w:r>
      <w:r w:rsidRPr="00843888">
        <w:rPr>
          <w:rFonts w:ascii="Arial" w:hAnsi="Arial"/>
          <w:sz w:val="22"/>
          <w:szCs w:val="22"/>
        </w:rPr>
        <w:t xml:space="preserve">cia </w:t>
      </w:r>
      <w:r>
        <w:rPr>
          <w:rFonts w:ascii="Arial" w:hAnsi="Arial"/>
          <w:sz w:val="22"/>
          <w:szCs w:val="22"/>
        </w:rPr>
        <w:t>– dwubitowo,</w:t>
      </w:r>
    </w:p>
    <w:p w14:paraId="3DCED19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b) łączniki po stronie niskiego napię</w:t>
      </w:r>
      <w:r w:rsidRPr="00843888">
        <w:rPr>
          <w:rFonts w:ascii="Arial" w:hAnsi="Arial"/>
          <w:sz w:val="22"/>
          <w:szCs w:val="22"/>
        </w:rPr>
        <w:t xml:space="preserve">cia </w:t>
      </w:r>
      <w:r>
        <w:rPr>
          <w:rFonts w:ascii="Arial" w:hAnsi="Arial"/>
          <w:sz w:val="22"/>
          <w:szCs w:val="22"/>
        </w:rPr>
        <w:t>– dwubitowo – w przypadku</w:t>
      </w:r>
    </w:p>
    <w:p w14:paraId="424AAABA"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sterowania ze strony ENEA Operator wyłączaniem generacji po stronie nN.</w:t>
      </w:r>
    </w:p>
    <w:p w14:paraId="04B63162"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5C9132B3"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2. Stan automatyk:</w:t>
      </w:r>
    </w:p>
    <w:p w14:paraId="4952DC69"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a) tryb sterowania automatyk – zdalne / lokalne,</w:t>
      </w:r>
    </w:p>
    <w:p w14:paraId="0ADE8AC1"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b) tryb regulacji P – zdalne / lokalne,</w:t>
      </w:r>
    </w:p>
    <w:p w14:paraId="167DC317"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 tryb regulacji Q – obejmuje parametry Q, U, cos φ – zdalne / lokalne.</w:t>
      </w:r>
    </w:p>
    <w:p w14:paraId="71B20CF0"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56A74D3F"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3. Sygnalizacja ostrzeżeń skutkujących wyłączeniem p</w:t>
      </w:r>
      <w:r>
        <w:rPr>
          <w:rFonts w:ascii="Arial" w:hAnsi="Arial"/>
          <w:sz w:val="22"/>
          <w:szCs w:val="22"/>
          <w:lang w:val="es-ES_tradnl"/>
        </w:rPr>
        <w:t>ó</w:t>
      </w:r>
      <w:r>
        <w:rPr>
          <w:rFonts w:ascii="Arial" w:hAnsi="Arial"/>
          <w:sz w:val="22"/>
          <w:szCs w:val="22"/>
          <w:lang w:val="pt-PT"/>
        </w:rPr>
        <w:t>l.</w:t>
      </w:r>
    </w:p>
    <w:p w14:paraId="6B4B3FAD"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40D6CF3A"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4. Pomiary:</w:t>
      </w:r>
    </w:p>
    <w:p w14:paraId="0BD8B5D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a) elektryczne (moc czynna, bierna, prądy, napię</w:t>
      </w:r>
      <w:r w:rsidRPr="00843888">
        <w:rPr>
          <w:rFonts w:ascii="Arial" w:hAnsi="Arial"/>
          <w:sz w:val="22"/>
          <w:szCs w:val="22"/>
        </w:rPr>
        <w:t>cia mi</w:t>
      </w:r>
      <w:r>
        <w:rPr>
          <w:rFonts w:ascii="Arial" w:hAnsi="Arial"/>
          <w:sz w:val="22"/>
          <w:szCs w:val="22"/>
        </w:rPr>
        <w:t>ędzyfazowe,</w:t>
      </w:r>
    </w:p>
    <w:p w14:paraId="13C3F349"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fazowe, cos φ, częstotliwość):</w:t>
      </w:r>
    </w:p>
    <w:p w14:paraId="5F59019F"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 dla poszczeg</w:t>
      </w:r>
      <w:r>
        <w:rPr>
          <w:rFonts w:ascii="Arial" w:hAnsi="Arial"/>
          <w:sz w:val="22"/>
          <w:szCs w:val="22"/>
          <w:lang w:val="es-ES_tradnl"/>
        </w:rPr>
        <w:t>ó</w:t>
      </w:r>
      <w:r>
        <w:rPr>
          <w:rFonts w:ascii="Arial" w:hAnsi="Arial"/>
          <w:sz w:val="22"/>
          <w:szCs w:val="22"/>
        </w:rPr>
        <w:t>lnych MWE do kt</w:t>
      </w:r>
      <w:r>
        <w:rPr>
          <w:rFonts w:ascii="Arial" w:hAnsi="Arial"/>
          <w:sz w:val="22"/>
          <w:szCs w:val="22"/>
          <w:lang w:val="es-ES_tradnl"/>
        </w:rPr>
        <w:t>ó</w:t>
      </w:r>
      <w:r>
        <w:rPr>
          <w:rFonts w:ascii="Arial" w:hAnsi="Arial"/>
          <w:sz w:val="22"/>
          <w:szCs w:val="22"/>
        </w:rPr>
        <w:t>rych są przyłączone falowniki,</w:t>
      </w:r>
    </w:p>
    <w:p w14:paraId="74A02340"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sz w:val="20"/>
          <w:szCs w:val="20"/>
        </w:rPr>
      </w:pPr>
      <w:r>
        <w:rPr>
          <w:rFonts w:ascii="Arial" w:hAnsi="Arial"/>
          <w:sz w:val="22"/>
          <w:szCs w:val="22"/>
        </w:rPr>
        <w:t>ii. w polu wyprowadzającym moc</w:t>
      </w:r>
    </w:p>
    <w:p w14:paraId="3E753D1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iii. moc czynna nastawiona – procentowo,</w:t>
      </w:r>
    </w:p>
    <w:p w14:paraId="32B4A7E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iv. moc bierna nastawiona – bezwzględna,</w:t>
      </w:r>
    </w:p>
    <w:p w14:paraId="5799B330"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lastRenderedPageBreak/>
        <w:t>b) nieelektryczne:</w:t>
      </w:r>
    </w:p>
    <w:p w14:paraId="3E7C1EB7"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sidRPr="00843888">
        <w:rPr>
          <w:rFonts w:ascii="Arial" w:hAnsi="Arial"/>
          <w:sz w:val="22"/>
          <w:szCs w:val="22"/>
        </w:rPr>
        <w:t>i. temperatura,</w:t>
      </w:r>
    </w:p>
    <w:p w14:paraId="3AB329FF"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ii. nasłonecznienie,</w:t>
      </w:r>
    </w:p>
    <w:p w14:paraId="065EFB79"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iii. liczba falownik</w:t>
      </w:r>
      <w:r>
        <w:rPr>
          <w:rFonts w:ascii="Arial" w:hAnsi="Arial"/>
          <w:sz w:val="22"/>
          <w:szCs w:val="22"/>
          <w:lang w:val="es-ES_tradnl"/>
        </w:rPr>
        <w:t>ó</w:t>
      </w:r>
      <w:r>
        <w:rPr>
          <w:rFonts w:ascii="Arial" w:hAnsi="Arial"/>
          <w:sz w:val="22"/>
          <w:szCs w:val="22"/>
        </w:rPr>
        <w:t>w aktualnie pracujących,</w:t>
      </w:r>
    </w:p>
    <w:p w14:paraId="04E210A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iv. liczba falownik</w:t>
      </w:r>
      <w:r>
        <w:rPr>
          <w:rFonts w:ascii="Arial" w:hAnsi="Arial"/>
          <w:sz w:val="22"/>
          <w:szCs w:val="22"/>
          <w:lang w:val="es-ES_tradnl"/>
        </w:rPr>
        <w:t>ó</w:t>
      </w:r>
      <w:r>
        <w:rPr>
          <w:rFonts w:ascii="Arial" w:hAnsi="Arial"/>
          <w:sz w:val="22"/>
          <w:szCs w:val="22"/>
        </w:rPr>
        <w:t>w gotowych do pracy,</w:t>
      </w:r>
    </w:p>
    <w:p w14:paraId="6FA572EA"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v. liczba falownik</w:t>
      </w:r>
      <w:r>
        <w:rPr>
          <w:rFonts w:ascii="Arial" w:hAnsi="Arial"/>
          <w:sz w:val="22"/>
          <w:szCs w:val="22"/>
          <w:lang w:val="es-ES_tradnl"/>
        </w:rPr>
        <w:t>ó</w:t>
      </w:r>
      <w:r>
        <w:rPr>
          <w:rFonts w:ascii="Arial" w:hAnsi="Arial"/>
          <w:sz w:val="22"/>
          <w:szCs w:val="22"/>
        </w:rPr>
        <w:t>w odstawionych,</w:t>
      </w:r>
    </w:p>
    <w:p w14:paraId="3936673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 systemowe:</w:t>
      </w:r>
    </w:p>
    <w:p w14:paraId="77221AD1"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 parametry GPRS,</w:t>
      </w:r>
    </w:p>
    <w:p w14:paraId="726BB77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ii. parametry sterownika (modem) transmisji.</w:t>
      </w:r>
    </w:p>
    <w:p w14:paraId="296A2DAB"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6966C013" w14:textId="37F88A32"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5. Sterowania dwustanowe:</w:t>
      </w:r>
    </w:p>
    <w:p w14:paraId="25E399A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xml:space="preserve">a) sterowanie łącznikiem elektrowni fotowoltaicznej – </w:t>
      </w:r>
      <w:r>
        <w:rPr>
          <w:rFonts w:ascii="Arial" w:hAnsi="Arial"/>
          <w:sz w:val="22"/>
          <w:szCs w:val="22"/>
          <w:lang w:val="en-US"/>
        </w:rPr>
        <w:t>NA WY</w:t>
      </w:r>
      <w:r>
        <w:rPr>
          <w:rFonts w:ascii="Arial" w:hAnsi="Arial"/>
          <w:sz w:val="22"/>
          <w:szCs w:val="22"/>
        </w:rPr>
        <w:t>ŁĄCZ (po</w:t>
      </w:r>
    </w:p>
    <w:p w14:paraId="2789919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średnim lub niskim napię</w:t>
      </w:r>
      <w:r w:rsidRPr="00843888">
        <w:rPr>
          <w:rFonts w:ascii="Arial" w:hAnsi="Arial"/>
          <w:sz w:val="22"/>
          <w:szCs w:val="22"/>
        </w:rPr>
        <w:t xml:space="preserve">ciu) </w:t>
      </w:r>
      <w:r>
        <w:rPr>
          <w:rFonts w:ascii="Arial" w:hAnsi="Arial"/>
          <w:sz w:val="22"/>
          <w:szCs w:val="22"/>
        </w:rPr>
        <w:t>– odstawienie generacji – z zachowaniem</w:t>
      </w:r>
    </w:p>
    <w:p w14:paraId="63A2974E"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zasilania potrzeb własnych;</w:t>
      </w:r>
    </w:p>
    <w:p w14:paraId="6F93828B"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b) wyłączenie / załączenie trybu regulacji: zdalne / lokalne P, Q,</w:t>
      </w:r>
    </w:p>
    <w:p w14:paraId="09040E5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 zatwierdzanie nastaw regulacyjnych.</w:t>
      </w:r>
    </w:p>
    <w:p w14:paraId="7BA65B7E"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3810ECB5"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6. Sterowania analogowe:</w:t>
      </w:r>
    </w:p>
    <w:p w14:paraId="7C55A003"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a) sterowanie mocą czynna,</w:t>
      </w:r>
    </w:p>
    <w:p w14:paraId="7BE87F2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xml:space="preserve">b) sterowania mocą </w:t>
      </w:r>
      <w:r>
        <w:rPr>
          <w:rFonts w:ascii="Arial" w:hAnsi="Arial"/>
          <w:sz w:val="22"/>
          <w:szCs w:val="22"/>
          <w:lang w:val="es-ES_tradnl"/>
        </w:rPr>
        <w:t>biern</w:t>
      </w:r>
      <w:r>
        <w:rPr>
          <w:rFonts w:ascii="Arial" w:hAnsi="Arial"/>
          <w:sz w:val="22"/>
          <w:szCs w:val="22"/>
        </w:rPr>
        <w:t>ą.</w:t>
      </w:r>
    </w:p>
    <w:p w14:paraId="216238DC"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502C0CFD"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7.  Warunki automatycznego przyłączania obiektu do sieci (muszą być speł</w:t>
      </w:r>
      <w:r w:rsidRPr="00843888">
        <w:rPr>
          <w:rFonts w:ascii="Arial" w:hAnsi="Arial"/>
          <w:sz w:val="22"/>
          <w:szCs w:val="22"/>
        </w:rPr>
        <w:t>nione</w:t>
      </w:r>
    </w:p>
    <w:p w14:paraId="44FB212C"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łącznie):</w:t>
      </w:r>
    </w:p>
    <w:p w14:paraId="713477F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częstotliwość napięcia w sieci mieś</w:t>
      </w:r>
      <w:r w:rsidRPr="00843888">
        <w:rPr>
          <w:rFonts w:ascii="Arial" w:hAnsi="Arial"/>
          <w:sz w:val="22"/>
          <w:szCs w:val="22"/>
        </w:rPr>
        <w:t>ci si</w:t>
      </w:r>
      <w:r>
        <w:rPr>
          <w:rFonts w:ascii="Arial" w:hAnsi="Arial"/>
          <w:sz w:val="22"/>
          <w:szCs w:val="22"/>
        </w:rPr>
        <w:t>ę w przedziale od 49,00 Hz do</w:t>
      </w:r>
    </w:p>
    <w:p w14:paraId="04EB168D"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50,05 Hz, oraz</w:t>
      </w:r>
    </w:p>
    <w:p w14:paraId="49CCCE3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zwłoka czasowa (rozumiana jako czas pomiędzy chwilą, w kt</w:t>
      </w:r>
      <w:r>
        <w:rPr>
          <w:rFonts w:ascii="Arial" w:hAnsi="Arial"/>
          <w:sz w:val="22"/>
          <w:szCs w:val="22"/>
          <w:lang w:val="es-ES_tradnl"/>
        </w:rPr>
        <w:t>ó</w:t>
      </w:r>
      <w:r>
        <w:rPr>
          <w:rFonts w:ascii="Arial" w:hAnsi="Arial"/>
          <w:sz w:val="22"/>
          <w:szCs w:val="22"/>
        </w:rPr>
        <w:t>rej wartość</w:t>
      </w:r>
    </w:p>
    <w:p w14:paraId="510F7675"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częstotliwości powraca do przedziału zdefiniowanego powyżej, a momentem</w:t>
      </w:r>
    </w:p>
    <w:p w14:paraId="594050FA"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załączenia obiektu do sieci) - co najmniej 60 sek., oraz</w:t>
      </w:r>
    </w:p>
    <w:p w14:paraId="136F64EF"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Maksymalny dopuszczalny gradient wzrostu generowanej mocy czynnej</w:t>
      </w:r>
    </w:p>
    <w:p w14:paraId="337FDDB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wynosi 10% mocy maksymalnej na minutę.</w:t>
      </w:r>
    </w:p>
    <w:p w14:paraId="4B68CA55"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 W przypadku wzrostu częstotliwości w systemie elektroenergetycznym, układ</w:t>
      </w:r>
    </w:p>
    <w:p w14:paraId="0E27027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regulacji mocy czynnej źr</w:t>
      </w:r>
      <w:r>
        <w:rPr>
          <w:rFonts w:ascii="Arial" w:hAnsi="Arial"/>
          <w:sz w:val="22"/>
          <w:szCs w:val="22"/>
          <w:lang w:val="es-ES_tradnl"/>
        </w:rPr>
        <w:t>ó</w:t>
      </w:r>
      <w:r>
        <w:rPr>
          <w:rFonts w:ascii="Arial" w:hAnsi="Arial"/>
          <w:sz w:val="22"/>
          <w:szCs w:val="22"/>
        </w:rPr>
        <w:t>dła wytw</w:t>
      </w:r>
      <w:r>
        <w:rPr>
          <w:rFonts w:ascii="Arial" w:hAnsi="Arial"/>
          <w:sz w:val="22"/>
          <w:szCs w:val="22"/>
          <w:lang w:val="es-ES_tradnl"/>
        </w:rPr>
        <w:t>ó</w:t>
      </w:r>
      <w:r>
        <w:rPr>
          <w:rFonts w:ascii="Arial" w:hAnsi="Arial"/>
          <w:sz w:val="22"/>
          <w:szCs w:val="22"/>
        </w:rPr>
        <w:t>rczego, powinien być zdolny do redukcji mocy</w:t>
      </w:r>
    </w:p>
    <w:p w14:paraId="09962BB5"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czynnej, zgodnie z ustawioną charakterystyką statyczną.</w:t>
      </w:r>
    </w:p>
    <w:p w14:paraId="61177321"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lang w:val="ru-RU"/>
        </w:rPr>
        <w:t xml:space="preserve">- </w:t>
      </w:r>
      <w:r>
        <w:rPr>
          <w:rFonts w:ascii="Arial" w:hAnsi="Arial"/>
          <w:sz w:val="22"/>
          <w:szCs w:val="22"/>
        </w:rPr>
        <w:t>Źr</w:t>
      </w:r>
      <w:r>
        <w:rPr>
          <w:rFonts w:ascii="Arial" w:hAnsi="Arial"/>
          <w:sz w:val="22"/>
          <w:szCs w:val="22"/>
          <w:lang w:val="es-ES_tradnl"/>
        </w:rPr>
        <w:t>ó</w:t>
      </w:r>
      <w:r>
        <w:rPr>
          <w:rFonts w:ascii="Arial" w:hAnsi="Arial"/>
          <w:sz w:val="22"/>
          <w:szCs w:val="22"/>
        </w:rPr>
        <w:t>dło wytw</w:t>
      </w:r>
      <w:r>
        <w:rPr>
          <w:rFonts w:ascii="Arial" w:hAnsi="Arial"/>
          <w:sz w:val="22"/>
          <w:szCs w:val="22"/>
          <w:lang w:val="es-ES_tradnl"/>
        </w:rPr>
        <w:t>ó</w:t>
      </w:r>
      <w:r>
        <w:rPr>
          <w:rFonts w:ascii="Arial" w:hAnsi="Arial"/>
          <w:sz w:val="22"/>
          <w:szCs w:val="22"/>
        </w:rPr>
        <w:t>rcze powinno posiadać zdolność do trwałej pracy z mocą</w:t>
      </w:r>
    </w:p>
    <w:p w14:paraId="5BA8918D"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znamionową w następującym zakresie zmian</w:t>
      </w:r>
    </w:p>
    <w:p w14:paraId="6CE4C2E2"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Helvetica" w:hAnsi="Helvetica"/>
          <w:sz w:val="22"/>
          <w:szCs w:val="22"/>
        </w:rPr>
        <w:t>•</w:t>
      </w:r>
      <w:r>
        <w:rPr>
          <w:rFonts w:ascii="Arial" w:hAnsi="Arial"/>
          <w:sz w:val="22"/>
          <w:szCs w:val="22"/>
        </w:rPr>
        <w:t xml:space="preserve"> częstotliwości: 49,0≤f≤51,0 Hz,</w:t>
      </w:r>
    </w:p>
    <w:p w14:paraId="1F155130"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Helvetica" w:hAnsi="Helvetica"/>
          <w:sz w:val="22"/>
          <w:szCs w:val="22"/>
        </w:rPr>
        <w:t>•</w:t>
      </w:r>
      <w:r>
        <w:rPr>
          <w:rFonts w:ascii="Arial" w:hAnsi="Arial"/>
          <w:sz w:val="22"/>
          <w:szCs w:val="22"/>
        </w:rPr>
        <w:t xml:space="preserve"> napię</w:t>
      </w:r>
      <w:r w:rsidRPr="00843888">
        <w:rPr>
          <w:rFonts w:ascii="Arial" w:hAnsi="Arial"/>
          <w:sz w:val="22"/>
          <w:szCs w:val="22"/>
        </w:rPr>
        <w:t>cia: U</w:t>
      </w:r>
      <w:r>
        <w:rPr>
          <w:rFonts w:ascii="Arial" w:hAnsi="Arial"/>
          <w:sz w:val="22"/>
          <w:szCs w:val="22"/>
        </w:rPr>
        <w:t>≥0,85 U</w:t>
      </w:r>
      <w:r>
        <w:rPr>
          <w:rFonts w:ascii="Arial" w:hAnsi="Arial"/>
          <w:sz w:val="14"/>
          <w:szCs w:val="14"/>
        </w:rPr>
        <w:t>n</w:t>
      </w:r>
      <w:r>
        <w:rPr>
          <w:rFonts w:ascii="Arial" w:hAnsi="Arial"/>
          <w:sz w:val="22"/>
          <w:szCs w:val="22"/>
        </w:rPr>
        <w:t>,</w:t>
      </w:r>
    </w:p>
    <w:p w14:paraId="0FD8664C"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gdzie U</w:t>
      </w:r>
      <w:r>
        <w:rPr>
          <w:rFonts w:ascii="Arial" w:hAnsi="Arial"/>
          <w:sz w:val="14"/>
          <w:szCs w:val="14"/>
        </w:rPr>
        <w:t>n</w:t>
      </w:r>
      <w:r>
        <w:rPr>
          <w:rFonts w:ascii="Arial" w:hAnsi="Arial"/>
          <w:sz w:val="22"/>
          <w:szCs w:val="22"/>
        </w:rPr>
        <w:t xml:space="preserve"> – napięcie znamionowe w miejscu przyłączenia</w:t>
      </w:r>
    </w:p>
    <w:p w14:paraId="7BD92C80"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558D21DC"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Minimalne czasy, w kt</w:t>
      </w:r>
      <w:r>
        <w:rPr>
          <w:rFonts w:ascii="Arial" w:hAnsi="Arial"/>
          <w:sz w:val="22"/>
          <w:szCs w:val="22"/>
          <w:lang w:val="es-ES_tradnl"/>
        </w:rPr>
        <w:t>ó</w:t>
      </w:r>
      <w:r>
        <w:rPr>
          <w:rFonts w:ascii="Arial" w:hAnsi="Arial"/>
          <w:sz w:val="22"/>
          <w:szCs w:val="22"/>
        </w:rPr>
        <w:t>rych obiekt musi być zdolny do pracy przy różnych</w:t>
      </w:r>
    </w:p>
    <w:p w14:paraId="2258DC66"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częstotliwościach, odbiegających od wartości znamionowej, bez odłączenia od</w:t>
      </w:r>
    </w:p>
    <w:p w14:paraId="460C08F9"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sieci:</w:t>
      </w:r>
    </w:p>
    <w:p w14:paraId="56C12314"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Zakres częstotliwości Czas pracy</w:t>
      </w:r>
    </w:p>
    <w:p w14:paraId="4A6BA250"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0"/>
          <w:szCs w:val="20"/>
        </w:rPr>
      </w:pPr>
      <w:r>
        <w:rPr>
          <w:rFonts w:ascii="Arial" w:hAnsi="Arial"/>
          <w:sz w:val="20"/>
          <w:szCs w:val="20"/>
        </w:rPr>
        <w:t>47,5 Hz–48,5 Hz 30 minut</w:t>
      </w:r>
    </w:p>
    <w:p w14:paraId="1E3EAE0E"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0"/>
          <w:szCs w:val="20"/>
        </w:rPr>
      </w:pPr>
      <w:r>
        <w:rPr>
          <w:rFonts w:ascii="Arial" w:hAnsi="Arial"/>
          <w:sz w:val="20"/>
          <w:szCs w:val="20"/>
        </w:rPr>
        <w:t>48,5 Hz–49,0 Hz 30 minut</w:t>
      </w:r>
    </w:p>
    <w:p w14:paraId="65A82481"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0"/>
          <w:szCs w:val="20"/>
        </w:rPr>
      </w:pPr>
      <w:r>
        <w:rPr>
          <w:rFonts w:ascii="Arial" w:hAnsi="Arial"/>
          <w:sz w:val="20"/>
          <w:szCs w:val="20"/>
        </w:rPr>
        <w:t>49,0 Hz–51,0 Hz nieograniczony</w:t>
      </w:r>
    </w:p>
    <w:p w14:paraId="7E8D4565"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0"/>
          <w:szCs w:val="20"/>
        </w:rPr>
      </w:pPr>
      <w:r>
        <w:rPr>
          <w:rFonts w:ascii="Arial" w:hAnsi="Arial"/>
          <w:sz w:val="20"/>
          <w:szCs w:val="20"/>
        </w:rPr>
        <w:t>51,0 Hz–51,5 Hz 30 minut</w:t>
      </w:r>
    </w:p>
    <w:p w14:paraId="0CAC4069" w14:textId="77777777" w:rsidR="00200F62" w:rsidRDefault="00200F62">
      <w:pPr>
        <w:pStyle w:val="TreA"/>
        <w:rPr>
          <w:rFonts w:hint="eastAsia"/>
        </w:rPr>
      </w:pPr>
    </w:p>
    <w:p w14:paraId="472FB46A"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Automatykę zaprojektować w spos</w:t>
      </w:r>
      <w:r>
        <w:rPr>
          <w:rFonts w:ascii="Arial" w:hAnsi="Arial"/>
          <w:sz w:val="22"/>
          <w:szCs w:val="22"/>
          <w:lang w:val="es-ES_tradnl"/>
        </w:rPr>
        <w:t>ó</w:t>
      </w:r>
      <w:r>
        <w:rPr>
          <w:rFonts w:ascii="Arial" w:hAnsi="Arial"/>
          <w:sz w:val="22"/>
          <w:szCs w:val="22"/>
        </w:rPr>
        <w:t>b powodujący natychmiastowe odłączenie źr</w:t>
      </w:r>
      <w:r>
        <w:rPr>
          <w:rFonts w:ascii="Arial" w:hAnsi="Arial"/>
          <w:sz w:val="22"/>
          <w:szCs w:val="22"/>
          <w:lang w:val="es-ES_tradnl"/>
        </w:rPr>
        <w:t>ó</w:t>
      </w:r>
      <w:r>
        <w:rPr>
          <w:rFonts w:ascii="Arial" w:hAnsi="Arial"/>
          <w:sz w:val="22"/>
          <w:szCs w:val="22"/>
        </w:rPr>
        <w:t>dła</w:t>
      </w:r>
    </w:p>
    <w:p w14:paraId="0C293029" w14:textId="77777777"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wytw</w:t>
      </w:r>
      <w:r>
        <w:rPr>
          <w:rFonts w:ascii="Arial" w:hAnsi="Arial"/>
          <w:sz w:val="22"/>
          <w:szCs w:val="22"/>
          <w:lang w:val="es-ES_tradnl"/>
        </w:rPr>
        <w:t>ó</w:t>
      </w:r>
      <w:r>
        <w:rPr>
          <w:rFonts w:ascii="Arial" w:hAnsi="Arial"/>
          <w:sz w:val="22"/>
          <w:szCs w:val="22"/>
        </w:rPr>
        <w:t>rczego przy każdym zakłóceniu powodującym zanik napięcia w sieci SN-15 kV</w:t>
      </w:r>
    </w:p>
    <w:p w14:paraId="23294CB8" w14:textId="131C913E"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r>
        <w:rPr>
          <w:rFonts w:ascii="Arial" w:hAnsi="Arial"/>
          <w:sz w:val="22"/>
          <w:szCs w:val="22"/>
        </w:rPr>
        <w:t>Energa Operator. Zabezpieczenia wraz z automatykami spełniać musz</w:t>
      </w:r>
      <w:r w:rsidR="00ED20D6">
        <w:rPr>
          <w:rFonts w:ascii="Arial" w:hAnsi="Arial"/>
          <w:sz w:val="22"/>
          <w:szCs w:val="22"/>
        </w:rPr>
        <w:t>ą</w:t>
      </w:r>
      <w:r>
        <w:rPr>
          <w:rFonts w:ascii="Arial" w:hAnsi="Arial"/>
          <w:sz w:val="22"/>
          <w:szCs w:val="22"/>
        </w:rPr>
        <w:t xml:space="preserve"> wymogi NC RfG IRiESD w zakresie nieobjętym zapisami NC RfG.</w:t>
      </w:r>
    </w:p>
    <w:p w14:paraId="201D0938"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64A50D22" w14:textId="467B7087" w:rsidR="009A505E" w:rsidRPr="009A505E"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sz w:val="22"/>
          <w:szCs w:val="22"/>
        </w:rPr>
      </w:pPr>
      <w:r>
        <w:rPr>
          <w:rFonts w:ascii="Arial" w:hAnsi="Arial"/>
          <w:sz w:val="22"/>
          <w:szCs w:val="22"/>
        </w:rPr>
        <w:t>W celu zasilania instalacji fotowoltaicznej należy wykonać wewnętrzną linię zasilającą dedykowaną wyłącznie zasilaniu tej instalacji. Na trasie kablowej należy wybudować złącza pośrednie umożliwiające podłączenie poszczeg</w:t>
      </w:r>
      <w:r>
        <w:rPr>
          <w:rFonts w:ascii="Arial" w:hAnsi="Arial"/>
          <w:sz w:val="22"/>
          <w:szCs w:val="22"/>
          <w:lang w:val="es-ES_tradnl"/>
        </w:rPr>
        <w:t>ó</w:t>
      </w:r>
      <w:r>
        <w:rPr>
          <w:rFonts w:ascii="Arial" w:hAnsi="Arial"/>
          <w:sz w:val="22"/>
          <w:szCs w:val="22"/>
        </w:rPr>
        <w:t xml:space="preserve">lnych instalacji. </w:t>
      </w:r>
    </w:p>
    <w:p w14:paraId="75E959D2" w14:textId="11F4A261" w:rsidR="00200F62" w:rsidRDefault="008438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sz w:val="22"/>
          <w:szCs w:val="22"/>
        </w:rPr>
      </w:pPr>
      <w:r>
        <w:rPr>
          <w:rFonts w:ascii="Arial" w:hAnsi="Arial"/>
          <w:sz w:val="22"/>
          <w:szCs w:val="22"/>
        </w:rPr>
        <w:t xml:space="preserve">W tabeli przedstawiono przyjęte przekroje oraz długości kabli zasilających </w:t>
      </w:r>
    </w:p>
    <w:p w14:paraId="3D83AFF9" w14:textId="0898CA21" w:rsidR="00FA4C8B" w:rsidRDefault="009A505E">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sz w:val="22"/>
          <w:szCs w:val="22"/>
        </w:rPr>
      </w:pPr>
      <w:r>
        <w:rPr>
          <w:rFonts w:ascii="Arial" w:eastAsia="Arial" w:hAnsi="Arial" w:cs="Arial"/>
          <w:noProof/>
          <w:sz w:val="22"/>
          <w:szCs w:val="22"/>
        </w:rPr>
        <w:lastRenderedPageBreak/>
        <w:drawing>
          <wp:anchor distT="152400" distB="152400" distL="152400" distR="152400" simplePos="0" relativeHeight="251658240" behindDoc="0" locked="0" layoutInCell="1" allowOverlap="1" wp14:anchorId="5BC960FC" wp14:editId="5F32B3D5">
            <wp:simplePos x="0" y="0"/>
            <wp:positionH relativeFrom="page">
              <wp:posOffset>1737360</wp:posOffset>
            </wp:positionH>
            <wp:positionV relativeFrom="line">
              <wp:posOffset>-369570</wp:posOffset>
            </wp:positionV>
            <wp:extent cx="2910840" cy="1508760"/>
            <wp:effectExtent l="0" t="0" r="3810" b="0"/>
            <wp:wrapTopAndBottom distT="152400" distB="152400"/>
            <wp:docPr id="1073741826" name="officeArt object" descr="Obrazek"/>
            <wp:cNvGraphicFramePr/>
            <a:graphic xmlns:a="http://schemas.openxmlformats.org/drawingml/2006/main">
              <a:graphicData uri="http://schemas.openxmlformats.org/drawingml/2006/picture">
                <pic:pic xmlns:pic="http://schemas.openxmlformats.org/drawingml/2006/picture">
                  <pic:nvPicPr>
                    <pic:cNvPr id="1073741826" name="Obrazek" descr="Obrazek"/>
                    <pic:cNvPicPr>
                      <a:picLocks noChangeAspect="1"/>
                    </pic:cNvPicPr>
                  </pic:nvPicPr>
                  <pic:blipFill>
                    <a:blip r:embed="rId11"/>
                    <a:stretch>
                      <a:fillRect/>
                    </a:stretch>
                  </pic:blipFill>
                  <pic:spPr>
                    <a:xfrm>
                      <a:off x="0" y="0"/>
                      <a:ext cx="2910840" cy="15087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7317642" w14:textId="77777777" w:rsidR="00FA4C8B" w:rsidRDefault="00FA4C8B">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sz w:val="22"/>
          <w:szCs w:val="22"/>
        </w:rPr>
      </w:pPr>
    </w:p>
    <w:p w14:paraId="3EE075B7" w14:textId="77777777" w:rsidR="00ED20D6" w:rsidRPr="00D92C00" w:rsidRDefault="00ED20D6" w:rsidP="00287688">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40" w:lineRule="auto"/>
        <w:rPr>
          <w:rFonts w:ascii="Arial" w:eastAsia="Arial" w:hAnsi="Arial" w:cs="Arial"/>
          <w:b/>
          <w:bCs/>
          <w:sz w:val="22"/>
          <w:szCs w:val="22"/>
          <w:u w:val="single"/>
        </w:rPr>
      </w:pPr>
      <w:r w:rsidRPr="00D92C00">
        <w:rPr>
          <w:rFonts w:ascii="Arial" w:eastAsia="Arial" w:hAnsi="Arial" w:cs="Arial"/>
          <w:b/>
          <w:bCs/>
          <w:sz w:val="22"/>
          <w:szCs w:val="22"/>
          <w:u w:val="single"/>
        </w:rPr>
        <w:t>Dodatkowe warunki (dotyczą obu części zamówienia):</w:t>
      </w:r>
    </w:p>
    <w:p w14:paraId="2AB499B9" w14:textId="33E0E5C5" w:rsidR="00843888" w:rsidRDefault="00407192" w:rsidP="00843888">
      <w:pPr>
        <w:pStyle w:val="Domylne"/>
        <w:tabs>
          <w:tab w:val="left" w:pos="560"/>
          <w:tab w:val="left" w:pos="1120"/>
          <w:tab w:val="left" w:pos="1680"/>
          <w:tab w:val="left" w:pos="2240"/>
          <w:tab w:val="left" w:pos="2800"/>
          <w:tab w:val="left" w:pos="3360"/>
          <w:tab w:val="left" w:pos="3920"/>
          <w:tab w:val="left" w:pos="448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w:hAnsi="Arial" w:cs="Arial"/>
          <w:sz w:val="22"/>
          <w:szCs w:val="22"/>
        </w:rPr>
      </w:pPr>
      <w:bookmarkStart w:id="0" w:name="_Hlk175822228"/>
      <w:r w:rsidRPr="00407192">
        <w:rPr>
          <w:rFonts w:ascii="Arial" w:hAnsi="Arial" w:cs="Arial"/>
          <w:sz w:val="22"/>
          <w:szCs w:val="22"/>
        </w:rPr>
        <w:t>Oferent zobowiązany jest zadeklarować min. 10</w:t>
      </w:r>
      <w:r w:rsidR="00843888" w:rsidRPr="00407192">
        <w:rPr>
          <w:rFonts w:ascii="Arial" w:hAnsi="Arial" w:cs="Arial"/>
          <w:sz w:val="22"/>
          <w:szCs w:val="22"/>
          <w:lang w:val="da-DK"/>
        </w:rPr>
        <w:t>-procen</w:t>
      </w:r>
      <w:r w:rsidR="00843888" w:rsidRPr="00407192">
        <w:rPr>
          <w:rFonts w:ascii="Arial" w:hAnsi="Arial" w:cs="Arial"/>
          <w:sz w:val="22"/>
          <w:szCs w:val="22"/>
        </w:rPr>
        <w:t>towy udział pojazd</w:t>
      </w:r>
      <w:r w:rsidR="00843888" w:rsidRPr="00407192">
        <w:rPr>
          <w:rFonts w:ascii="Arial" w:hAnsi="Arial" w:cs="Arial"/>
          <w:sz w:val="22"/>
          <w:szCs w:val="22"/>
          <w:lang w:val="es-ES_tradnl"/>
        </w:rPr>
        <w:t>ó</w:t>
      </w:r>
      <w:r w:rsidR="00843888" w:rsidRPr="00407192">
        <w:rPr>
          <w:rFonts w:ascii="Arial" w:hAnsi="Arial" w:cs="Arial"/>
          <w:sz w:val="22"/>
          <w:szCs w:val="22"/>
        </w:rPr>
        <w:t>w elektrycznych we flocie pojazd</w:t>
      </w:r>
      <w:r w:rsidR="00843888" w:rsidRPr="00407192">
        <w:rPr>
          <w:rFonts w:ascii="Arial" w:hAnsi="Arial" w:cs="Arial"/>
          <w:sz w:val="22"/>
          <w:szCs w:val="22"/>
          <w:lang w:val="es-ES_tradnl"/>
        </w:rPr>
        <w:t>ó</w:t>
      </w:r>
      <w:r w:rsidR="00843888" w:rsidRPr="00407192">
        <w:rPr>
          <w:rFonts w:ascii="Arial" w:hAnsi="Arial" w:cs="Arial"/>
          <w:sz w:val="22"/>
          <w:szCs w:val="22"/>
        </w:rPr>
        <w:t>w używanych do wykonywania zam</w:t>
      </w:r>
      <w:r w:rsidR="00843888" w:rsidRPr="00407192">
        <w:rPr>
          <w:rFonts w:ascii="Arial" w:hAnsi="Arial" w:cs="Arial"/>
          <w:sz w:val="22"/>
          <w:szCs w:val="22"/>
          <w:lang w:val="es-ES_tradnl"/>
        </w:rPr>
        <w:t>ó</w:t>
      </w:r>
      <w:r w:rsidR="00843888" w:rsidRPr="00407192">
        <w:rPr>
          <w:rFonts w:ascii="Arial" w:hAnsi="Arial" w:cs="Arial"/>
          <w:sz w:val="22"/>
          <w:szCs w:val="22"/>
        </w:rPr>
        <w:t>wienia.</w:t>
      </w:r>
      <w:r w:rsidR="001346C0">
        <w:rPr>
          <w:rFonts w:ascii="Arial" w:hAnsi="Arial" w:cs="Arial"/>
          <w:sz w:val="22"/>
          <w:szCs w:val="22"/>
        </w:rPr>
        <w:t xml:space="preserve"> Zadeklarowanie mniejszego udziału spowoduje odrzucenie oferty.</w:t>
      </w:r>
    </w:p>
    <w:p w14:paraId="1D33F00D" w14:textId="06A5D410" w:rsidR="001346C0" w:rsidRDefault="001346C0" w:rsidP="001346C0">
      <w:pPr>
        <w:pStyle w:val="Domylne"/>
        <w:tabs>
          <w:tab w:val="left" w:pos="560"/>
          <w:tab w:val="left" w:pos="1120"/>
          <w:tab w:val="left" w:pos="1680"/>
          <w:tab w:val="left" w:pos="2240"/>
          <w:tab w:val="left" w:pos="2800"/>
          <w:tab w:val="left" w:pos="3360"/>
          <w:tab w:val="left" w:pos="3920"/>
          <w:tab w:val="left" w:pos="448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w:hAnsi="Arial" w:cs="Arial"/>
          <w:sz w:val="22"/>
          <w:szCs w:val="22"/>
        </w:rPr>
      </w:pPr>
      <w:r w:rsidRPr="00407192">
        <w:rPr>
          <w:rFonts w:ascii="Arial" w:hAnsi="Arial" w:cs="Arial"/>
          <w:sz w:val="22"/>
          <w:szCs w:val="22"/>
        </w:rPr>
        <w:t xml:space="preserve">Oferent zobowiązany jest zadeklarować min. </w:t>
      </w:r>
      <w:r>
        <w:rPr>
          <w:rFonts w:ascii="Arial" w:hAnsi="Arial" w:cs="Arial"/>
          <w:sz w:val="22"/>
          <w:szCs w:val="22"/>
        </w:rPr>
        <w:t>60 miesięczny okres gwarancji</w:t>
      </w:r>
      <w:r w:rsidRPr="00407192">
        <w:rPr>
          <w:rFonts w:ascii="Arial" w:hAnsi="Arial" w:cs="Arial"/>
          <w:sz w:val="22"/>
          <w:szCs w:val="22"/>
        </w:rPr>
        <w:t xml:space="preserve"> </w:t>
      </w:r>
      <w:r>
        <w:rPr>
          <w:rFonts w:ascii="Arial" w:hAnsi="Arial" w:cs="Arial"/>
          <w:sz w:val="22"/>
          <w:szCs w:val="22"/>
        </w:rPr>
        <w:t>na wykonane prace (z wyłączeniem zamontowanych urządzeń</w:t>
      </w:r>
      <w:r w:rsidR="00D84659">
        <w:rPr>
          <w:rFonts w:ascii="Arial" w:hAnsi="Arial" w:cs="Arial"/>
          <w:sz w:val="22"/>
          <w:szCs w:val="22"/>
        </w:rPr>
        <w:t xml:space="preserve"> objętych osobnymi gwarancjami)</w:t>
      </w:r>
      <w:r w:rsidRPr="00407192">
        <w:rPr>
          <w:rFonts w:ascii="Arial" w:hAnsi="Arial" w:cs="Arial"/>
          <w:sz w:val="22"/>
          <w:szCs w:val="22"/>
        </w:rPr>
        <w:t>.</w:t>
      </w:r>
      <w:r>
        <w:rPr>
          <w:rFonts w:ascii="Arial" w:hAnsi="Arial" w:cs="Arial"/>
          <w:sz w:val="22"/>
          <w:szCs w:val="22"/>
        </w:rPr>
        <w:t xml:space="preserve"> Zadeklarowanie </w:t>
      </w:r>
      <w:r w:rsidR="00D84659">
        <w:rPr>
          <w:rFonts w:ascii="Arial" w:hAnsi="Arial" w:cs="Arial"/>
          <w:sz w:val="22"/>
          <w:szCs w:val="22"/>
        </w:rPr>
        <w:t>krótszego okresu gwarancji</w:t>
      </w:r>
      <w:r>
        <w:rPr>
          <w:rFonts w:ascii="Arial" w:hAnsi="Arial" w:cs="Arial"/>
          <w:sz w:val="22"/>
          <w:szCs w:val="22"/>
        </w:rPr>
        <w:t xml:space="preserve"> spowoduje odrzucenie oferty.</w:t>
      </w:r>
    </w:p>
    <w:bookmarkEnd w:id="0"/>
    <w:p w14:paraId="29F718DD" w14:textId="4DA61DB9" w:rsidR="00843888" w:rsidRPr="00D84659" w:rsidRDefault="00843888" w:rsidP="00843888">
      <w:pPr>
        <w:pStyle w:val="Domylne"/>
        <w:tabs>
          <w:tab w:val="left" w:pos="560"/>
          <w:tab w:val="left" w:pos="1120"/>
          <w:tab w:val="left" w:pos="1680"/>
          <w:tab w:val="left" w:pos="2240"/>
          <w:tab w:val="left" w:pos="2800"/>
          <w:tab w:val="left" w:pos="3360"/>
          <w:tab w:val="left" w:pos="3920"/>
          <w:tab w:val="left" w:pos="448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w:hAnsi="Arial" w:cs="Arial"/>
          <w:sz w:val="22"/>
          <w:szCs w:val="22"/>
        </w:rPr>
      </w:pPr>
      <w:r w:rsidRPr="00D84659">
        <w:rPr>
          <w:rFonts w:ascii="Arial" w:hAnsi="Arial" w:cs="Arial"/>
          <w:sz w:val="22"/>
          <w:szCs w:val="22"/>
        </w:rPr>
        <w:t>Czas reakcji serwisu liczony od momentu awarii,  do momentu przyjazdu serwisu</w:t>
      </w:r>
      <w:r w:rsidR="000471B2">
        <w:rPr>
          <w:rFonts w:ascii="Arial" w:hAnsi="Arial" w:cs="Arial"/>
          <w:sz w:val="22"/>
          <w:szCs w:val="22"/>
        </w:rPr>
        <w:t xml:space="preserve"> </w:t>
      </w:r>
      <w:r w:rsidRPr="00D84659">
        <w:rPr>
          <w:rFonts w:ascii="Arial" w:hAnsi="Arial" w:cs="Arial"/>
          <w:sz w:val="22"/>
          <w:szCs w:val="22"/>
        </w:rPr>
        <w:t xml:space="preserve">nie </w:t>
      </w:r>
      <w:r w:rsidR="00D84659" w:rsidRPr="00D84659">
        <w:rPr>
          <w:rFonts w:ascii="Arial" w:hAnsi="Arial" w:cs="Arial"/>
          <w:sz w:val="22"/>
          <w:szCs w:val="22"/>
        </w:rPr>
        <w:t xml:space="preserve">może </w:t>
      </w:r>
      <w:r w:rsidRPr="00D84659">
        <w:rPr>
          <w:rFonts w:ascii="Arial" w:hAnsi="Arial" w:cs="Arial"/>
          <w:sz w:val="22"/>
          <w:szCs w:val="22"/>
        </w:rPr>
        <w:t>przekroczy</w:t>
      </w:r>
      <w:r w:rsidR="00D84659" w:rsidRPr="00D84659">
        <w:rPr>
          <w:rFonts w:ascii="Arial" w:hAnsi="Arial" w:cs="Arial"/>
          <w:sz w:val="22"/>
          <w:szCs w:val="22"/>
        </w:rPr>
        <w:t>ć</w:t>
      </w:r>
      <w:r w:rsidRPr="00D84659">
        <w:rPr>
          <w:rFonts w:ascii="Arial" w:hAnsi="Arial" w:cs="Arial"/>
          <w:sz w:val="22"/>
          <w:szCs w:val="22"/>
        </w:rPr>
        <w:t xml:space="preserve"> 2 godzin.</w:t>
      </w:r>
      <w:r w:rsidR="00D84659" w:rsidRPr="00D84659">
        <w:rPr>
          <w:rFonts w:ascii="Arial" w:hAnsi="Arial" w:cs="Arial"/>
          <w:sz w:val="22"/>
          <w:szCs w:val="22"/>
        </w:rPr>
        <w:t xml:space="preserve"> </w:t>
      </w:r>
    </w:p>
    <w:p w14:paraId="07818CFD" w14:textId="1FDD80DB" w:rsidR="00843888" w:rsidRDefault="00D84659" w:rsidP="00843888">
      <w:pPr>
        <w:pStyle w:val="Domylne"/>
        <w:tabs>
          <w:tab w:val="left" w:pos="560"/>
          <w:tab w:val="left" w:pos="1120"/>
          <w:tab w:val="left" w:pos="1680"/>
          <w:tab w:val="left" w:pos="2240"/>
          <w:tab w:val="left" w:pos="2800"/>
          <w:tab w:val="left" w:pos="3360"/>
          <w:tab w:val="left" w:pos="3920"/>
          <w:tab w:val="left" w:pos="448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w:hAnsi="Arial" w:cs="Arial"/>
          <w:sz w:val="22"/>
          <w:szCs w:val="22"/>
        </w:rPr>
      </w:pPr>
      <w:r w:rsidRPr="00D84659">
        <w:rPr>
          <w:rFonts w:ascii="Arial" w:hAnsi="Arial" w:cs="Arial"/>
          <w:sz w:val="22"/>
          <w:szCs w:val="22"/>
        </w:rPr>
        <w:t>I</w:t>
      </w:r>
      <w:r w:rsidR="00843888" w:rsidRPr="00D84659">
        <w:rPr>
          <w:rFonts w:ascii="Arial" w:hAnsi="Arial" w:cs="Arial"/>
          <w:sz w:val="22"/>
          <w:szCs w:val="22"/>
        </w:rPr>
        <w:t xml:space="preserve">nstalacja fotowoltaiczna </w:t>
      </w:r>
      <w:r w:rsidRPr="00D84659">
        <w:rPr>
          <w:rFonts w:ascii="Arial" w:hAnsi="Arial" w:cs="Arial"/>
          <w:sz w:val="22"/>
          <w:szCs w:val="22"/>
        </w:rPr>
        <w:t xml:space="preserve">musi być </w:t>
      </w:r>
      <w:r w:rsidR="00843888" w:rsidRPr="00D84659">
        <w:rPr>
          <w:rFonts w:ascii="Arial" w:hAnsi="Arial" w:cs="Arial"/>
          <w:sz w:val="22"/>
          <w:szCs w:val="22"/>
        </w:rPr>
        <w:t xml:space="preserve">monitorowana przez wykonawcę przez  zdalny monitoring </w:t>
      </w:r>
      <w:r w:rsidRPr="00D84659">
        <w:rPr>
          <w:rFonts w:ascii="Arial" w:hAnsi="Arial" w:cs="Arial"/>
          <w:sz w:val="22"/>
          <w:szCs w:val="22"/>
        </w:rPr>
        <w:t>dostępny</w:t>
      </w:r>
      <w:r w:rsidR="00843888" w:rsidRPr="00D84659">
        <w:rPr>
          <w:rFonts w:ascii="Arial" w:hAnsi="Arial" w:cs="Arial"/>
          <w:sz w:val="22"/>
          <w:szCs w:val="22"/>
        </w:rPr>
        <w:t xml:space="preserve"> 24/7.</w:t>
      </w:r>
    </w:p>
    <w:p w14:paraId="0CE79B38" w14:textId="2BFE0A30" w:rsidR="004B5198" w:rsidRPr="00D84659" w:rsidRDefault="004B5198" w:rsidP="00843888">
      <w:pPr>
        <w:pStyle w:val="Domylne"/>
        <w:tabs>
          <w:tab w:val="left" w:pos="560"/>
          <w:tab w:val="left" w:pos="1120"/>
          <w:tab w:val="left" w:pos="1680"/>
          <w:tab w:val="left" w:pos="2240"/>
          <w:tab w:val="left" w:pos="2800"/>
          <w:tab w:val="left" w:pos="3360"/>
          <w:tab w:val="left" w:pos="3920"/>
          <w:tab w:val="left" w:pos="448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w:hAnsi="Arial" w:cs="Arial"/>
          <w:sz w:val="22"/>
          <w:szCs w:val="22"/>
        </w:rPr>
      </w:pPr>
      <w:r w:rsidRPr="004B5198">
        <w:rPr>
          <w:rFonts w:ascii="Arial" w:hAnsi="Arial" w:cs="Arial"/>
          <w:sz w:val="22"/>
          <w:szCs w:val="22"/>
        </w:rPr>
        <w:t xml:space="preserve">Jeśli </w:t>
      </w:r>
      <w:r>
        <w:rPr>
          <w:rFonts w:ascii="Arial" w:hAnsi="Arial" w:cs="Arial"/>
          <w:sz w:val="22"/>
          <w:szCs w:val="22"/>
        </w:rPr>
        <w:t>opis w niniejszym załączniku</w:t>
      </w:r>
      <w:r w:rsidRPr="004B5198">
        <w:rPr>
          <w:rFonts w:ascii="Arial" w:hAnsi="Arial" w:cs="Arial"/>
          <w:sz w:val="22"/>
          <w:szCs w:val="22"/>
        </w:rPr>
        <w:t xml:space="preserve"> zawiera jakiekolwiek odniesienia do znaków towarowych, patentów lub pochodzenia, źródła lub szczególnego procesu, który charakteryzuje produkty lub usługi dostarczane przez konkretnego wykonawcę należy je traktować wyłącznie jako rozwiązania przykładowe. Zamawiający dopuszcza możliwość złożenia oferty w oparciu o zastosowanie rozwiązań równoważnych w stosunku do wynikających z </w:t>
      </w:r>
      <w:r>
        <w:rPr>
          <w:rFonts w:ascii="Arial" w:hAnsi="Arial" w:cs="Arial"/>
          <w:sz w:val="22"/>
          <w:szCs w:val="22"/>
        </w:rPr>
        <w:t>niniejszego załącznika i innych załączników do zapytania ofertowego</w:t>
      </w:r>
      <w:r w:rsidRPr="004B5198">
        <w:rPr>
          <w:rFonts w:ascii="Arial" w:hAnsi="Arial" w:cs="Arial"/>
          <w:sz w:val="22"/>
          <w:szCs w:val="22"/>
        </w:rPr>
        <w:t>, z zachowaniem tych samych standardów technicznych i jakościowych niezbędnych do prawidłowego funkcjonowania zamawianej inwestycji. Poprzez pojęcie materiałów i urządzeń równoważnych należy rozumieć materiały gwarantujące realizację robót zgodnie z projektem, oraz zapewniające uzyskanie parametrów technicznych, jakościowych i użytkowych nie gorszych niż założone w dokumentacji projektowej i specyfikacji technicznej wykonania i odbioru robót, a ponadto muszą to być materiały i urządzenia dopuszczone do obrotu i stosowania zgodnie z obowiązującym prawem. Wykonawca nie musi w złożonej ofercie udowadniać równoważności zaoferowanych rozwiązań.</w:t>
      </w:r>
      <w:r>
        <w:rPr>
          <w:rFonts w:ascii="Arial" w:hAnsi="Arial" w:cs="Arial"/>
          <w:sz w:val="22"/>
          <w:szCs w:val="22"/>
        </w:rPr>
        <w:t xml:space="preserve"> W szczególności </w:t>
      </w:r>
      <w:r w:rsidR="0038780B">
        <w:rPr>
          <w:rFonts w:ascii="Arial" w:hAnsi="Arial" w:cs="Arial"/>
          <w:sz w:val="22"/>
          <w:szCs w:val="22"/>
        </w:rPr>
        <w:t xml:space="preserve">Zamawiający dopuszcza złożenie oferty uwzgledniającej inną od zakładanej ilość i moc paneli fotowoltaicznych przy zachowaniu </w:t>
      </w:r>
      <w:r w:rsidR="000D1576">
        <w:rPr>
          <w:rFonts w:ascii="Arial" w:hAnsi="Arial" w:cs="Arial"/>
          <w:sz w:val="22"/>
          <w:szCs w:val="22"/>
        </w:rPr>
        <w:t xml:space="preserve">łącznej mocy instalacji min. </w:t>
      </w:r>
      <w:r w:rsidR="000D1576" w:rsidRPr="000D1576">
        <w:rPr>
          <w:rFonts w:ascii="Arial" w:hAnsi="Arial" w:cs="Arial"/>
          <w:sz w:val="22"/>
          <w:szCs w:val="22"/>
        </w:rPr>
        <w:t>1799,77 kWp</w:t>
      </w:r>
      <w:r w:rsidR="00C22B5F">
        <w:rPr>
          <w:sz w:val="22"/>
          <w:szCs w:val="22"/>
        </w:rPr>
        <w:t xml:space="preserve"> oraz uwzględnieniu wymogów operatora i </w:t>
      </w:r>
      <w:r w:rsidR="00171CDE">
        <w:rPr>
          <w:sz w:val="22"/>
          <w:szCs w:val="22"/>
        </w:rPr>
        <w:t xml:space="preserve">ograniczeń technicznych </w:t>
      </w:r>
      <w:r w:rsidR="00C22B5F">
        <w:rPr>
          <w:sz w:val="22"/>
          <w:szCs w:val="22"/>
        </w:rPr>
        <w:t>poszczególnych lokalizacji, na których mają być zamontowane panele.</w:t>
      </w:r>
    </w:p>
    <w:p w14:paraId="5639CA23" w14:textId="77777777" w:rsidR="00200F62" w:rsidRDefault="00200F6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hint="eastAsia"/>
        </w:rPr>
      </w:pPr>
    </w:p>
    <w:p w14:paraId="1E84D053" w14:textId="77777777" w:rsidR="00FE5096" w:rsidRPr="00FE5096" w:rsidRDefault="00FE5096">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sz w:val="22"/>
          <w:szCs w:val="22"/>
          <w:u w:val="single"/>
        </w:rPr>
      </w:pPr>
      <w:r w:rsidRPr="00FE5096">
        <w:rPr>
          <w:rFonts w:ascii="Arial" w:hAnsi="Arial" w:cs="Arial"/>
          <w:b/>
          <w:bCs/>
          <w:sz w:val="22"/>
          <w:szCs w:val="22"/>
          <w:u w:val="single"/>
        </w:rPr>
        <w:t>Istotne postanowienia, które będą zawarte w umowie z wybranym wykonawcą:</w:t>
      </w:r>
    </w:p>
    <w:p w14:paraId="633E8E6D" w14:textId="77777777" w:rsidR="00FE5096" w:rsidRPr="00FE5096" w:rsidRDefault="00FE5096">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sz w:val="22"/>
          <w:szCs w:val="22"/>
        </w:rPr>
      </w:pPr>
    </w:p>
    <w:p w14:paraId="10C4396A"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 1 Kara umowna za opóźnienie w wykonaniu przedmiotu umowy (termin końcowy):</w:t>
      </w:r>
    </w:p>
    <w:p w14:paraId="52DB4896"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1,00 % Wynagrodzenia netto za dzień opóźnienia.</w:t>
      </w:r>
    </w:p>
    <w:p w14:paraId="417C7B5B" w14:textId="77777777" w:rsidR="00FE5096" w:rsidRPr="00FE5096" w:rsidRDefault="00FE5096" w:rsidP="00FE5096">
      <w:pPr>
        <w:rPr>
          <w:rFonts w:ascii="Arial" w:hAnsi="Arial" w:cs="Arial"/>
          <w:bCs/>
          <w:sz w:val="22"/>
          <w:szCs w:val="22"/>
        </w:rPr>
      </w:pPr>
    </w:p>
    <w:p w14:paraId="5F953C3B"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 1.2</w:t>
      </w:r>
    </w:p>
    <w:p w14:paraId="7B348C08"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Kara umowna za opóźnienie w usunięciu wad stwierdzonych w trakcie realizacji Robót, przy odbiorze lub w okresie gwarancji jakości lub rękojmi:</w:t>
      </w:r>
    </w:p>
    <w:p w14:paraId="29ECFEA0"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1,00 % Wynagrodzenia netto za dzień opóźnienia, nie mniej niż 2.000,00 zł netto za dzień opóźnienia</w:t>
      </w:r>
    </w:p>
    <w:p w14:paraId="03F11360" w14:textId="77777777" w:rsidR="00FE5096" w:rsidRPr="00FE5096" w:rsidRDefault="00FE5096" w:rsidP="00FE5096">
      <w:pPr>
        <w:rPr>
          <w:rFonts w:ascii="Arial" w:hAnsi="Arial" w:cs="Arial"/>
          <w:bCs/>
          <w:sz w:val="22"/>
          <w:szCs w:val="22"/>
        </w:rPr>
      </w:pPr>
    </w:p>
    <w:p w14:paraId="5280F5C8"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 1.3</w:t>
      </w:r>
    </w:p>
    <w:p w14:paraId="3861E46E"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Kara umowna za odstąpienie od umowy lub jej części przez Zamawiającego z przyczyn zależnych od Podwykonawcy:</w:t>
      </w:r>
    </w:p>
    <w:p w14:paraId="1E852395"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10 % Wynagrodzenia netto</w:t>
      </w:r>
    </w:p>
    <w:p w14:paraId="74B2D9E0"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 1.4</w:t>
      </w:r>
    </w:p>
    <w:p w14:paraId="0C5D62E9"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Kara umowna w przypadku zatrudnienia podwykonawców przez Wykonawcę bez zgody Zamawiającego, za każdy przypadek:</w:t>
      </w:r>
    </w:p>
    <w:p w14:paraId="75A833EC" w14:textId="77777777" w:rsidR="00FE5096" w:rsidRPr="00FE5096" w:rsidRDefault="00FE5096" w:rsidP="00FE5096">
      <w:pPr>
        <w:rPr>
          <w:rFonts w:ascii="Arial" w:hAnsi="Arial" w:cs="Arial"/>
          <w:bCs/>
          <w:sz w:val="22"/>
          <w:szCs w:val="22"/>
        </w:rPr>
      </w:pPr>
      <w:r w:rsidRPr="00FE5096">
        <w:rPr>
          <w:rFonts w:ascii="Arial" w:hAnsi="Arial" w:cs="Arial"/>
          <w:bCs/>
          <w:sz w:val="22"/>
          <w:szCs w:val="22"/>
        </w:rPr>
        <w:t>10 % Wynagrodzenia netto, nie mniej niż 10.000,00 zł netto</w:t>
      </w:r>
    </w:p>
    <w:p w14:paraId="50DCD62D" w14:textId="77777777" w:rsidR="00FE5096" w:rsidRPr="00FE5096" w:rsidRDefault="00FE5096" w:rsidP="00FE5096">
      <w:pPr>
        <w:rPr>
          <w:rFonts w:ascii="Arial" w:hAnsi="Arial" w:cs="Arial"/>
          <w:bCs/>
          <w:sz w:val="22"/>
          <w:szCs w:val="22"/>
        </w:rPr>
      </w:pPr>
    </w:p>
    <w:p w14:paraId="4311567D" w14:textId="77777777" w:rsidR="00FE5096" w:rsidRPr="00FE5096" w:rsidRDefault="00FE5096" w:rsidP="00FE5096">
      <w:pPr>
        <w:jc w:val="center"/>
        <w:rPr>
          <w:rFonts w:ascii="Arial" w:hAnsi="Arial" w:cs="Arial"/>
          <w:bCs/>
          <w:sz w:val="22"/>
          <w:szCs w:val="22"/>
        </w:rPr>
      </w:pPr>
      <w:r w:rsidRPr="00FE5096">
        <w:rPr>
          <w:rFonts w:ascii="Arial" w:hAnsi="Arial" w:cs="Arial"/>
          <w:bCs/>
          <w:sz w:val="22"/>
          <w:szCs w:val="22"/>
        </w:rPr>
        <w:t>Dalsi Podwykonawcy:</w:t>
      </w:r>
    </w:p>
    <w:p w14:paraId="0B2FC098" w14:textId="77777777" w:rsidR="00FE5096" w:rsidRPr="00FE5096" w:rsidRDefault="00FE5096" w:rsidP="00FE5096">
      <w:pPr>
        <w:jc w:val="both"/>
        <w:rPr>
          <w:rFonts w:ascii="Arial" w:hAnsi="Arial" w:cs="Arial"/>
          <w:bCs/>
          <w:sz w:val="22"/>
          <w:szCs w:val="22"/>
        </w:rPr>
      </w:pPr>
      <w:r w:rsidRPr="00FE5096">
        <w:rPr>
          <w:rFonts w:ascii="Arial" w:hAnsi="Arial" w:cs="Arial"/>
          <w:bCs/>
          <w:sz w:val="22"/>
          <w:szCs w:val="22"/>
        </w:rPr>
        <w:t xml:space="preserve">§. 2. </w:t>
      </w:r>
    </w:p>
    <w:p w14:paraId="41FC5020" w14:textId="77777777" w:rsidR="00FE5096" w:rsidRPr="00FE5096" w:rsidRDefault="00FE5096" w:rsidP="00FE5096">
      <w:pPr>
        <w:jc w:val="both"/>
        <w:rPr>
          <w:rFonts w:ascii="Arial" w:hAnsi="Arial" w:cs="Arial"/>
          <w:bCs/>
          <w:sz w:val="22"/>
          <w:szCs w:val="22"/>
        </w:rPr>
      </w:pPr>
      <w:r w:rsidRPr="00FE5096">
        <w:rPr>
          <w:rFonts w:ascii="Arial" w:hAnsi="Arial" w:cs="Arial"/>
          <w:bCs/>
          <w:sz w:val="22"/>
          <w:szCs w:val="22"/>
        </w:rPr>
        <w:t>Zawarcie umowy z Podwykonawcą wymaga uprzedniej zgody Zmawiającego przy zachowaniu poniższych warunków;</w:t>
      </w:r>
    </w:p>
    <w:p w14:paraId="079AAB5A"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Zgłaszając Podwykonawcę Wykonawca jest zobowiązany:</w:t>
      </w:r>
    </w:p>
    <w:p w14:paraId="53AC595C"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przedstawić Zamawiającemu projekt umowy Podwykonawcą, zawierający co najmniej dane Podwykonawcy, istotne postanowienia umowne, w tym wynagrodzenie, wraz z częścią dokumentacji dotyczącą zakresu Robót powierzanych Podwykonawcy; </w:t>
      </w:r>
    </w:p>
    <w:p w14:paraId="15ED0B12"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 Jeżeli Zamawiający w terminie 15 dni od dnia przedstawienia im projektu umowy z Podwykonawcą nie zgłoszą na piśmie sprzeciwu lub uwag, uważać się będzie, że wyrazili zgodę na zawarcie Podwykonawcą; przed upływem powyższego terminu Zamawiający może wyrazić zgodę na zawarcie umowy z Podwykonawcą w formie pisemnej pod rygorem nieważności; </w:t>
      </w:r>
    </w:p>
    <w:p w14:paraId="41CE738D"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w przypadku zgłoszenia przez Zamawiającego uwag do projektu umowy w terminie, o którym mowa w pkt b powyżej, Wykonawca zobowiązany jest do uwzględnienia tych uwag i ponownego przedstawienia Zamawiającemu i Inwestorowi projektu umowy uwzględniającego te uwagi; w takim przypadku termin 15 dni na zgłoszenie sprzeciwu przez Zamawiającego biegnie na nowo od dnia otrzymania projektu uwzględniającego uwagi Zamawiającego; </w:t>
      </w:r>
    </w:p>
    <w:p w14:paraId="2833C30A"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niezwłocznie po zawarciu umowy z Podwykonawcą, nie później jednak niż na 7 dni roboczych przed dniem wprowadzenia Podwykonawcy na Teren Budowy, Wykonawca przedstawi Zamawiającemu kopię zawartej z Podwykonawcą umowy o treści zgodnej z zatwierdzonym przez Zamawiającego z projektem umowy;</w:t>
      </w:r>
    </w:p>
    <w:p w14:paraId="64CE0FCD"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procedurę określoną w pkt a-d powyżej stosuje się również do zmian umów zawartych przez Wykonawcę z Podwykonawcami; </w:t>
      </w:r>
    </w:p>
    <w:p w14:paraId="50411C04"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niewypełnienie przez Wykonawcę obowiązków określonych powyżej stanowi podstawę do natychmiastowego usunięcia Podwykonawcy z Terenu Budowy a także zastosowania pozostałych sankcji przewidzianych Umową. </w:t>
      </w:r>
    </w:p>
    <w:p w14:paraId="6CDC988C"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Postanowienia umowy o podwykonawstwo nie mogą być sprzeczne z postanowieniami niniejszej Umowy (np. przewidywać dłuższych terminów wykonania Robót czy też niższych standardów jakości od tych, które zostały określone w Umowie); </w:t>
      </w:r>
    </w:p>
    <w:p w14:paraId="65D51D8E" w14:textId="77777777" w:rsidR="00FE5096" w:rsidRPr="00FE5096" w:rsidRDefault="00FE5096" w:rsidP="00FE5096">
      <w:pPr>
        <w:pStyle w:val="Akapitzlist"/>
        <w:numPr>
          <w:ilvl w:val="0"/>
          <w:numId w:val="9"/>
        </w:numPr>
        <w:jc w:val="both"/>
        <w:rPr>
          <w:rFonts w:ascii="Arial" w:hAnsi="Arial" w:cs="Arial"/>
        </w:rPr>
      </w:pPr>
      <w:r w:rsidRPr="00FE5096">
        <w:rPr>
          <w:rFonts w:ascii="Arial" w:hAnsi="Arial" w:cs="Arial"/>
        </w:rPr>
        <w:t xml:space="preserve">Podwykonawcy powinni posiadać ubezpieczenie odpowiedzialności cywilnej o wartości odpowiadającej wartości podzleconych Robót przez cały okres ich wykonywania </w:t>
      </w:r>
    </w:p>
    <w:p w14:paraId="3BDBC39A"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t>2. Podwykonawca zobowiązuje się dołączyć do każdej faktury VAT przedstawianej Zamawiającemu oświadczenia Podwykonawców o uregulowaniu przez Podwykonawcę wszystkich przysługujących im wymagalnych roszczeń i płatności związanych z Robotami wraz z informacją o wysokości niewymagalnych roszczeń, wraz z kopią faktury VAT wystawionej przez Wykonawcę i kopią potwierdzenia dokonania zapłaty wynagrodzenia Podwykonawcy z tego tytułu. Brak dostarczenia Zamawiającemu ww. dokumentów uprawnia Zamawiającego do wstrzymania dokonania zapłaty na rzecz Wykonawcy bez jakichkolwiek roszczeń Wykonawcy z tego tytuły, w szczególności bez prawa Wykonawcy do naliczania odsetek za opóźnienie płatności.</w:t>
      </w:r>
    </w:p>
    <w:p w14:paraId="78EBBDD0"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t>3. Na każde wezwanie Zamawiającego, Wykonawca w terminie 3 dni od dnia wezwania, jest zobowiązany przedstawić:</w:t>
      </w:r>
    </w:p>
    <w:p w14:paraId="06DDD0B9"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lastRenderedPageBreak/>
        <w:t xml:space="preserve">a) listę Podwykonawców wraz fakturami VAT doręczonymi Wykonawcy przez Podwykonawców z tytułu Robót; </w:t>
      </w:r>
    </w:p>
    <w:p w14:paraId="069CFBF0"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t xml:space="preserve">b) pisemne oświadczenia Podwykonawców, że zapłata zgodna z przedstawionymi Zamawiającemu fakturami VAT zaspokoi wszystkie wierzytelności Podwykonawców wynikające z wykonania na rzecz Zamawiającego Robót. Jeżeli Wykonawca nie wywiąże się z ww. Obowiązku, Zamawiający upoważniony jest do obciążenia go kara umowną w wysokości 10 % Wynagrodzenia za każde naruszenie oraz wstrzymania wszelkich płatności. </w:t>
      </w:r>
    </w:p>
    <w:p w14:paraId="4F79D88A"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t xml:space="preserve">4. Wykonawca oświadcza, że będzie dokonywał terminowo wymagalnych płatności na rzecz Podwykonawców i nie narazi Zamawiającego na odpowiedzialność wynikającą z art. 647[1] Kodeksu cywilnego. Zamawiający ma prawo wglądu w każdym czasie do dokumentacji finansowej Podwykonawcy dotyczącej rozliczeń z Podwykonawcami. Wykonawca zobowiązany będzie wziąć udział w postępowaniu sądowym lub arbitrażowym, toczącym się w związku z ewentualnymi roszczeniami Podwykonawców związanymi z Robotami i zobowiązany będzie do pokrycia wszelkich poniesionych przez Zamawiającego w ramach takiego postępowania kwot i kosztów, w tym kwoty należności głównej, odsetek i kosztów postępowania sądowego lub arbitrażowego. </w:t>
      </w:r>
    </w:p>
    <w:p w14:paraId="1075025F" w14:textId="77777777" w:rsidR="00FE5096" w:rsidRPr="00FE5096" w:rsidRDefault="00FE5096" w:rsidP="00FE5096">
      <w:pPr>
        <w:ind w:left="360"/>
        <w:jc w:val="both"/>
        <w:rPr>
          <w:rFonts w:ascii="Arial" w:hAnsi="Arial" w:cs="Arial"/>
          <w:sz w:val="22"/>
          <w:szCs w:val="22"/>
        </w:rPr>
      </w:pPr>
      <w:r w:rsidRPr="00FE5096">
        <w:rPr>
          <w:rFonts w:ascii="Arial" w:hAnsi="Arial" w:cs="Arial"/>
          <w:sz w:val="22"/>
          <w:szCs w:val="22"/>
        </w:rPr>
        <w:t xml:space="preserve">5. Jeżeli podmiot trzeci, wystosuje do Zamawiającego wezwanie do zapłaty należności z tytułu robót budowlanych lub dostaw wykonywanych na rzecz Wykonawcy na Inwestycji, udokumentowane fakturą lub rachunkiem wystawionym Wykonawcy lub protokołem, dokumentem wz. lub podobnym potwierdzającym wykonanie robót budowlanych lub dostaw na rzecz Wykonawcy, Zamawiający, niezależnie od pozostałych uprawnień wynikających z Umowy, może po uprzednim wezwaniu Wykonawcy do wyjaśnienia przedmiotowej sytuacji, według własnego wyłącznego uznania uregulować należność tego podmiotu i potrącić całą zapłaconą w ten sposób kwotę wraz z narzutem wynoszącym 20 % jej wartości netto z każdej wierzytelności Zamawiającego, na co Wykonawca wyraża nieodwołalną zgodę. </w:t>
      </w:r>
    </w:p>
    <w:p w14:paraId="6D36A018" w14:textId="73E8C0FD" w:rsidR="00FE5096" w:rsidRPr="00FE5096" w:rsidRDefault="00FE5096">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sz w:val="22"/>
          <w:szCs w:val="22"/>
          <w:lang w:val="en-US"/>
        </w:rPr>
      </w:pPr>
    </w:p>
    <w:sectPr w:rsidR="00FE5096" w:rsidRPr="00FE5096">
      <w:headerReference w:type="default" r:id="rId12"/>
      <w:footerReference w:type="default" r:id="rId13"/>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A2931" w14:textId="77777777" w:rsidR="00D40859" w:rsidRDefault="00D40859">
      <w:r>
        <w:separator/>
      </w:r>
    </w:p>
  </w:endnote>
  <w:endnote w:type="continuationSeparator" w:id="0">
    <w:p w14:paraId="32F90904" w14:textId="77777777" w:rsidR="00D40859" w:rsidRDefault="00D40859">
      <w:r>
        <w:continuationSeparator/>
      </w:r>
    </w:p>
  </w:endnote>
  <w:endnote w:type="continuationNotice" w:id="1">
    <w:p w14:paraId="028B1157" w14:textId="77777777" w:rsidR="00D40859" w:rsidRDefault="00D40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400D" w14:textId="77777777" w:rsidR="00200F62" w:rsidRDefault="00200F62">
    <w:pPr>
      <w:pStyle w:val="Nagweki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3B843" w14:textId="77777777" w:rsidR="00D40859" w:rsidRDefault="00D40859">
      <w:r>
        <w:separator/>
      </w:r>
    </w:p>
  </w:footnote>
  <w:footnote w:type="continuationSeparator" w:id="0">
    <w:p w14:paraId="2FF47EA6" w14:textId="77777777" w:rsidR="00D40859" w:rsidRDefault="00D40859">
      <w:r>
        <w:continuationSeparator/>
      </w:r>
    </w:p>
  </w:footnote>
  <w:footnote w:type="continuationNotice" w:id="1">
    <w:p w14:paraId="3BA4DA03" w14:textId="77777777" w:rsidR="00D40859" w:rsidRDefault="00D40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D915" w14:textId="77777777" w:rsidR="00200F62" w:rsidRDefault="00200F62">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650BB"/>
    <w:multiLevelType w:val="hybridMultilevel"/>
    <w:tmpl w:val="E2D0D9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F76372B"/>
    <w:multiLevelType w:val="hybridMultilevel"/>
    <w:tmpl w:val="30BE3202"/>
    <w:styleLink w:val="Numery"/>
    <w:lvl w:ilvl="0" w:tplc="F466AB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B884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0660B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F0D2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64A55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5000F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EC52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24428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2C87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934272"/>
    <w:multiLevelType w:val="hybridMultilevel"/>
    <w:tmpl w:val="91FE615A"/>
    <w:styleLink w:val="Kreski"/>
    <w:lvl w:ilvl="0" w:tplc="0D4A4836">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82041C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368DE4E">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20A7B5C">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9E0E83E">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A94A3AC">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D9E8132">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C64BD3A">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C8C4B98">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40793080"/>
    <w:multiLevelType w:val="hybridMultilevel"/>
    <w:tmpl w:val="91FE615A"/>
    <w:numStyleLink w:val="Kreski"/>
  </w:abstractNum>
  <w:abstractNum w:abstractNumId="4" w15:restartNumberingAfterBreak="0">
    <w:nsid w:val="4B802936"/>
    <w:multiLevelType w:val="hybridMultilevel"/>
    <w:tmpl w:val="5BF4273C"/>
    <w:styleLink w:val="Litery"/>
    <w:lvl w:ilvl="0" w:tplc="9814A48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5CBA0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902654">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3EE1A8">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82722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2E03A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ECEAE2">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144CB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6723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42A7808"/>
    <w:multiLevelType w:val="hybridMultilevel"/>
    <w:tmpl w:val="5BF4273C"/>
    <w:numStyleLink w:val="Litery"/>
  </w:abstractNum>
  <w:abstractNum w:abstractNumId="6" w15:restartNumberingAfterBreak="0">
    <w:nsid w:val="75F043C4"/>
    <w:multiLevelType w:val="hybridMultilevel"/>
    <w:tmpl w:val="30BE3202"/>
    <w:numStyleLink w:val="Numery"/>
  </w:abstractNum>
  <w:num w:numId="1" w16cid:durableId="1124812875">
    <w:abstractNumId w:val="1"/>
  </w:num>
  <w:num w:numId="2" w16cid:durableId="670451283">
    <w:abstractNumId w:val="6"/>
  </w:num>
  <w:num w:numId="3" w16cid:durableId="1747069747">
    <w:abstractNumId w:val="2"/>
  </w:num>
  <w:num w:numId="4" w16cid:durableId="1813135159">
    <w:abstractNumId w:val="3"/>
  </w:num>
  <w:num w:numId="5" w16cid:durableId="1281956755">
    <w:abstractNumId w:val="3"/>
    <w:lvlOverride w:ilvl="0">
      <w:lvl w:ilvl="0" w:tplc="50D0D3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4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886AD7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8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3E22171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1BC0FFB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6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0A7212E0">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0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83AE1BA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4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4AACFC9E">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8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E620138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2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2BEC54F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61" w:hanging="24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6" w16cid:durableId="847209502">
    <w:abstractNumId w:val="4"/>
  </w:num>
  <w:num w:numId="7" w16cid:durableId="780076851">
    <w:abstractNumId w:val="5"/>
  </w:num>
  <w:num w:numId="8" w16cid:durableId="2634602">
    <w:abstractNumId w:val="6"/>
    <w:lvlOverride w:ilvl="0">
      <w:startOverride w:val="1"/>
    </w:lvlOverride>
  </w:num>
  <w:num w:numId="9" w16cid:durableId="756363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F62"/>
    <w:rsid w:val="00001CDD"/>
    <w:rsid w:val="00010A55"/>
    <w:rsid w:val="000471B2"/>
    <w:rsid w:val="000D1576"/>
    <w:rsid w:val="00133081"/>
    <w:rsid w:val="001346C0"/>
    <w:rsid w:val="00161334"/>
    <w:rsid w:val="00171CDE"/>
    <w:rsid w:val="00200F62"/>
    <w:rsid w:val="002170F1"/>
    <w:rsid w:val="00265A7A"/>
    <w:rsid w:val="00287688"/>
    <w:rsid w:val="002E16A4"/>
    <w:rsid w:val="00350337"/>
    <w:rsid w:val="0038780B"/>
    <w:rsid w:val="00407192"/>
    <w:rsid w:val="00416CB2"/>
    <w:rsid w:val="004B5198"/>
    <w:rsid w:val="004F65F5"/>
    <w:rsid w:val="0052240F"/>
    <w:rsid w:val="00552C74"/>
    <w:rsid w:val="005A7337"/>
    <w:rsid w:val="005B4DC9"/>
    <w:rsid w:val="00783A8D"/>
    <w:rsid w:val="007A5E9B"/>
    <w:rsid w:val="00843451"/>
    <w:rsid w:val="00843888"/>
    <w:rsid w:val="00862203"/>
    <w:rsid w:val="00877034"/>
    <w:rsid w:val="008D1159"/>
    <w:rsid w:val="00971324"/>
    <w:rsid w:val="009A505E"/>
    <w:rsid w:val="009E0EEF"/>
    <w:rsid w:val="00A11B19"/>
    <w:rsid w:val="00A71E03"/>
    <w:rsid w:val="00AB2072"/>
    <w:rsid w:val="00AF67F2"/>
    <w:rsid w:val="00B5342F"/>
    <w:rsid w:val="00B641C3"/>
    <w:rsid w:val="00BC36FF"/>
    <w:rsid w:val="00BE508E"/>
    <w:rsid w:val="00C11072"/>
    <w:rsid w:val="00C22B5F"/>
    <w:rsid w:val="00CC6147"/>
    <w:rsid w:val="00D2467B"/>
    <w:rsid w:val="00D40859"/>
    <w:rsid w:val="00D470A7"/>
    <w:rsid w:val="00D84659"/>
    <w:rsid w:val="00D92C00"/>
    <w:rsid w:val="00DF4A15"/>
    <w:rsid w:val="00E129E6"/>
    <w:rsid w:val="00ED20D6"/>
    <w:rsid w:val="00EF5268"/>
    <w:rsid w:val="00F46EE7"/>
    <w:rsid w:val="00FA4C8B"/>
    <w:rsid w:val="00FC6189"/>
    <w:rsid w:val="00FE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D1F"/>
  <w15:docId w15:val="{1EDF1182-4A58-4581-8409-E80E1F00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ery">
    <w:name w:val="Numery"/>
    <w:pPr>
      <w:numPr>
        <w:numId w:val="1"/>
      </w:numPr>
    </w:pPr>
  </w:style>
  <w:style w:type="numbering" w:customStyle="1" w:styleId="Kreski">
    <w:name w:val="Kreski"/>
    <w:pPr>
      <w:numPr>
        <w:numId w:val="3"/>
      </w:numPr>
    </w:pPr>
  </w:style>
  <w:style w:type="paragraph" w:customStyle="1" w:styleId="Domylne">
    <w:name w:val="Domyśln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Litery">
    <w:name w:val="Litery"/>
    <w:pPr>
      <w:numPr>
        <w:numId w:val="6"/>
      </w:numPr>
    </w:pPr>
  </w:style>
  <w:style w:type="character" w:styleId="Odwoaniedokomentarza">
    <w:name w:val="annotation reference"/>
    <w:basedOn w:val="Domylnaczcionkaakapitu"/>
    <w:uiPriority w:val="99"/>
    <w:semiHidden/>
    <w:unhideWhenUsed/>
    <w:rsid w:val="00133081"/>
    <w:rPr>
      <w:sz w:val="16"/>
      <w:szCs w:val="16"/>
    </w:rPr>
  </w:style>
  <w:style w:type="paragraph" w:styleId="Tekstkomentarza">
    <w:name w:val="annotation text"/>
    <w:basedOn w:val="Normalny"/>
    <w:link w:val="TekstkomentarzaZnak"/>
    <w:uiPriority w:val="99"/>
    <w:unhideWhenUsed/>
    <w:rsid w:val="00133081"/>
    <w:rPr>
      <w:sz w:val="20"/>
      <w:szCs w:val="20"/>
    </w:rPr>
  </w:style>
  <w:style w:type="character" w:customStyle="1" w:styleId="TekstkomentarzaZnak">
    <w:name w:val="Tekst komentarza Znak"/>
    <w:basedOn w:val="Domylnaczcionkaakapitu"/>
    <w:link w:val="Tekstkomentarza"/>
    <w:uiPriority w:val="99"/>
    <w:rsid w:val="00133081"/>
    <w:rPr>
      <w:lang w:val="en-US" w:eastAsia="en-US"/>
    </w:rPr>
  </w:style>
  <w:style w:type="paragraph" w:styleId="Tematkomentarza">
    <w:name w:val="annotation subject"/>
    <w:basedOn w:val="Tekstkomentarza"/>
    <w:next w:val="Tekstkomentarza"/>
    <w:link w:val="TematkomentarzaZnak"/>
    <w:uiPriority w:val="99"/>
    <w:semiHidden/>
    <w:unhideWhenUsed/>
    <w:rsid w:val="00133081"/>
    <w:rPr>
      <w:b/>
      <w:bCs/>
    </w:rPr>
  </w:style>
  <w:style w:type="character" w:customStyle="1" w:styleId="TematkomentarzaZnak">
    <w:name w:val="Temat komentarza Znak"/>
    <w:basedOn w:val="TekstkomentarzaZnak"/>
    <w:link w:val="Tematkomentarza"/>
    <w:uiPriority w:val="99"/>
    <w:semiHidden/>
    <w:rsid w:val="00133081"/>
    <w:rPr>
      <w:b/>
      <w:bCs/>
      <w:lang w:val="en-US" w:eastAsia="en-US"/>
    </w:rPr>
  </w:style>
  <w:style w:type="paragraph" w:styleId="Nagwek">
    <w:name w:val="header"/>
    <w:basedOn w:val="Normalny"/>
    <w:link w:val="NagwekZnak"/>
    <w:uiPriority w:val="99"/>
    <w:semiHidden/>
    <w:unhideWhenUsed/>
    <w:rsid w:val="009E0EEF"/>
    <w:pPr>
      <w:tabs>
        <w:tab w:val="center" w:pos="4536"/>
        <w:tab w:val="right" w:pos="9072"/>
      </w:tabs>
    </w:pPr>
  </w:style>
  <w:style w:type="character" w:customStyle="1" w:styleId="NagwekZnak">
    <w:name w:val="Nagłówek Znak"/>
    <w:basedOn w:val="Domylnaczcionkaakapitu"/>
    <w:link w:val="Nagwek"/>
    <w:uiPriority w:val="99"/>
    <w:semiHidden/>
    <w:rsid w:val="009E0EEF"/>
    <w:rPr>
      <w:sz w:val="24"/>
      <w:szCs w:val="24"/>
      <w:lang w:val="en-US" w:eastAsia="en-US"/>
    </w:rPr>
  </w:style>
  <w:style w:type="paragraph" w:styleId="Stopka">
    <w:name w:val="footer"/>
    <w:basedOn w:val="Normalny"/>
    <w:link w:val="StopkaZnak"/>
    <w:uiPriority w:val="99"/>
    <w:semiHidden/>
    <w:unhideWhenUsed/>
    <w:rsid w:val="009E0EEF"/>
    <w:pPr>
      <w:tabs>
        <w:tab w:val="center" w:pos="4536"/>
        <w:tab w:val="right" w:pos="9072"/>
      </w:tabs>
    </w:pPr>
  </w:style>
  <w:style w:type="character" w:customStyle="1" w:styleId="StopkaZnak">
    <w:name w:val="Stopka Znak"/>
    <w:basedOn w:val="Domylnaczcionkaakapitu"/>
    <w:link w:val="Stopka"/>
    <w:uiPriority w:val="99"/>
    <w:semiHidden/>
    <w:rsid w:val="009E0EEF"/>
    <w:rPr>
      <w:sz w:val="24"/>
      <w:szCs w:val="24"/>
      <w:lang w:val="en-US" w:eastAsia="en-US"/>
    </w:rPr>
  </w:style>
  <w:style w:type="paragraph" w:styleId="Akapitzlist">
    <w:name w:val="List Paragraph"/>
    <w:basedOn w:val="Normalny"/>
    <w:uiPriority w:val="34"/>
    <w:qFormat/>
    <w:rsid w:val="00FE5096"/>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kern w:val="2"/>
      <w:sz w:val="22"/>
      <w:szCs w:val="22"/>
      <w:bdr w:val="none" w:sz="0" w:space="0" w:color="auto"/>
      <w:lang w:val="pl-PL"/>
      <w14:ligatures w14:val="standardContextual"/>
    </w:rPr>
  </w:style>
  <w:style w:type="paragraph" w:styleId="Tekstdymka">
    <w:name w:val="Balloon Text"/>
    <w:basedOn w:val="Normalny"/>
    <w:link w:val="TekstdymkaZnak"/>
    <w:uiPriority w:val="99"/>
    <w:semiHidden/>
    <w:unhideWhenUsed/>
    <w:rsid w:val="00EF5268"/>
    <w:rPr>
      <w:rFonts w:ascii="Tahoma" w:hAnsi="Tahoma" w:cs="Tahoma"/>
      <w:sz w:val="16"/>
      <w:szCs w:val="16"/>
    </w:rPr>
  </w:style>
  <w:style w:type="character" w:customStyle="1" w:styleId="TekstdymkaZnak">
    <w:name w:val="Tekst dymka Znak"/>
    <w:basedOn w:val="Domylnaczcionkaakapitu"/>
    <w:link w:val="Tekstdymka"/>
    <w:uiPriority w:val="99"/>
    <w:semiHidden/>
    <w:rsid w:val="00EF52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670136810">
      <w:bodyDiv w:val="1"/>
      <w:marLeft w:val="0"/>
      <w:marRight w:val="0"/>
      <w:marTop w:val="0"/>
      <w:marBottom w:val="0"/>
      <w:divBdr>
        <w:top w:val="none" w:sz="0" w:space="0" w:color="auto"/>
        <w:left w:val="none" w:sz="0" w:space="0" w:color="auto"/>
        <w:bottom w:val="none" w:sz="0" w:space="0" w:color="auto"/>
        <w:right w:val="none" w:sz="0" w:space="0" w:color="auto"/>
      </w:divBdr>
    </w:div>
    <w:div w:id="1491869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16a646dcdc97db7a21bcd85fe4d2cfa4">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ed031be3a6335b1154cb568e8b8bcc71"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Props1.xml><?xml version="1.0" encoding="utf-8"?>
<ds:datastoreItem xmlns:ds="http://schemas.openxmlformats.org/officeDocument/2006/customXml" ds:itemID="{B051DC82-9FB1-4D96-A9EC-48DF19F071E1}">
  <ds:schemaRefs>
    <ds:schemaRef ds:uri="http://schemas.microsoft.com/sharepoint/v3/contenttype/forms"/>
  </ds:schemaRefs>
</ds:datastoreItem>
</file>

<file path=customXml/itemProps2.xml><?xml version="1.0" encoding="utf-8"?>
<ds:datastoreItem xmlns:ds="http://schemas.openxmlformats.org/officeDocument/2006/customXml" ds:itemID="{E298101A-B5E0-4269-9344-DF44113C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CA92B-EDD4-4184-8A4C-A86A7750AAE4}">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2988</Words>
  <Characters>17933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Grzegorz Hołyszewski</cp:lastModifiedBy>
  <cp:revision>19</cp:revision>
  <dcterms:created xsi:type="dcterms:W3CDTF">2024-09-02T10:03:00Z</dcterms:created>
  <dcterms:modified xsi:type="dcterms:W3CDTF">2024-09-05T10:26:00Z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