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CB" w:rsidRPr="008F0CCB" w:rsidRDefault="00C65A81" w:rsidP="008F0CCB">
      <w:pPr>
        <w:spacing w:line="240" w:lineRule="auto"/>
        <w:ind w:left="6372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Mikołów, 13</w:t>
      </w:r>
      <w:r w:rsidR="008F0CCB" w:rsidRPr="008F0CCB">
        <w:rPr>
          <w:rFonts w:asciiTheme="minorHAnsi" w:hAnsiTheme="minorHAnsi" w:cstheme="minorHAnsi"/>
          <w:b/>
          <w:bCs/>
          <w:color w:val="000000"/>
        </w:rPr>
        <w:t xml:space="preserve">.06.2024 r. </w:t>
      </w:r>
    </w:p>
    <w:p w:rsidR="00BB3D6C" w:rsidRPr="008F0CCB" w:rsidRDefault="00BB3D6C" w:rsidP="008F0CCB">
      <w:pPr>
        <w:spacing w:line="240" w:lineRule="auto"/>
        <w:ind w:left="2832" w:firstLine="708"/>
        <w:rPr>
          <w:rFonts w:asciiTheme="minorHAnsi" w:eastAsiaTheme="minorHAnsi" w:hAnsiTheme="minorHAnsi" w:cstheme="minorHAnsi"/>
          <w:b/>
        </w:rPr>
      </w:pPr>
      <w:r w:rsidRPr="008F0CCB">
        <w:rPr>
          <w:rFonts w:asciiTheme="minorHAnsi" w:hAnsiTheme="minorHAnsi" w:cstheme="minorHAnsi"/>
          <w:b/>
          <w:bCs/>
          <w:color w:val="000000"/>
        </w:rPr>
        <w:t>Zapytanie ofertowe nr 1/</w:t>
      </w:r>
      <w:r w:rsidRPr="008F0CCB">
        <w:rPr>
          <w:rFonts w:asciiTheme="minorHAnsi" w:eastAsiaTheme="minorHAnsi" w:hAnsiTheme="minorHAnsi" w:cstheme="minorHAnsi"/>
          <w:b/>
        </w:rPr>
        <w:t>FEMP.08.07-IP.01-0033/23</w:t>
      </w:r>
    </w:p>
    <w:p w:rsidR="00BB3D6C" w:rsidRPr="008F0CCB" w:rsidRDefault="00BB3D6C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  <w:lang w:eastAsia="zh-CN"/>
        </w:rPr>
      </w:pPr>
      <w:bookmarkStart w:id="0" w:name="_Hlk164702670"/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8F0CCB">
        <w:rPr>
          <w:rFonts w:asciiTheme="minorHAnsi" w:hAnsiTheme="minorHAnsi" w:cstheme="minorHAnsi"/>
          <w:lang w:eastAsia="zh-CN"/>
        </w:rPr>
        <w:t xml:space="preserve">Zapraszamy do złożenia oferty na </w:t>
      </w:r>
      <w:bookmarkStart w:id="1" w:name="_Hlk167740167"/>
      <w:bookmarkStart w:id="2" w:name="_Hlk164701734"/>
      <w:r w:rsidRPr="008F0CCB">
        <w:rPr>
          <w:rFonts w:asciiTheme="minorHAnsi" w:hAnsiTheme="minorHAnsi" w:cstheme="minorHAnsi"/>
          <w:b/>
        </w:rPr>
        <w:t xml:space="preserve">dostawę, montaż i uruchomienie </w:t>
      </w:r>
      <w:bookmarkStart w:id="3" w:name="_Hlk167741165"/>
      <w:bookmarkEnd w:id="1"/>
      <w:r w:rsidRPr="008F0CCB">
        <w:rPr>
          <w:rFonts w:asciiTheme="minorHAnsi" w:hAnsiTheme="minorHAnsi" w:cstheme="minorHAnsi"/>
          <w:b/>
          <w:bCs/>
        </w:rPr>
        <w:t>Innowacyjnego systemu otwierania drzwi w obiekcie hotelowym na potrzeby projektu  „</w:t>
      </w:r>
      <w:r w:rsidRPr="008F0CCB">
        <w:rPr>
          <w:rFonts w:asciiTheme="minorHAnsi" w:eastAsiaTheme="minorHAnsi" w:hAnsiTheme="minorHAnsi" w:cstheme="minorHAnsi"/>
          <w:lang w:eastAsia="en-US"/>
        </w:rPr>
        <w:t xml:space="preserve">Inwestycje rozwojowe w Hotelu Galicja </w:t>
      </w:r>
      <w:proofErr w:type="spellStart"/>
      <w:r w:rsidRPr="008F0CCB">
        <w:rPr>
          <w:rFonts w:asciiTheme="minorHAnsi" w:eastAsiaTheme="minorHAnsi" w:hAnsiTheme="minorHAnsi" w:cstheme="minorHAnsi"/>
          <w:lang w:eastAsia="en-US"/>
        </w:rPr>
        <w:t>Wellness</w:t>
      </w:r>
      <w:proofErr w:type="spellEnd"/>
      <w:r w:rsidRPr="008F0CCB">
        <w:rPr>
          <w:rFonts w:asciiTheme="minorHAnsi" w:eastAsiaTheme="minorHAnsi" w:hAnsiTheme="minorHAnsi" w:cstheme="minorHAnsi"/>
          <w:lang w:eastAsia="en-US"/>
        </w:rPr>
        <w:t xml:space="preserve"> &amp; SPA Oświęcim</w:t>
      </w:r>
      <w:r w:rsidRPr="008F0CCB">
        <w:rPr>
          <w:rFonts w:asciiTheme="minorHAnsi" w:hAnsiTheme="minorHAnsi" w:cstheme="minorHAnsi"/>
          <w:b/>
          <w:bCs/>
        </w:rPr>
        <w:t xml:space="preserve">” nr </w:t>
      </w:r>
      <w:r w:rsidRPr="008F0CCB">
        <w:rPr>
          <w:rFonts w:asciiTheme="minorHAnsi" w:eastAsiaTheme="minorHAnsi" w:hAnsiTheme="minorHAnsi" w:cstheme="minorHAnsi"/>
          <w:lang w:eastAsia="en-US"/>
        </w:rPr>
        <w:t>FEMP.08.07-IP.01-0033/23</w:t>
      </w:r>
      <w:r w:rsidRPr="008F0CCB">
        <w:rPr>
          <w:rFonts w:asciiTheme="minorHAnsi" w:hAnsiTheme="minorHAnsi" w:cstheme="minorHAnsi"/>
          <w:bCs/>
        </w:rPr>
        <w:t xml:space="preserve"> współfinansowanego ze środków Programu </w:t>
      </w:r>
      <w:bookmarkEnd w:id="0"/>
      <w:bookmarkEnd w:id="2"/>
      <w:r w:rsidRPr="008F0CCB">
        <w:rPr>
          <w:rFonts w:asciiTheme="minorHAnsi" w:hAnsiTheme="minorHAnsi" w:cstheme="minorHAnsi"/>
          <w:bCs/>
        </w:rPr>
        <w:t xml:space="preserve">Fundusze Europejskie dla Małopolski 2021-2027, </w:t>
      </w:r>
      <w:r w:rsidRPr="008F0CCB">
        <w:rPr>
          <w:rFonts w:asciiTheme="minorHAnsi" w:hAnsiTheme="minorHAnsi" w:cstheme="minorHAnsi"/>
        </w:rPr>
        <w:t xml:space="preserve">Priorytet </w:t>
      </w:r>
      <w:r w:rsidRPr="008F0CCB">
        <w:rPr>
          <w:rFonts w:asciiTheme="minorHAnsi" w:eastAsiaTheme="minorHAnsi" w:hAnsiTheme="minorHAnsi" w:cstheme="minorHAnsi"/>
          <w:lang w:eastAsia="en-US"/>
        </w:rPr>
        <w:t>Fundusze europejskie dla sprawiedliwej transformacji Małopolski Zachodniej</w:t>
      </w:r>
      <w:r w:rsidRPr="008F0CCB">
        <w:rPr>
          <w:rFonts w:asciiTheme="minorHAnsi" w:hAnsiTheme="minorHAnsi" w:cstheme="minorHAnsi"/>
        </w:rPr>
        <w:t xml:space="preserve">, </w:t>
      </w:r>
      <w:bookmarkEnd w:id="3"/>
      <w:r w:rsidRPr="008F0CCB">
        <w:rPr>
          <w:rFonts w:asciiTheme="minorHAnsi" w:eastAsiaTheme="minorHAnsi" w:hAnsiTheme="minorHAnsi" w:cstheme="minorHAnsi"/>
          <w:lang w:eastAsia="en-US"/>
        </w:rPr>
        <w:t>Rozwój firm wspierający sprawiedliwą transformację.</w:t>
      </w:r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NAZWA I ADRES ZAMAWIAJĄCEGO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Nazwa: VIVA Krzysztof </w:t>
      </w:r>
      <w:proofErr w:type="spellStart"/>
      <w:r w:rsidRPr="008F0CCB">
        <w:rPr>
          <w:rFonts w:asciiTheme="minorHAnsi" w:hAnsiTheme="minorHAnsi" w:cstheme="minorHAnsi"/>
        </w:rPr>
        <w:t>Szymakowski</w:t>
      </w:r>
      <w:proofErr w:type="spellEnd"/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Adres: ul. Dąbrowskiego 119, Oświęcim 32-600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NIP: </w:t>
      </w:r>
      <w:r w:rsidRPr="008F0CCB">
        <w:rPr>
          <w:rFonts w:asciiTheme="minorHAnsi" w:hAnsiTheme="minorHAnsi" w:cstheme="minorHAnsi"/>
          <w:shd w:val="clear" w:color="auto" w:fill="FFFFFF"/>
        </w:rPr>
        <w:t>5490018061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shd w:val="clear" w:color="auto" w:fill="FFFFFF"/>
        </w:rPr>
      </w:pPr>
      <w:r w:rsidRPr="008F0CCB">
        <w:rPr>
          <w:rFonts w:asciiTheme="minorHAnsi" w:hAnsiTheme="minorHAnsi" w:cstheme="minorHAnsi"/>
        </w:rPr>
        <w:t xml:space="preserve">Adres strony internetowej: </w:t>
      </w:r>
      <w:r w:rsidRPr="008F0CCB">
        <w:rPr>
          <w:rFonts w:asciiTheme="minorHAnsi" w:hAnsiTheme="minorHAnsi" w:cstheme="minorHAnsi"/>
          <w:shd w:val="clear" w:color="auto" w:fill="FFFFFF"/>
        </w:rPr>
        <w:t>www.hotelgalicja.com.pl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Osoba do kontaktu: Grzegorz </w:t>
      </w:r>
      <w:proofErr w:type="spellStart"/>
      <w:r w:rsidRPr="008F0CCB">
        <w:rPr>
          <w:rFonts w:asciiTheme="minorHAnsi" w:hAnsiTheme="minorHAnsi" w:cstheme="minorHAnsi"/>
        </w:rPr>
        <w:t>Lakota</w:t>
      </w:r>
      <w:proofErr w:type="spellEnd"/>
      <w:r w:rsidRPr="008F0CCB">
        <w:rPr>
          <w:rFonts w:asciiTheme="minorHAnsi" w:hAnsiTheme="minorHAnsi" w:cstheme="minorHAnsi"/>
        </w:rPr>
        <w:t>, tel. 784 090 964, e-mail: gl@hotelgalicja.com.pl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TRYB UDZIELENIA ZAMÓWIENIA</w:t>
      </w:r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Niniejsze postępowanie prowadzone jest z zachowaniem zasady konkurencyjności, o której mowa w Wytycznych w zakresie kwalifikowalności wydatków na lata 2021-2027.</w:t>
      </w:r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Zapytanie ofertowe opublikowane jest w Bazie konkurencyjności, na stronie </w:t>
      </w:r>
      <w:hyperlink r:id="rId7" w:history="1">
        <w:r w:rsidRPr="008F0CCB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Zamawiający nie przewiduje złożenia ofert częściowych.</w:t>
      </w:r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Zamawiający nie przewiduje złożenia ofert wariantowych.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OPIS PRZEDMIOTU ZAMÓWIENIA</w:t>
      </w:r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Przedmiotem zamówienia jest: </w:t>
      </w:r>
      <w:r w:rsidRPr="008F0CCB">
        <w:rPr>
          <w:rFonts w:asciiTheme="minorHAnsi" w:hAnsiTheme="minorHAnsi" w:cstheme="minorHAnsi"/>
          <w:bCs/>
        </w:rPr>
        <w:t>dostawa, montaż i uruchomienie</w:t>
      </w:r>
      <w:r w:rsidRPr="008F0CCB">
        <w:rPr>
          <w:rFonts w:asciiTheme="minorHAnsi" w:hAnsiTheme="minorHAnsi" w:cstheme="minorHAnsi"/>
          <w:b/>
        </w:rPr>
        <w:t xml:space="preserve"> </w:t>
      </w:r>
      <w:r w:rsidRPr="008F0CCB">
        <w:rPr>
          <w:rFonts w:asciiTheme="minorHAnsi" w:hAnsiTheme="minorHAnsi" w:cstheme="minorHAnsi"/>
          <w:b/>
          <w:bCs/>
        </w:rPr>
        <w:t>Innowacyjnego systemu otwierania drzwi w obiekcie hotelowym</w:t>
      </w:r>
    </w:p>
    <w:p w:rsidR="006A1E6E" w:rsidRPr="008F0CCB" w:rsidRDefault="006A1E6E" w:rsidP="006A1E6E">
      <w:pPr>
        <w:shd w:val="clear" w:color="auto" w:fill="FFFFFF"/>
        <w:spacing w:after="120"/>
        <w:jc w:val="both"/>
        <w:rPr>
          <w:rFonts w:asciiTheme="minorHAnsi" w:hAnsiTheme="minorHAnsi" w:cstheme="minorHAnsi"/>
          <w:color w:val="FF0000"/>
        </w:rPr>
      </w:pPr>
      <w:r w:rsidRPr="00763997">
        <w:rPr>
          <w:rFonts w:asciiTheme="minorHAnsi" w:hAnsiTheme="minorHAnsi" w:cstheme="minorHAnsi"/>
        </w:rPr>
        <w:t>Kod CPV:</w:t>
      </w:r>
      <w:r w:rsidRPr="008F0CCB">
        <w:rPr>
          <w:rFonts w:asciiTheme="minorHAnsi" w:hAnsiTheme="minorHAnsi" w:cstheme="minorHAnsi"/>
          <w:color w:val="FF0000"/>
        </w:rPr>
        <w:t xml:space="preserve"> </w:t>
      </w:r>
      <w:r w:rsidR="00763997">
        <w:rPr>
          <w:rFonts w:ascii="Arial" w:hAnsi="Arial" w:cs="Arial"/>
          <w:color w:val="000000"/>
          <w:spacing w:val="2"/>
          <w:shd w:val="clear" w:color="auto" w:fill="FFFFFF"/>
        </w:rPr>
        <w:t>42961100-1 System kontroli dostępu</w:t>
      </w:r>
      <w:r w:rsidR="00AC1C3A">
        <w:rPr>
          <w:rFonts w:ascii="Arial" w:hAnsi="Arial" w:cs="Arial"/>
          <w:color w:val="000000"/>
          <w:spacing w:val="2"/>
          <w:shd w:val="clear" w:color="auto" w:fill="FFFFFF"/>
        </w:rPr>
        <w:t>/</w:t>
      </w:r>
      <w:r w:rsidR="00AC1C3A" w:rsidRPr="00AC1C3A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="00AC1C3A">
        <w:rPr>
          <w:rFonts w:ascii="Arial" w:hAnsi="Arial" w:cs="Arial"/>
          <w:color w:val="000000"/>
          <w:spacing w:val="2"/>
          <w:shd w:val="clear" w:color="auto" w:fill="FFFFFF"/>
        </w:rPr>
        <w:t>44520000-1 Zamki, klucze i zawiasy/</w:t>
      </w:r>
      <w:r w:rsidR="00AC1C3A" w:rsidRPr="00AC1C3A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="00AC1C3A">
        <w:rPr>
          <w:rFonts w:ascii="Arial" w:hAnsi="Arial" w:cs="Arial"/>
          <w:color w:val="000000"/>
          <w:spacing w:val="2"/>
          <w:shd w:val="clear" w:color="auto" w:fill="FFFFFF"/>
        </w:rPr>
        <w:t>48000000-8 Pakiety oprogramowania i systemy informatyczne</w:t>
      </w: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0CCB">
        <w:rPr>
          <w:rFonts w:asciiTheme="minorHAnsi" w:hAnsiTheme="minorHAnsi" w:cstheme="minorHAnsi"/>
          <w:sz w:val="22"/>
          <w:szCs w:val="22"/>
        </w:rPr>
        <w:t>Parametry</w:t>
      </w:r>
      <w:r w:rsidR="00F95297" w:rsidRPr="008F0CCB">
        <w:rPr>
          <w:rFonts w:asciiTheme="minorHAnsi" w:hAnsiTheme="minorHAnsi" w:cstheme="minorHAnsi"/>
          <w:sz w:val="22"/>
          <w:szCs w:val="22"/>
        </w:rPr>
        <w:t xml:space="preserve"> systemu</w:t>
      </w:r>
      <w:r w:rsidRPr="008F0CCB">
        <w:rPr>
          <w:rFonts w:asciiTheme="minorHAnsi" w:hAnsiTheme="minorHAnsi" w:cstheme="minorHAnsi"/>
          <w:sz w:val="22"/>
          <w:szCs w:val="22"/>
        </w:rPr>
        <w:t>:</w:t>
      </w:r>
    </w:p>
    <w:p w:rsidR="00F95297" w:rsidRPr="008F0CCB" w:rsidRDefault="00F95297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system pracy: offline / online </w:t>
      </w:r>
    </w:p>
    <w:p w:rsidR="00F95297" w:rsidRPr="008F0CCB" w:rsidRDefault="00F95297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odczyt</w:t>
      </w:r>
      <w:r w:rsidR="008216A9" w:rsidRPr="008F0CCB">
        <w:rPr>
          <w:rFonts w:asciiTheme="minorHAnsi" w:hAnsiTheme="minorHAnsi" w:cstheme="minorHAnsi"/>
          <w:color w:val="auto"/>
          <w:sz w:val="22"/>
          <w:szCs w:val="22"/>
        </w:rPr>
        <w:t>/otwarcie drzwi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>: karta oraz Bluetooth</w:t>
      </w:r>
      <w:r w:rsidR="00165F9D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65F9D" w:rsidRPr="008F0CCB">
        <w:rPr>
          <w:rFonts w:asciiTheme="minorHAnsi" w:hAnsiTheme="minorHAnsi" w:cstheme="minorHAnsi"/>
          <w:color w:val="auto"/>
          <w:sz w:val="22"/>
          <w:szCs w:val="22"/>
        </w:rPr>
        <w:t>Low</w:t>
      </w:r>
      <w:proofErr w:type="spellEnd"/>
      <w:r w:rsidR="00165F9D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Energy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–</w:t>
      </w:r>
      <w:r w:rsidR="00165F9D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system umożliwiający użycie </w:t>
      </w:r>
      <w:proofErr w:type="spellStart"/>
      <w:r w:rsidRPr="008F0CCB">
        <w:rPr>
          <w:rFonts w:asciiTheme="minorHAnsi" w:hAnsiTheme="minorHAnsi" w:cstheme="minorHAnsi"/>
          <w:color w:val="auto"/>
          <w:sz w:val="22"/>
          <w:szCs w:val="22"/>
        </w:rPr>
        <w:t>smartfona</w:t>
      </w:r>
      <w:proofErr w:type="spellEnd"/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jako klucza lub karty mechanicznej zbliżeniowej RFID</w:t>
      </w:r>
    </w:p>
    <w:p w:rsidR="00F95297" w:rsidRPr="008F0CCB" w:rsidRDefault="00F95297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programowanie kart</w:t>
      </w:r>
      <w:r w:rsidR="008216A9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RFID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>: na okres od 1 doby do 9 lat, karta może być zaprogramowana do 10 dni przed przyjazdem gościa hotelowego,</w:t>
      </w:r>
    </w:p>
    <w:p w:rsidR="00F95297" w:rsidRPr="008F0CCB" w:rsidRDefault="00F95297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funkcja powiadamiania o niskim poziomie baterii</w:t>
      </w:r>
      <w:r w:rsidR="008216A9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w zamku</w:t>
      </w:r>
    </w:p>
    <w:p w:rsidR="00950270" w:rsidRPr="008F0CCB" w:rsidRDefault="00F95297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dopasowanie systemu</w:t>
      </w:r>
      <w:r w:rsidR="00EC0CB8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(zamków elektronicznych)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do istniejących otworów montażowych 3 otwory (rozstaw otworów opisany na trójkącie o bokach 57mm, 185mm, 185mm)</w:t>
      </w:r>
      <w:r w:rsidR="00A508F9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– brak</w:t>
      </w:r>
      <w:r w:rsidR="00E3291B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koniczności modyfikacji drzwi oraz stosowania widocznych elementów dopasowujących. </w:t>
      </w:r>
    </w:p>
    <w:p w:rsidR="004F28E3" w:rsidRPr="008F0CCB" w:rsidRDefault="004F28E3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lastRenderedPageBreak/>
        <w:t>zamki elektroniczne przystosowane do montażu w drzwiach o grubości 35 – 63mm</w:t>
      </w:r>
    </w:p>
    <w:p w:rsidR="00F95297" w:rsidRPr="008F0CCB" w:rsidRDefault="00950270" w:rsidP="00F95297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wykończenie zamków w kolorze satyna chrom </w:t>
      </w:r>
      <w:r w:rsidR="00F95297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F95297" w:rsidRPr="008F0CCB" w:rsidRDefault="00F95297" w:rsidP="00F95297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zamek wpuszczany z zapadką i funkcją </w:t>
      </w:r>
      <w:proofErr w:type="spellStart"/>
      <w:r w:rsidRPr="008F0CCB">
        <w:rPr>
          <w:rFonts w:asciiTheme="minorHAnsi" w:hAnsiTheme="minorHAnsi" w:cstheme="minorHAnsi"/>
        </w:rPr>
        <w:t>private</w:t>
      </w:r>
      <w:proofErr w:type="spellEnd"/>
    </w:p>
    <w:p w:rsidR="00F95297" w:rsidRPr="008F0CCB" w:rsidRDefault="00F95297" w:rsidP="00F95297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wkładka na klucz bezpieczeństwa zainstalowana w klamce</w:t>
      </w:r>
      <w:r w:rsidR="00A508F9" w:rsidRPr="008F0CCB">
        <w:rPr>
          <w:rFonts w:asciiTheme="minorHAnsi" w:hAnsiTheme="minorHAnsi" w:cstheme="minorHAnsi"/>
        </w:rPr>
        <w:t xml:space="preserve"> pod zaślepką</w:t>
      </w:r>
      <w:r w:rsidRPr="008F0CCB">
        <w:rPr>
          <w:rFonts w:asciiTheme="minorHAnsi" w:hAnsiTheme="minorHAnsi" w:cstheme="minorHAnsi"/>
        </w:rPr>
        <w:t xml:space="preserve"> </w:t>
      </w:r>
    </w:p>
    <w:p w:rsidR="00F95297" w:rsidRPr="008F0CCB" w:rsidRDefault="00F95297" w:rsidP="00F95297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scentralizowana kontrola dostępu, programowania i zarządzania</w:t>
      </w:r>
    </w:p>
    <w:p w:rsidR="00DD20CE" w:rsidRPr="008F0CCB" w:rsidRDefault="00DD20CE" w:rsidP="00F95297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gwarancja 24 miesiące </w:t>
      </w:r>
    </w:p>
    <w:p w:rsidR="00DD20CE" w:rsidRPr="008F0CCB" w:rsidRDefault="00DD20CE" w:rsidP="00F95297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serwis pogwarancyjny minimum 10 lat </w:t>
      </w:r>
    </w:p>
    <w:p w:rsidR="00DD20CE" w:rsidRPr="008F0CCB" w:rsidRDefault="00DD20CE" w:rsidP="00F95297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dostępność części zamiennych minimum 10 lat </w:t>
      </w: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9B3CAE" w:rsidRPr="008F0CCB" w:rsidRDefault="009B3CAE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>ELEMENTY SKŁADOWE SYSTEMU</w:t>
      </w:r>
    </w:p>
    <w:p w:rsidR="009B3CAE" w:rsidRPr="008F0CCB" w:rsidRDefault="009B3CAE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Oprogramowanie systemu z modułami: </w:t>
      </w: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- moduł umożliwiający</w:t>
      </w:r>
      <w:r w:rsidR="00E30898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zarządzanie kluczami mobilnymi BLE</w:t>
      </w: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- moduł uruchamiający platf</w:t>
      </w:r>
      <w:r w:rsidR="00E30898" w:rsidRPr="008F0CCB">
        <w:rPr>
          <w:rFonts w:asciiTheme="minorHAnsi" w:hAnsiTheme="minorHAnsi" w:cstheme="minorHAnsi"/>
          <w:color w:val="auto"/>
          <w:sz w:val="22"/>
          <w:szCs w:val="22"/>
        </w:rPr>
        <w:t>ormę do przesyłania poświadczeń BLE</w:t>
      </w: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- licencja coroczna do korzystania z kluczy</w:t>
      </w:r>
      <w:r w:rsidR="00E30898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mobilnych BLE </w:t>
      </w:r>
    </w:p>
    <w:p w:rsidR="00DD20CE" w:rsidRPr="008F0CCB" w:rsidRDefault="00DD20C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>- programator kart zbliżeniowych RFID</w:t>
      </w:r>
    </w:p>
    <w:p w:rsidR="00DD20CE" w:rsidRPr="008F0CCB" w:rsidRDefault="00DD20C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- programator zamków hotelowych zbliżeniowy </w:t>
      </w: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165F9D" w:rsidRPr="008F0CCB" w:rsidRDefault="00DD20CE" w:rsidP="00165F9D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6A1E6E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>amki elektroniczne</w:t>
      </w:r>
      <w:r w:rsidR="009B3CAE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wraz z niezbędnymi elementami montażowymi</w:t>
      </w:r>
      <w:r w:rsidR="006A1E6E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A1E6E"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55 szt. </w:t>
      </w:r>
    </w:p>
    <w:p w:rsidR="00165F9D" w:rsidRPr="008F0CCB" w:rsidRDefault="00165F9D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Wkładka na klucz zainstalowana pod zaślepką w klamce - 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55 </w:t>
      </w:r>
      <w:proofErr w:type="spellStart"/>
      <w:r w:rsidRPr="008F0CCB">
        <w:rPr>
          <w:rFonts w:asciiTheme="minorHAnsi" w:hAnsiTheme="minorHAnsi" w:cstheme="minorHAnsi"/>
          <w:color w:val="auto"/>
          <w:sz w:val="22"/>
          <w:szCs w:val="22"/>
        </w:rPr>
        <w:t>szt</w:t>
      </w:r>
      <w:proofErr w:type="spellEnd"/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65F9D" w:rsidRPr="008F0CCB" w:rsidRDefault="00165F9D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>Elektroniczny kontroler sterujący</w:t>
      </w:r>
      <w:r w:rsidR="004F28E3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RFID</w:t>
      </w: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508F9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minimum 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>1 szt.</w:t>
      </w: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165F9D" w:rsidRPr="008F0CCB" w:rsidRDefault="00165F9D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A1E6E" w:rsidRPr="008F0CCB" w:rsidRDefault="006A1E6E" w:rsidP="006A1E6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>Klucze mechaniczne</w:t>
      </w:r>
      <w:r w:rsidR="008216A9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RFID</w:t>
      </w: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508F9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minimum </w:t>
      </w:r>
      <w:r w:rsidRPr="008F0CCB">
        <w:rPr>
          <w:rFonts w:asciiTheme="minorHAnsi" w:hAnsiTheme="minorHAnsi" w:cstheme="minorHAnsi"/>
          <w:color w:val="auto"/>
          <w:sz w:val="22"/>
          <w:szCs w:val="22"/>
        </w:rPr>
        <w:t xml:space="preserve">200 szt. </w:t>
      </w:r>
    </w:p>
    <w:p w:rsidR="00165F9D" w:rsidRPr="008F0CCB" w:rsidRDefault="00165F9D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A1E6E" w:rsidRPr="008F0CCB" w:rsidRDefault="00A508F9" w:rsidP="006A1E6E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>Klucz generalny do wkładek minimum</w:t>
      </w:r>
      <w:r w:rsidR="006A1E6E" w:rsidRPr="008F0C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3 szt.</w:t>
      </w:r>
    </w:p>
    <w:p w:rsidR="008216A9" w:rsidRPr="008F0CCB" w:rsidRDefault="008216A9" w:rsidP="006A1E6E">
      <w:pPr>
        <w:spacing w:after="0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spacing w:after="0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</w:rPr>
        <w:t xml:space="preserve">Montaż konfiguracja </w:t>
      </w:r>
      <w:r w:rsidR="00A508F9" w:rsidRPr="008F0CCB">
        <w:rPr>
          <w:rFonts w:asciiTheme="minorHAnsi" w:hAnsiTheme="minorHAnsi" w:cstheme="minorHAnsi"/>
          <w:b/>
        </w:rPr>
        <w:t xml:space="preserve">całego systemu </w:t>
      </w:r>
      <w:r w:rsidR="008216A9" w:rsidRPr="008F0CCB">
        <w:rPr>
          <w:rFonts w:asciiTheme="minorHAnsi" w:hAnsiTheme="minorHAnsi" w:cstheme="minorHAnsi"/>
          <w:b/>
        </w:rPr>
        <w:t xml:space="preserve">oraz szkolenie personelu 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Wszystkie elementy wchodzące w skład przedmiotu zamówienia muszą być fabrycznie nowe. 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Oferty niespełniające minimalnych parametrów nie będą brane pod uwagę. Oferent ma obowiązek wykazać, że oferowane przez niego urządzenia spełniają wszystkie parametry i wymagania określone przez Zamawiającego w punkcie 3.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Zamawiający dopuszcza zaoferowanie materiałów i urządzeń równoważnych do wskazanych powyżej, z zastrzeżeniem, że ich parametry techniczne, funkcjonalne i użytkowe nie mogą być gorsze. Jeżeli w wymaganiach technicznych znajdują się jakiekolwiek znaki towarowe, patenty lub wskazania pochodzenia źródła lub szczególnego procesu, który charakteryzuje produkt lub usługi dostarczone przez konkretnego producenta – należy przyjąć, że Zamawiający podał opis ze wskazaniem na typ i dopuszcza składanie ofert równoważnych o parametrach techniczno- eksploatacyjno-użytkowych nie gorszych niż te, które zostały podane w opisie przedmiotu zamówienia. W przypadku jakichkolwiek wątpliwości co do możliwości zaoferowania danego rozwiązania równoważnego, każdy z Wykonawców może zwrócić się do Zamawiającego z wnioskiem o wyjaśnienie tej kwestii.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DODATKOWE WARUNKI ZAMÓWIENIA</w:t>
      </w:r>
    </w:p>
    <w:p w:rsidR="006A1E6E" w:rsidRPr="008F0CCB" w:rsidRDefault="006A1E6E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Zapewnienie dostawy przedmiotu zamówienia do siedziby Zamawiającego wliczone w cenę zamówienia.</w:t>
      </w:r>
    </w:p>
    <w:p w:rsidR="006A1E6E" w:rsidRPr="008F0CCB" w:rsidRDefault="00A479FB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Urządzenia</w:t>
      </w:r>
      <w:r w:rsidR="006A1E6E" w:rsidRPr="008F0CCB">
        <w:rPr>
          <w:rFonts w:asciiTheme="minorHAnsi" w:hAnsiTheme="minorHAnsi" w:cstheme="minorHAnsi"/>
        </w:rPr>
        <w:t xml:space="preserve"> mają pochodzić od jednego producenta</w:t>
      </w:r>
    </w:p>
    <w:p w:rsidR="006A1E6E" w:rsidRPr="008F0CCB" w:rsidRDefault="006A1E6E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Instalacja i uruchomienie w siedzibie Zamawiającego w miejscu wskazanym przez Zamawiającego wliczone w cenę zamówienia.</w:t>
      </w:r>
    </w:p>
    <w:p w:rsidR="006A1E6E" w:rsidRPr="008F0CCB" w:rsidRDefault="006A1E6E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Szkolenie z obsługi i programowania w siedzibie Zamawiającego wliczone w cenę zamówienia.</w:t>
      </w:r>
    </w:p>
    <w:p w:rsidR="006A1E6E" w:rsidRPr="008F0CCB" w:rsidRDefault="006A1E6E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Gwarancja  minimum  </w:t>
      </w:r>
      <w:r w:rsidR="003E66C7" w:rsidRPr="008F0CCB">
        <w:rPr>
          <w:rFonts w:asciiTheme="minorHAnsi" w:hAnsiTheme="minorHAnsi" w:cstheme="minorHAnsi"/>
        </w:rPr>
        <w:t>24 miesiące</w:t>
      </w:r>
    </w:p>
    <w:p w:rsidR="006A1E6E" w:rsidRPr="008F0CCB" w:rsidRDefault="003E66C7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Serwis pogwarancyjny</w:t>
      </w:r>
      <w:r w:rsidR="00A479FB" w:rsidRPr="008F0CCB">
        <w:rPr>
          <w:rFonts w:asciiTheme="minorHAnsi" w:hAnsiTheme="minorHAnsi" w:cstheme="minorHAnsi"/>
        </w:rPr>
        <w:t xml:space="preserve"> oraz dostępność części</w:t>
      </w:r>
      <w:r w:rsidRPr="008F0CCB">
        <w:rPr>
          <w:rFonts w:asciiTheme="minorHAnsi" w:hAnsiTheme="minorHAnsi" w:cstheme="minorHAnsi"/>
        </w:rPr>
        <w:t xml:space="preserve"> minimum 10</w:t>
      </w:r>
      <w:r w:rsidR="006A1E6E" w:rsidRPr="008F0CCB">
        <w:rPr>
          <w:rFonts w:asciiTheme="minorHAnsi" w:hAnsiTheme="minorHAnsi" w:cstheme="minorHAnsi"/>
        </w:rPr>
        <w:t xml:space="preserve"> lat.</w:t>
      </w:r>
    </w:p>
    <w:p w:rsidR="006A1E6E" w:rsidRPr="008F0CCB" w:rsidRDefault="006A1E6E" w:rsidP="006A1E6E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Maksymalny czas realizacji zamówienia liczony od daty podpisania umowy – </w:t>
      </w:r>
      <w:r w:rsidR="00D57E88">
        <w:rPr>
          <w:rFonts w:asciiTheme="minorHAnsi" w:hAnsiTheme="minorHAnsi" w:cstheme="minorHAnsi"/>
        </w:rPr>
        <w:t>20</w:t>
      </w:r>
      <w:r w:rsidR="003E66C7" w:rsidRPr="008F0CCB">
        <w:rPr>
          <w:rFonts w:asciiTheme="minorHAnsi" w:hAnsiTheme="minorHAnsi" w:cstheme="minorHAnsi"/>
        </w:rPr>
        <w:t xml:space="preserve"> tygodni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MIEJSCE REALIZACJI ZAMÓWIENIA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Hotel Galicja </w:t>
      </w:r>
      <w:proofErr w:type="spellStart"/>
      <w:r w:rsidRPr="008F0CCB">
        <w:rPr>
          <w:rFonts w:asciiTheme="minorHAnsi" w:hAnsiTheme="minorHAnsi" w:cstheme="minorHAnsi"/>
        </w:rPr>
        <w:t>Wellness</w:t>
      </w:r>
      <w:proofErr w:type="spellEnd"/>
      <w:r w:rsidRPr="008F0CCB">
        <w:rPr>
          <w:rFonts w:asciiTheme="minorHAnsi" w:hAnsiTheme="minorHAnsi" w:cstheme="minorHAnsi"/>
        </w:rPr>
        <w:t xml:space="preserve"> &amp; SPA 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32 – 600 Oświęcim, ul. Dąbrowskiego 119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TERMIN REALIZACJI ZAMÓWIENIA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Zamówienie musi zostać zrealizowane do 2024-</w:t>
      </w:r>
      <w:r w:rsidR="003E66C7" w:rsidRPr="008F0CCB">
        <w:rPr>
          <w:rFonts w:asciiTheme="minorHAnsi" w:hAnsiTheme="minorHAnsi" w:cstheme="minorHAnsi"/>
        </w:rPr>
        <w:t>10-31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Planowany termin zawarcia umowy z Wykonawcą:  2024-07-01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ZAKRES UMOWY Z DOSTAWCĄ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Zamówienie będzie realizowane na podstawie pisemnej umowy zawartej pomiędzy Zleceniodawcą a dostawcą.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Wszelkie zmiany postanowień umowy wymagają formy pisemnej pod rygorem nieważności.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WARUNKI ZMIANY UMOWY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Zamawiający zastrzega sobie możliwość zmiany umowy zawartej z podmiotem wybranym w wyniku przeprowadzonego postępowania o udzielenie zamówienia publicznego z następujących powodów: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1) obiektywnych przyczyn niezależnych od Zamawiającego lub Oferenta,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2) okoliczności siły wyższej,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3) zmian regulacji prawnych obowiązujących w dniu podpisania umowy.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WARUNKI UNIEWAŻNIENIA POSTĘPOWANIA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Zamawiający może unieważnić postępowanie w każdej chwili bez podania przyczyny.</w:t>
      </w:r>
    </w:p>
    <w:p w:rsidR="006A1E6E" w:rsidRPr="008F0CCB" w:rsidRDefault="006A1E6E" w:rsidP="006A1E6E">
      <w:p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PŁATNOŚCI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Zamawiający dopuszcza płatności: przedpłata, zaliczkowe oraz częściowe i końcowe.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WYKLUCZENIA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hanging="502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SPOSÓB I TERMIN SKŁADANIA OFERT</w:t>
      </w:r>
    </w:p>
    <w:p w:rsidR="006A1E6E" w:rsidRPr="008F0CCB" w:rsidRDefault="00C65A81" w:rsidP="00220F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składania ofert upływa 20.06.</w:t>
      </w:r>
      <w:r w:rsidR="006A1E6E" w:rsidRPr="008F0CCB">
        <w:rPr>
          <w:rFonts w:asciiTheme="minorHAnsi" w:hAnsiTheme="minorHAnsi" w:cstheme="minorHAnsi"/>
        </w:rPr>
        <w:t>2024r.</w:t>
      </w:r>
      <w:r w:rsidR="00220F01" w:rsidRPr="008F0CCB">
        <w:rPr>
          <w:rFonts w:asciiTheme="minorHAnsi" w:hAnsiTheme="minorHAnsi" w:cstheme="minorHAnsi"/>
        </w:rPr>
        <w:t xml:space="preserve"> o godzinie 23:59</w:t>
      </w:r>
    </w:p>
    <w:p w:rsidR="00220F01" w:rsidRPr="008F0CCB" w:rsidRDefault="00220F01" w:rsidP="00220F01">
      <w:pPr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Oferta złożona po terminie podlega odrzuceniu</w:t>
      </w:r>
    </w:p>
    <w:p w:rsidR="00220F01" w:rsidRPr="008F0CCB" w:rsidRDefault="00220F01" w:rsidP="00220F01">
      <w:pPr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Oferty mogą być składane wyłącznie w wersji elektronicznej, za pośrednictwem platformy Bazy Konkurencyjności Funduszy Europejskich: </w:t>
      </w:r>
      <w:hyperlink r:id="rId8" w:history="1">
        <w:r w:rsidRPr="008F0CCB">
          <w:rPr>
            <w:rStyle w:val="Hipercze"/>
            <w:rFonts w:asciiTheme="minorHAnsi" w:hAnsiTheme="minorHAnsi" w:cstheme="minorHAnsi"/>
          </w:rPr>
          <w:t>https://bazakonkurencyjnosci.funduszeeuropejskie.gov.pl</w:t>
        </w:r>
      </w:hyperlink>
    </w:p>
    <w:p w:rsidR="00220F01" w:rsidRPr="008F0CCB" w:rsidRDefault="00220F01" w:rsidP="00220F01">
      <w:pPr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- w formie skanu podpisanej oferty wraz z wymaganymi załącznikami . </w:t>
      </w:r>
      <w:r w:rsidRPr="008F0CCB">
        <w:rPr>
          <w:rFonts w:asciiTheme="minorHAnsi" w:hAnsiTheme="minorHAnsi" w:cstheme="minorHAnsi"/>
        </w:rPr>
        <w:br/>
        <w:t xml:space="preserve">- Oferty złożone po wskazanym terminie nie będą rozpatrywane; </w:t>
      </w:r>
      <w:r w:rsidRPr="008F0CCB">
        <w:rPr>
          <w:rFonts w:asciiTheme="minorHAnsi" w:hAnsiTheme="minorHAnsi" w:cstheme="minorHAnsi"/>
        </w:rPr>
        <w:br/>
        <w:t xml:space="preserve">- Treść złożonej oferty musi odpowiadać treści Zapytania ofertowego. Zamawiający zaleca </w:t>
      </w:r>
      <w:r w:rsidRPr="008F0CCB">
        <w:rPr>
          <w:rFonts w:asciiTheme="minorHAnsi" w:hAnsiTheme="minorHAnsi" w:cstheme="minorHAnsi"/>
        </w:rPr>
        <w:br/>
        <w:t xml:space="preserve">wykorzystanie wzorów formularzy opracowanych przez Zamawiającego i dołączonych </w:t>
      </w:r>
      <w:r w:rsidRPr="008F0CCB">
        <w:rPr>
          <w:rFonts w:asciiTheme="minorHAnsi" w:hAnsiTheme="minorHAnsi" w:cstheme="minorHAnsi"/>
        </w:rPr>
        <w:br/>
        <w:t xml:space="preserve">do niniejszego zapytania ofertowego. Dopuszcza się złożenie w ofercie załączników własnych </w:t>
      </w:r>
      <w:r w:rsidRPr="008F0CCB">
        <w:rPr>
          <w:rFonts w:asciiTheme="minorHAnsi" w:hAnsiTheme="minorHAnsi" w:cstheme="minorHAnsi"/>
        </w:rPr>
        <w:br/>
        <w:t xml:space="preserve">Oferenta, pod warunkiem, że będą one zgodne co do treści z formularzami opracowanymi przez </w:t>
      </w:r>
      <w:r w:rsidRPr="008F0CCB">
        <w:rPr>
          <w:rFonts w:asciiTheme="minorHAnsi" w:hAnsiTheme="minorHAnsi" w:cstheme="minorHAnsi"/>
        </w:rPr>
        <w:br/>
        <w:t xml:space="preserve">Zamawiającego. </w:t>
      </w:r>
      <w:r w:rsidRPr="008F0CCB">
        <w:rPr>
          <w:rFonts w:asciiTheme="minorHAnsi" w:hAnsiTheme="minorHAnsi" w:cstheme="minorHAnsi"/>
        </w:rPr>
        <w:br/>
        <w:t xml:space="preserve">- Oferta i załączniki do oferty muszą być podpisane własnoręcznie przez osobę upoważnioną </w:t>
      </w:r>
      <w:r w:rsidRPr="008F0CCB">
        <w:rPr>
          <w:rFonts w:asciiTheme="minorHAnsi" w:hAnsiTheme="minorHAnsi" w:cstheme="minorHAnsi"/>
        </w:rPr>
        <w:br/>
        <w:t xml:space="preserve">do zaciągania zobowiązań w imieniu Oferenta (wynikające z dokumentu rejestrowego lub </w:t>
      </w:r>
      <w:r w:rsidRPr="008F0CCB">
        <w:rPr>
          <w:rFonts w:asciiTheme="minorHAnsi" w:hAnsiTheme="minorHAnsi" w:cstheme="minorHAnsi"/>
        </w:rPr>
        <w:br/>
        <w:t xml:space="preserve">stosownego pełnomocnictwa). </w:t>
      </w:r>
      <w:r w:rsidRPr="008F0CCB">
        <w:rPr>
          <w:rFonts w:asciiTheme="minorHAnsi" w:hAnsiTheme="minorHAnsi" w:cstheme="minorHAnsi"/>
        </w:rPr>
        <w:br/>
        <w:t xml:space="preserve">- W cenie oferty Oferent winien uwzględnić wszystkie zobowiązania i koszty niezbędne do </w:t>
      </w:r>
      <w:r w:rsidRPr="008F0CCB">
        <w:rPr>
          <w:rFonts w:asciiTheme="minorHAnsi" w:hAnsiTheme="minorHAnsi" w:cstheme="minorHAnsi"/>
        </w:rPr>
        <w:br/>
        <w:t xml:space="preserve">poniesienia dla realizacji zamówienia. </w:t>
      </w:r>
      <w:r w:rsidRPr="008F0CCB">
        <w:rPr>
          <w:rFonts w:asciiTheme="minorHAnsi" w:hAnsiTheme="minorHAnsi" w:cstheme="minorHAnsi"/>
        </w:rPr>
        <w:br/>
        <w:t xml:space="preserve">- Oferent może złożyć tylko jedną ofertę. </w:t>
      </w:r>
      <w:r w:rsidRPr="008F0CCB">
        <w:rPr>
          <w:rFonts w:asciiTheme="minorHAnsi" w:hAnsiTheme="minorHAnsi" w:cstheme="minorHAnsi"/>
        </w:rPr>
        <w:br/>
        <w:t xml:space="preserve">- Oferent ponosi wszelkie koszty związane z przygotowaniem i złożeniem oferty. </w:t>
      </w:r>
      <w:r w:rsidRPr="008F0CCB">
        <w:rPr>
          <w:rFonts w:asciiTheme="minorHAnsi" w:hAnsiTheme="minorHAnsi" w:cstheme="minorHAnsi"/>
        </w:rPr>
        <w:br/>
        <w:t xml:space="preserve">- Zamawiający nie dopuszcza możliwości składania ofert wariantowych oraz warunkowych. </w:t>
      </w:r>
      <w:r w:rsidRPr="008F0CCB">
        <w:rPr>
          <w:rFonts w:asciiTheme="minorHAnsi" w:hAnsiTheme="minorHAnsi" w:cstheme="minorHAnsi"/>
        </w:rPr>
        <w:br/>
        <w:t xml:space="preserve">- Zamawiający nie dopuszcza możliwości składania ofert częściowych. </w:t>
      </w:r>
      <w:r w:rsidRPr="008F0CCB">
        <w:rPr>
          <w:rFonts w:asciiTheme="minorHAnsi" w:hAnsiTheme="minorHAnsi" w:cstheme="minorHAnsi"/>
        </w:rPr>
        <w:br/>
        <w:t xml:space="preserve">- Oferent pozostaje związany złożoną ofertą do czasu zawarcia umowy jednak nie dłużej niż 30 dni od </w:t>
      </w:r>
      <w:r w:rsidRPr="008F0CCB">
        <w:rPr>
          <w:rFonts w:asciiTheme="minorHAnsi" w:hAnsiTheme="minorHAnsi" w:cstheme="minorHAnsi"/>
        </w:rPr>
        <w:br/>
        <w:t xml:space="preserve">dnia, w którym upływa termin składania ofert. </w:t>
      </w:r>
      <w:r w:rsidRPr="008F0CCB">
        <w:rPr>
          <w:rFonts w:asciiTheme="minorHAnsi" w:hAnsiTheme="minorHAnsi" w:cstheme="minorHAnsi"/>
        </w:rPr>
        <w:br/>
      </w:r>
      <w:r w:rsidRPr="008F0CCB">
        <w:rPr>
          <w:rFonts w:asciiTheme="minorHAnsi" w:hAnsiTheme="minorHAnsi" w:cstheme="minorHAnsi"/>
        </w:rPr>
        <w:br/>
        <w:t xml:space="preserve">Zamawiający udzieli wyjaśnień na zapytania Oferentów dotyczące treści zapytania ofertowego, jeżeli </w:t>
      </w:r>
      <w:r w:rsidRPr="008F0CCB">
        <w:rPr>
          <w:rFonts w:asciiTheme="minorHAnsi" w:hAnsiTheme="minorHAnsi" w:cstheme="minorHAnsi"/>
        </w:rPr>
        <w:br/>
        <w:t xml:space="preserve">wniosek o udzielenie wyjaśnień wpłynie do Zamawiającego nie później niż na dwa dni przed </w:t>
      </w:r>
      <w:r w:rsidRPr="008F0CCB">
        <w:rPr>
          <w:rFonts w:asciiTheme="minorHAnsi" w:hAnsiTheme="minorHAnsi" w:cstheme="minorHAnsi"/>
        </w:rPr>
        <w:br/>
        <w:t xml:space="preserve">wyznaczonym terminem składania ofert. </w:t>
      </w:r>
      <w:r w:rsidRPr="008F0CCB">
        <w:rPr>
          <w:rFonts w:asciiTheme="minorHAnsi" w:hAnsiTheme="minorHAnsi" w:cstheme="minorHAnsi"/>
        </w:rPr>
        <w:br/>
        <w:t xml:space="preserve">Jeżeli wniosek Wykonawcy o wyjaśnienie treści zapytania ofertowego wpłynie do Zamawiającego </w:t>
      </w:r>
      <w:r w:rsidRPr="008F0CCB">
        <w:rPr>
          <w:rFonts w:asciiTheme="minorHAnsi" w:hAnsiTheme="minorHAnsi" w:cstheme="minorHAnsi"/>
        </w:rPr>
        <w:br/>
        <w:t xml:space="preserve">po upływie terminu wskazanego powyżej lub dotyczy już udzielonych wyjaśnień, Zamawiający może </w:t>
      </w:r>
      <w:r w:rsidRPr="008F0CCB">
        <w:rPr>
          <w:rFonts w:asciiTheme="minorHAnsi" w:hAnsiTheme="minorHAnsi" w:cstheme="minorHAnsi"/>
        </w:rPr>
        <w:br/>
        <w:t xml:space="preserve">udzielić wyjaśnień albo pozostawić wniosek bez rozpoznania. </w:t>
      </w:r>
      <w:r w:rsidRPr="008F0CCB">
        <w:rPr>
          <w:rFonts w:asciiTheme="minorHAnsi" w:hAnsiTheme="minorHAnsi" w:cstheme="minorHAnsi"/>
        </w:rPr>
        <w:br/>
        <w:t xml:space="preserve">Pytania Oferentów należy przekazywać do Zamawiającego za pośrednictwem Bazy Konkurencyjności </w:t>
      </w:r>
      <w:r w:rsidRPr="008F0CCB">
        <w:rPr>
          <w:rFonts w:asciiTheme="minorHAnsi" w:hAnsiTheme="minorHAnsi" w:cstheme="minorHAnsi"/>
        </w:rPr>
        <w:br/>
        <w:t xml:space="preserve">pod adresem : </w:t>
      </w:r>
      <w:hyperlink r:id="rId9" w:history="1">
        <w:r w:rsidRPr="008F0CCB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:rsidR="00220F01" w:rsidRPr="008F0CCB" w:rsidRDefault="00220F01" w:rsidP="00220F01">
      <w:pPr>
        <w:pStyle w:val="Akapitzlist"/>
        <w:shd w:val="clear" w:color="auto" w:fill="FFFFFF"/>
        <w:spacing w:after="0"/>
        <w:ind w:left="426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hanging="502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KRYTERIA OCENY OFERT ORAZ SPOSÓB NADAWANIA PUNKTACJI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</w:rPr>
      </w:pPr>
    </w:p>
    <w:p w:rsidR="00262A7E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Zamawiający zastosuje następujące kryteria wyboru merytoryczne (punktowe) oceny ofert: 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9"/>
        <w:gridCol w:w="1417"/>
      </w:tblGrid>
      <w:tr w:rsidR="00262A7E" w:rsidRPr="00F53DE2" w:rsidTr="005576DB">
        <w:trPr>
          <w:jc w:val="center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7E" w:rsidRPr="00F53DE2" w:rsidRDefault="00262A7E" w:rsidP="0055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7E" w:rsidRPr="00F53DE2" w:rsidRDefault="00262A7E" w:rsidP="0055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</w:rPr>
              <w:t>Waga</w:t>
            </w:r>
          </w:p>
        </w:tc>
      </w:tr>
      <w:tr w:rsidR="00262A7E" w:rsidRPr="00F53DE2" w:rsidTr="005576DB">
        <w:trPr>
          <w:jc w:val="center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7E" w:rsidRPr="00F53DE2" w:rsidRDefault="00262A7E" w:rsidP="00262A7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</w:rPr>
              <w:t xml:space="preserve">Cena netto przedmiotu zamówienia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A7E" w:rsidRPr="009135A7" w:rsidRDefault="00262A7E" w:rsidP="0055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135A7">
              <w:rPr>
                <w:rFonts w:ascii="Arial" w:hAnsi="Arial" w:cs="Arial"/>
                <w:b/>
                <w:bCs/>
              </w:rPr>
              <w:t>80%</w:t>
            </w:r>
          </w:p>
        </w:tc>
      </w:tr>
      <w:tr w:rsidR="00262A7E" w:rsidRPr="00F53DE2" w:rsidTr="005576DB">
        <w:trPr>
          <w:jc w:val="center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7E" w:rsidRPr="00F53DE2" w:rsidRDefault="00262A7E" w:rsidP="00262A7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  <w:bCs/>
              </w:rPr>
              <w:t>„</w:t>
            </w:r>
            <w:r>
              <w:rPr>
                <w:rFonts w:ascii="Arial" w:hAnsi="Arial" w:cs="Arial"/>
                <w:b/>
                <w:bCs/>
              </w:rPr>
              <w:t>Serwis pogwarancyjny oraz dostępność części – minimum 10 lat</w:t>
            </w:r>
            <w:r w:rsidRPr="00F53DE2">
              <w:rPr>
                <w:rFonts w:ascii="Arial" w:hAnsi="Arial" w:cs="Arial"/>
                <w:b/>
                <w:bCs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A7E" w:rsidRPr="009135A7" w:rsidRDefault="00262A7E" w:rsidP="0055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135A7">
              <w:rPr>
                <w:rFonts w:ascii="Arial" w:hAnsi="Arial" w:cs="Arial"/>
                <w:b/>
                <w:bCs/>
              </w:rPr>
              <w:t>20%</w:t>
            </w:r>
          </w:p>
        </w:tc>
      </w:tr>
    </w:tbl>
    <w:p w:rsidR="00262A7E" w:rsidRPr="00F53DE2" w:rsidRDefault="00262A7E" w:rsidP="00262A7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Wybór Oferenta dokonany zostanie na podstawie największej ilości uzyskanych punktów zgodnie </w:t>
      </w:r>
      <w:r>
        <w:rPr>
          <w:rFonts w:ascii="Arial" w:hAnsi="Arial" w:cs="Arial"/>
        </w:rPr>
        <w:br/>
      </w:r>
      <w:r w:rsidRPr="00F53DE2">
        <w:rPr>
          <w:rFonts w:ascii="Arial" w:hAnsi="Arial" w:cs="Arial"/>
        </w:rPr>
        <w:t>z następującą metodologią: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705" w:right="-1"/>
        <w:jc w:val="both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  <w:bCs/>
        </w:rPr>
      </w:pPr>
      <w:r w:rsidRPr="00F53DE2">
        <w:rPr>
          <w:rFonts w:ascii="Arial" w:hAnsi="Arial" w:cs="Arial"/>
          <w:b/>
        </w:rPr>
        <w:t xml:space="preserve">Przez kryterium </w:t>
      </w:r>
      <w:r w:rsidRPr="00F53DE2">
        <w:rPr>
          <w:rFonts w:ascii="Arial" w:hAnsi="Arial" w:cs="Arial"/>
          <w:b/>
          <w:bCs/>
        </w:rPr>
        <w:t xml:space="preserve">„Cena netto przedmiotu zamówienia” </w:t>
      </w:r>
      <w:r w:rsidRPr="00F53DE2">
        <w:rPr>
          <w:rFonts w:ascii="Arial" w:hAnsi="Arial" w:cs="Arial"/>
        </w:rPr>
        <w:t>Zamawiający rozumie określoną przez Oferenta łączną cenę całkowitą netto za przedmiot zamówienia</w:t>
      </w:r>
      <w:bookmarkStart w:id="4" w:name="_Hlk148468252"/>
      <w:r w:rsidRPr="00F53DE2">
        <w:rPr>
          <w:rFonts w:ascii="Arial" w:hAnsi="Arial" w:cs="Arial"/>
        </w:rPr>
        <w:t xml:space="preserve">. </w:t>
      </w:r>
      <w:bookmarkEnd w:id="4"/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705" w:right="-1"/>
        <w:jc w:val="both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284" w:right="-1"/>
        <w:jc w:val="both"/>
        <w:rPr>
          <w:rFonts w:ascii="Arial" w:hAnsi="Arial" w:cs="Arial"/>
        </w:rPr>
      </w:pPr>
      <w:r w:rsidRPr="00F53DE2">
        <w:rPr>
          <w:rFonts w:ascii="Arial" w:hAnsi="Arial" w:cs="Arial"/>
        </w:rPr>
        <w:t>Liczba punktów w ramach kryterium „Cena netto przedmiotu zamówienia” (</w:t>
      </w:r>
      <w:proofErr w:type="spellStart"/>
      <w:r w:rsidRPr="00F53DE2">
        <w:rPr>
          <w:rFonts w:ascii="Arial" w:hAnsi="Arial" w:cs="Arial"/>
        </w:rPr>
        <w:t>Kc</w:t>
      </w:r>
      <w:proofErr w:type="spellEnd"/>
      <w:r w:rsidRPr="00F53DE2">
        <w:rPr>
          <w:rFonts w:ascii="Arial" w:hAnsi="Arial" w:cs="Arial"/>
        </w:rPr>
        <w:t xml:space="preserve">) będzie obliczana </w:t>
      </w:r>
      <w:r w:rsidRPr="00F53DE2">
        <w:rPr>
          <w:rFonts w:ascii="Arial" w:hAnsi="Arial" w:cs="Arial"/>
        </w:rPr>
        <w:br/>
        <w:t>na podstawie następującego wzoru: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708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425" w:firstLine="284"/>
        <w:rPr>
          <w:rFonts w:ascii="Arial" w:hAnsi="Arial" w:cs="Arial"/>
          <w:b/>
        </w:rPr>
      </w:pP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  <w:b/>
        </w:rPr>
        <w:t xml:space="preserve"> = [(</w:t>
      </w:r>
      <w:proofErr w:type="spellStart"/>
      <w:r w:rsidRPr="00F53DE2">
        <w:rPr>
          <w:rFonts w:ascii="Arial" w:hAnsi="Arial" w:cs="Arial"/>
          <w:b/>
        </w:rPr>
        <w:t>Cn</w:t>
      </w:r>
      <w:proofErr w:type="spellEnd"/>
      <w:r w:rsidRPr="00F53DE2">
        <w:rPr>
          <w:rFonts w:ascii="Arial" w:hAnsi="Arial" w:cs="Arial"/>
          <w:b/>
        </w:rPr>
        <w:t>/Co) x 80%] x 100</w:t>
      </w:r>
    </w:p>
    <w:p w:rsidR="00262A7E" w:rsidRDefault="00262A7E" w:rsidP="00262A7E">
      <w:pPr>
        <w:autoSpaceDE w:val="0"/>
        <w:autoSpaceDN w:val="0"/>
        <w:adjustRightInd w:val="0"/>
        <w:spacing w:after="0"/>
        <w:ind w:right="708" w:firstLine="708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708" w:firstLine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gdzie: 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 w:right="708"/>
        <w:jc w:val="both"/>
        <w:rPr>
          <w:rFonts w:ascii="Arial" w:hAnsi="Arial" w:cs="Arial"/>
        </w:rPr>
      </w:pPr>
      <w:proofErr w:type="spellStart"/>
      <w:r w:rsidRPr="00F53DE2">
        <w:rPr>
          <w:rFonts w:ascii="Arial" w:hAnsi="Arial" w:cs="Arial"/>
          <w:b/>
        </w:rPr>
        <w:t>Cn</w:t>
      </w:r>
      <w:proofErr w:type="spellEnd"/>
      <w:r w:rsidRPr="00F53DE2">
        <w:rPr>
          <w:rFonts w:ascii="Arial" w:hAnsi="Arial" w:cs="Arial"/>
          <w:vertAlign w:val="subscript"/>
        </w:rPr>
        <w:t xml:space="preserve"> </w:t>
      </w:r>
      <w:r w:rsidRPr="00F53DE2">
        <w:rPr>
          <w:rFonts w:ascii="Arial" w:hAnsi="Arial" w:cs="Arial"/>
        </w:rPr>
        <w:t>– najniższa zaproponowana łączna cena netto przedmiotu zamówienia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53DE2">
        <w:rPr>
          <w:rFonts w:ascii="Arial" w:hAnsi="Arial" w:cs="Arial"/>
          <w:b/>
        </w:rPr>
        <w:t>Co</w:t>
      </w:r>
      <w:r w:rsidRPr="00F53DE2">
        <w:rPr>
          <w:rFonts w:ascii="Arial" w:hAnsi="Arial" w:cs="Arial"/>
        </w:rPr>
        <w:t xml:space="preserve"> – łączna cena netto przedmiotu zamówienia zaproponowana w badanej ofercie 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  <w:b/>
          <w:vertAlign w:val="subscript"/>
        </w:rPr>
        <w:t xml:space="preserve"> </w:t>
      </w:r>
      <w:r w:rsidRPr="00F53DE2">
        <w:rPr>
          <w:rFonts w:ascii="Arial" w:hAnsi="Arial" w:cs="Arial"/>
        </w:rPr>
        <w:t>– liczba punktów przyznana danej ofercie w kryterium „Cena netto przedmiotu zamówienia”.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708"/>
        <w:jc w:val="both"/>
        <w:rPr>
          <w:rFonts w:ascii="Arial" w:hAnsi="Arial" w:cs="Arial"/>
          <w:b/>
          <w:u w:val="single"/>
        </w:rPr>
      </w:pPr>
    </w:p>
    <w:p w:rsidR="00262A7E" w:rsidRDefault="00262A7E" w:rsidP="00262A7E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</w:rPr>
      </w:pPr>
      <w:r w:rsidRPr="00F53DE2">
        <w:rPr>
          <w:rFonts w:ascii="Arial" w:hAnsi="Arial" w:cs="Arial"/>
          <w:b/>
          <w:bCs/>
        </w:rPr>
        <w:t>Przez kryterium „</w:t>
      </w:r>
      <w:r>
        <w:rPr>
          <w:rFonts w:ascii="Arial" w:hAnsi="Arial" w:cs="Arial"/>
          <w:b/>
          <w:bCs/>
        </w:rPr>
        <w:t>Serwis pogwarancyjny oraz dostępność części – minimum 10 lat</w:t>
      </w:r>
      <w:r w:rsidRPr="00F53DE2">
        <w:rPr>
          <w:rFonts w:ascii="Arial" w:hAnsi="Arial" w:cs="Arial"/>
          <w:b/>
          <w:bCs/>
        </w:rPr>
        <w:t>”</w:t>
      </w:r>
      <w:r w:rsidRPr="00F53DE2">
        <w:rPr>
          <w:rFonts w:ascii="Arial" w:hAnsi="Arial" w:cs="Arial"/>
        </w:rPr>
        <w:t xml:space="preserve"> Zamawiający rozumie określony przez Oferenta okres od momentu prawidłowo zakończonego procesu odbioru przedmiotu zamówienia i podany w formularzu ofer</w:t>
      </w:r>
      <w:r>
        <w:rPr>
          <w:rFonts w:ascii="Arial" w:hAnsi="Arial" w:cs="Arial"/>
        </w:rPr>
        <w:t>towym stanowiącym Załącznik nr 1</w:t>
      </w:r>
      <w:r w:rsidRPr="00F53DE2">
        <w:rPr>
          <w:rFonts w:ascii="Arial" w:hAnsi="Arial" w:cs="Arial"/>
        </w:rPr>
        <w:t xml:space="preserve"> do niniejszego zapytania ofertowego. 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</w:rPr>
      </w:pPr>
      <w:r w:rsidRPr="00F53DE2">
        <w:rPr>
          <w:rFonts w:ascii="Arial" w:hAnsi="Arial" w:cs="Arial"/>
          <w:b/>
        </w:rPr>
        <w:t>W przypadku wpisania przez Oferenta w ofercie</w:t>
      </w:r>
      <w:r>
        <w:rPr>
          <w:rFonts w:ascii="Arial" w:hAnsi="Arial" w:cs="Arial"/>
          <w:b/>
        </w:rPr>
        <w:t xml:space="preserve"> okresu</w:t>
      </w:r>
      <w:r w:rsidRPr="00F53DE2">
        <w:rPr>
          <w:rFonts w:ascii="Arial" w:hAnsi="Arial" w:cs="Arial"/>
          <w:b/>
        </w:rPr>
        <w:t xml:space="preserve"> krótszego niż </w:t>
      </w:r>
      <w:r>
        <w:rPr>
          <w:rFonts w:ascii="Arial" w:hAnsi="Arial" w:cs="Arial"/>
          <w:b/>
        </w:rPr>
        <w:t>10 lat</w:t>
      </w:r>
      <w:r w:rsidRPr="00F53DE2">
        <w:rPr>
          <w:rFonts w:ascii="Arial" w:hAnsi="Arial" w:cs="Arial"/>
          <w:b/>
        </w:rPr>
        <w:t xml:space="preserve"> od momentu prawidłowo zakończonego procesu odbioru przedmiotu zamówienia, oferta zostanie odrzucona z przyczyn formalnych i nie zostanie dopuszczona do oceny merytorycznej (punktowej).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</w:rPr>
      </w:pPr>
    </w:p>
    <w:p w:rsidR="00262A7E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Liczba punktów w ramach kryterium </w:t>
      </w:r>
      <w:r w:rsidRPr="00F53DE2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Serwis pogwarancyjny oraz dostępność części – minimum 10 lat</w:t>
      </w:r>
      <w:r w:rsidRPr="00F53DE2">
        <w:rPr>
          <w:rFonts w:ascii="Arial" w:hAnsi="Arial" w:cs="Arial"/>
          <w:b/>
          <w:bCs/>
        </w:rPr>
        <w:t>”</w:t>
      </w:r>
      <w:r w:rsidRPr="00F53DE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 w:rsidRPr="00F53DE2">
        <w:rPr>
          <w:rFonts w:ascii="Arial" w:hAnsi="Arial" w:cs="Arial"/>
        </w:rPr>
        <w:t>na podstawie następującego wzoru: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425" w:firstLine="284"/>
        <w:rPr>
          <w:rFonts w:ascii="Arial" w:hAnsi="Arial" w:cs="Arial"/>
          <w:b/>
        </w:rPr>
      </w:pPr>
      <w:r w:rsidRPr="00F53DE2">
        <w:rPr>
          <w:rFonts w:ascii="Arial" w:hAnsi="Arial" w:cs="Arial"/>
          <w:b/>
        </w:rPr>
        <w:t>Kg = [(Go/</w:t>
      </w:r>
      <w:proofErr w:type="spellStart"/>
      <w:r w:rsidRPr="00F53DE2">
        <w:rPr>
          <w:rFonts w:ascii="Arial" w:hAnsi="Arial" w:cs="Arial"/>
          <w:b/>
        </w:rPr>
        <w:t>Gn</w:t>
      </w:r>
      <w:proofErr w:type="spellEnd"/>
      <w:r w:rsidRPr="00F53DE2">
        <w:rPr>
          <w:rFonts w:ascii="Arial" w:hAnsi="Arial" w:cs="Arial"/>
          <w:b/>
        </w:rPr>
        <w:t>) x 20%] x100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708" w:right="708"/>
        <w:jc w:val="both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708" w:firstLine="284"/>
        <w:jc w:val="both"/>
        <w:rPr>
          <w:rFonts w:ascii="Arial" w:hAnsi="Arial" w:cs="Arial"/>
        </w:rPr>
      </w:pPr>
      <w:r w:rsidRPr="00F53DE2">
        <w:rPr>
          <w:rFonts w:ascii="Arial" w:hAnsi="Arial" w:cs="Arial"/>
        </w:rPr>
        <w:t>gdzie: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/>
        <w:rPr>
          <w:rFonts w:ascii="Arial" w:hAnsi="Arial" w:cs="Arial"/>
          <w:bCs/>
        </w:rPr>
      </w:pPr>
      <w:r w:rsidRPr="00F53DE2">
        <w:rPr>
          <w:rFonts w:ascii="Arial" w:hAnsi="Arial" w:cs="Arial"/>
          <w:b/>
          <w:bCs/>
        </w:rPr>
        <w:t>Go</w:t>
      </w:r>
      <w:r w:rsidRPr="00F53D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F53DE2">
        <w:rPr>
          <w:rFonts w:ascii="Arial" w:hAnsi="Arial" w:cs="Arial"/>
          <w:bCs/>
        </w:rPr>
        <w:t xml:space="preserve"> okres</w:t>
      </w:r>
      <w:r>
        <w:rPr>
          <w:rFonts w:ascii="Arial" w:hAnsi="Arial" w:cs="Arial"/>
          <w:bCs/>
        </w:rPr>
        <w:t xml:space="preserve"> serwisu pogwarancyjnego oraz dostępności części</w:t>
      </w:r>
      <w:r w:rsidRPr="00F53DE2">
        <w:rPr>
          <w:rFonts w:ascii="Arial" w:hAnsi="Arial" w:cs="Arial"/>
          <w:bCs/>
        </w:rPr>
        <w:t xml:space="preserve"> w badanej ofercie</w:t>
      </w:r>
      <w:r w:rsidRPr="00F53DE2">
        <w:rPr>
          <w:rFonts w:ascii="Arial" w:hAnsi="Arial" w:cs="Arial"/>
        </w:rPr>
        <w:t xml:space="preserve"> 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/>
        <w:rPr>
          <w:rFonts w:ascii="Arial" w:hAnsi="Arial" w:cs="Arial"/>
          <w:b/>
        </w:rPr>
      </w:pPr>
      <w:proofErr w:type="spellStart"/>
      <w:r w:rsidRPr="00F53DE2">
        <w:rPr>
          <w:rFonts w:ascii="Arial" w:hAnsi="Arial" w:cs="Arial"/>
          <w:b/>
          <w:bCs/>
        </w:rPr>
        <w:t>Gn</w:t>
      </w:r>
      <w:proofErr w:type="spellEnd"/>
      <w:r w:rsidRPr="00F53DE2">
        <w:rPr>
          <w:rFonts w:ascii="Arial" w:hAnsi="Arial" w:cs="Arial"/>
          <w:bCs/>
        </w:rPr>
        <w:t xml:space="preserve"> - najdłuższy zaproponowany okres </w:t>
      </w:r>
      <w:r>
        <w:rPr>
          <w:rFonts w:ascii="Arial" w:hAnsi="Arial" w:cs="Arial"/>
          <w:bCs/>
        </w:rPr>
        <w:t>serwisu pogwarancyjnego oraz dostępności części</w:t>
      </w:r>
      <w:r w:rsidRPr="00F53DE2">
        <w:rPr>
          <w:rFonts w:ascii="Arial" w:hAnsi="Arial" w:cs="Arial"/>
          <w:bCs/>
        </w:rPr>
        <w:t xml:space="preserve"> na przedmiot zamówienia</w:t>
      </w:r>
      <w:r w:rsidRPr="00F53DE2">
        <w:rPr>
          <w:rFonts w:ascii="Arial" w:hAnsi="Arial" w:cs="Arial"/>
        </w:rPr>
        <w:t xml:space="preserve"> 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/>
        <w:rPr>
          <w:rFonts w:ascii="Arial" w:hAnsi="Arial" w:cs="Arial"/>
          <w:bCs/>
        </w:rPr>
      </w:pPr>
      <w:r w:rsidRPr="00F53DE2">
        <w:rPr>
          <w:rFonts w:ascii="Arial" w:hAnsi="Arial" w:cs="Arial"/>
          <w:b/>
        </w:rPr>
        <w:t xml:space="preserve">Kg </w:t>
      </w:r>
      <w:r w:rsidRPr="00F53DE2">
        <w:rPr>
          <w:rFonts w:ascii="Arial" w:hAnsi="Arial" w:cs="Arial"/>
          <w:bCs/>
        </w:rPr>
        <w:t xml:space="preserve">– liczba punktów przyznana danej ofercie w kryterium </w:t>
      </w:r>
      <w:r w:rsidRPr="00F53DE2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Serwis pogwarancyjny oraz dostępność części – minimum 10 lat</w:t>
      </w:r>
      <w:r w:rsidRPr="00F53DE2">
        <w:rPr>
          <w:rFonts w:ascii="Arial" w:hAnsi="Arial" w:cs="Arial"/>
          <w:b/>
          <w:bCs/>
        </w:rPr>
        <w:t>”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</w:rPr>
      </w:pPr>
      <w:r w:rsidRPr="00F53DE2">
        <w:rPr>
          <w:rFonts w:ascii="Arial" w:hAnsi="Arial" w:cs="Arial"/>
          <w:b/>
        </w:rPr>
        <w:t>Spośród ważnych ofert, Zamawiający uzna za najkorzystniejszą i wybierze ofertę, która spełni wszystkie wymagania określone w szczegółowym opisie przedmiotu zamówienia oraz uzyska największą liczbę punktów w ocenie końcowej.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b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708" w:firstLine="284"/>
        <w:rPr>
          <w:rFonts w:ascii="Arial" w:hAnsi="Arial" w:cs="Arial"/>
        </w:rPr>
      </w:pPr>
      <w:r w:rsidRPr="00F53DE2">
        <w:rPr>
          <w:rFonts w:ascii="Arial" w:hAnsi="Arial" w:cs="Arial"/>
          <w:b/>
        </w:rPr>
        <w:t xml:space="preserve">K = </w:t>
      </w: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  <w:b/>
        </w:rPr>
        <w:t xml:space="preserve"> + Kg</w:t>
      </w:r>
    </w:p>
    <w:p w:rsidR="00262A7E" w:rsidRDefault="00262A7E" w:rsidP="00262A7E">
      <w:pPr>
        <w:autoSpaceDE w:val="0"/>
        <w:autoSpaceDN w:val="0"/>
        <w:adjustRightInd w:val="0"/>
        <w:spacing w:after="0"/>
        <w:ind w:right="708" w:firstLine="284"/>
        <w:jc w:val="both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right="708" w:firstLine="284"/>
        <w:jc w:val="both"/>
        <w:rPr>
          <w:rFonts w:ascii="Arial" w:hAnsi="Arial" w:cs="Arial"/>
        </w:rPr>
      </w:pPr>
      <w:r w:rsidRPr="00F53DE2">
        <w:rPr>
          <w:rFonts w:ascii="Arial" w:hAnsi="Arial" w:cs="Arial"/>
        </w:rPr>
        <w:t>gdzie:</w:t>
      </w: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851" w:right="708" w:hanging="2"/>
        <w:jc w:val="both"/>
        <w:rPr>
          <w:rFonts w:ascii="Arial" w:hAnsi="Arial" w:cs="Arial"/>
        </w:rPr>
      </w:pPr>
      <w:r w:rsidRPr="00F53DE2">
        <w:rPr>
          <w:rFonts w:ascii="Arial" w:hAnsi="Arial" w:cs="Arial"/>
          <w:b/>
        </w:rPr>
        <w:t>K</w:t>
      </w:r>
      <w:r w:rsidRPr="00F53DE2">
        <w:rPr>
          <w:rFonts w:ascii="Arial" w:hAnsi="Arial" w:cs="Arial"/>
        </w:rPr>
        <w:t xml:space="preserve"> – liczba punktów w ocenie końcowej</w:t>
      </w:r>
    </w:p>
    <w:p w:rsidR="00262A7E" w:rsidRPr="0019526B" w:rsidRDefault="00262A7E" w:rsidP="00262A7E">
      <w:pPr>
        <w:autoSpaceDE w:val="0"/>
        <w:autoSpaceDN w:val="0"/>
        <w:adjustRightInd w:val="0"/>
        <w:spacing w:after="0"/>
        <w:ind w:left="851" w:hanging="2"/>
        <w:rPr>
          <w:rFonts w:ascii="Arial" w:hAnsi="Arial" w:cs="Arial"/>
        </w:rPr>
      </w:pP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</w:rPr>
        <w:t xml:space="preserve"> – liczba punktów przyznana danej ofercie w kryterium „Cena netto przedmiotu zamówienia”</w:t>
      </w:r>
    </w:p>
    <w:p w:rsidR="00262A7E" w:rsidRPr="0019526B" w:rsidRDefault="00262A7E" w:rsidP="00262A7E">
      <w:pPr>
        <w:autoSpaceDE w:val="0"/>
        <w:autoSpaceDN w:val="0"/>
        <w:adjustRightInd w:val="0"/>
        <w:spacing w:after="0"/>
        <w:ind w:left="851" w:hanging="2"/>
        <w:rPr>
          <w:rFonts w:ascii="Arial" w:hAnsi="Arial" w:cs="Arial"/>
        </w:rPr>
      </w:pPr>
      <w:r w:rsidRPr="0019526B">
        <w:rPr>
          <w:rFonts w:ascii="Arial" w:hAnsi="Arial" w:cs="Arial"/>
          <w:b/>
        </w:rPr>
        <w:t>Kg</w:t>
      </w:r>
      <w:r w:rsidRPr="0019526B">
        <w:rPr>
          <w:rFonts w:ascii="Arial" w:hAnsi="Arial" w:cs="Arial"/>
        </w:rPr>
        <w:t xml:space="preserve"> </w:t>
      </w:r>
      <w:r w:rsidRPr="0019526B">
        <w:rPr>
          <w:rFonts w:ascii="Arial" w:hAnsi="Arial" w:cs="Arial"/>
          <w:bCs/>
        </w:rPr>
        <w:t>– liczba punktów przyznana danej ofercie w kryterium „Serwis pogwarancyjny oraz dostępność części – minimum 10 lat”</w:t>
      </w:r>
    </w:p>
    <w:p w:rsidR="00262A7E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p w:rsidR="00262A7E" w:rsidRPr="00F53DE2" w:rsidRDefault="00262A7E" w:rsidP="00262A7E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>Wartości punktowe w poszczególnych kryteriach zostaną podane z dokładnością do dwóch miejsc po przecinku, a zaokrąglenie zostanie dokonane zgodnie z ogólnie przyjętymi zasadami matematycznymi.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W postępowaniu ofertowym zwycięży oferent, który zdobędzie najwyższą liczbę punktów w ramach ww. kryterium. 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8F0CCB">
        <w:rPr>
          <w:rFonts w:asciiTheme="minorHAnsi" w:hAnsiTheme="minorHAnsi" w:cstheme="minorHAnsi"/>
          <w:b/>
          <w:bCs/>
        </w:rPr>
        <w:t>INNE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W przypadku złożenia oferty w walutach obcych Zamawiający przeliczy wartość oferty średnim kursem dla danej waluty ogłoszonym przez NBP z dnia wystawienia oferty.</w:t>
      </w:r>
    </w:p>
    <w:p w:rsidR="006A1E6E" w:rsidRPr="008F0CCB" w:rsidRDefault="006A1E6E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1B1318" w:rsidRPr="008F0CCB" w:rsidRDefault="001B1318" w:rsidP="006A1E6E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6A1E6E" w:rsidRPr="008F0CCB" w:rsidRDefault="006A1E6E" w:rsidP="006A1E6E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F0CCB">
        <w:rPr>
          <w:rFonts w:asciiTheme="minorHAnsi" w:hAnsiTheme="minorHAnsi" w:cstheme="minorHAnsi"/>
          <w:b/>
          <w:bCs/>
          <w:color w:val="000000" w:themeColor="text1"/>
        </w:rPr>
        <w:t>ZAŁĄCZNIKI</w:t>
      </w:r>
      <w:r w:rsidR="003B7063" w:rsidRPr="008F0C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1B1318" w:rsidRPr="008F0CCB" w:rsidRDefault="001B1318" w:rsidP="001B1318">
      <w:pPr>
        <w:pStyle w:val="Akapitzlist"/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b/>
          <w:bCs/>
          <w:color w:val="FF0000"/>
        </w:rPr>
      </w:pPr>
    </w:p>
    <w:p w:rsidR="006A1E6E" w:rsidRPr="008F0CCB" w:rsidRDefault="006A1E6E" w:rsidP="003B7063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Załącznik nr 1: Formularz oferty</w:t>
      </w:r>
    </w:p>
    <w:p w:rsidR="003E5011" w:rsidRPr="008F0CCB" w:rsidRDefault="006A1E6E" w:rsidP="003A1EAA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Załącznik nr 2: Oświadczenie o braku powiązań kapitałowych i osobowych.</w:t>
      </w:r>
    </w:p>
    <w:p w:rsidR="00220F01" w:rsidRPr="008F0CCB" w:rsidRDefault="00220F01" w:rsidP="00220F0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</w:rPr>
      </w:pPr>
      <w:r w:rsidRPr="008F0CCB">
        <w:rPr>
          <w:rFonts w:asciiTheme="minorHAnsi" w:hAnsiTheme="minorHAnsi" w:cstheme="minorHAnsi"/>
        </w:rPr>
        <w:t>Załącznik nr 3: OŚWIADCZENIE O SPEŁNIENIU WARUNKÓW UDZIAŁU W POSTĘPOWANIU</w:t>
      </w:r>
      <w:r w:rsidRPr="008F0CCB">
        <w:rPr>
          <w:rFonts w:asciiTheme="minorHAnsi" w:hAnsiTheme="minorHAnsi" w:cstheme="minorHAnsi"/>
          <w:b/>
        </w:rPr>
        <w:t xml:space="preserve"> </w:t>
      </w:r>
    </w:p>
    <w:p w:rsidR="00220F01" w:rsidRPr="008F0CCB" w:rsidRDefault="00220F01" w:rsidP="003A1EAA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Załącznik nr 4: O wykluczeniu podmiotów i osób, które w bezpośredni lub pośredni sposób wspierają działania wojenne Federacji Rosyjskiej lub są za nie odpowiedzialne</w:t>
      </w:r>
    </w:p>
    <w:p w:rsidR="001B1318" w:rsidRPr="008F0CCB" w:rsidRDefault="00220F01" w:rsidP="003A1EAA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>Załącznik nr 5</w:t>
      </w:r>
      <w:r w:rsidR="001B1318" w:rsidRPr="008F0CCB">
        <w:rPr>
          <w:rFonts w:asciiTheme="minorHAnsi" w:hAnsiTheme="minorHAnsi" w:cstheme="minorHAnsi"/>
        </w:rPr>
        <w:t xml:space="preserve">: </w:t>
      </w:r>
      <w:r w:rsidRPr="008F0CCB">
        <w:rPr>
          <w:rFonts w:asciiTheme="minorHAnsi" w:hAnsiTheme="minorHAnsi" w:cstheme="minorHAnsi"/>
        </w:rPr>
        <w:t xml:space="preserve">Klauzula informacyjna </w:t>
      </w:r>
      <w:r w:rsidR="001B1318" w:rsidRPr="008F0CCB">
        <w:rPr>
          <w:rFonts w:asciiTheme="minorHAnsi" w:hAnsiTheme="minorHAnsi" w:cstheme="minorHAnsi"/>
        </w:rPr>
        <w:t>RODO</w:t>
      </w:r>
    </w:p>
    <w:sectPr w:rsidR="001B1318" w:rsidRPr="008F0CCB" w:rsidSect="00310C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E6B" w:rsidRDefault="00FF5E6B" w:rsidP="00CE6B01">
      <w:pPr>
        <w:spacing w:after="0" w:line="240" w:lineRule="auto"/>
      </w:pPr>
      <w:r>
        <w:separator/>
      </w:r>
    </w:p>
  </w:endnote>
  <w:endnote w:type="continuationSeparator" w:id="0">
    <w:p w:rsidR="00FF5E6B" w:rsidRDefault="00FF5E6B" w:rsidP="00C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E6B" w:rsidRDefault="00FF5E6B" w:rsidP="00CE6B01">
      <w:pPr>
        <w:spacing w:after="0" w:line="240" w:lineRule="auto"/>
      </w:pPr>
      <w:r>
        <w:separator/>
      </w:r>
    </w:p>
  </w:footnote>
  <w:footnote w:type="continuationSeparator" w:id="0">
    <w:p w:rsidR="00FF5E6B" w:rsidRDefault="00FF5E6B" w:rsidP="00CE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01" w:rsidRDefault="00C43E1E">
    <w:pPr>
      <w:pStyle w:val="Nagwek"/>
    </w:pPr>
    <w:r>
      <w:rPr>
        <w:noProof/>
      </w:rPr>
      <w:drawing>
        <wp:inline distT="0" distB="0" distL="0" distR="0">
          <wp:extent cx="5760720" cy="495136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E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6E122A"/>
    <w:multiLevelType w:val="hybridMultilevel"/>
    <w:tmpl w:val="82BC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74AE1"/>
    <w:multiLevelType w:val="hybridMultilevel"/>
    <w:tmpl w:val="60C4A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47AD6"/>
    <w:multiLevelType w:val="hybridMultilevel"/>
    <w:tmpl w:val="D1ECCAF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39665E14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8B57135"/>
    <w:multiLevelType w:val="hybridMultilevel"/>
    <w:tmpl w:val="B15A4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665D8"/>
    <w:multiLevelType w:val="hybridMultilevel"/>
    <w:tmpl w:val="FF9C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651D8"/>
    <w:multiLevelType w:val="hybridMultilevel"/>
    <w:tmpl w:val="1E18E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A407E"/>
    <w:multiLevelType w:val="hybridMultilevel"/>
    <w:tmpl w:val="C630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D6697"/>
    <w:multiLevelType w:val="hybridMultilevel"/>
    <w:tmpl w:val="DF3CA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3D276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1E6E"/>
    <w:rsid w:val="00027609"/>
    <w:rsid w:val="000630DE"/>
    <w:rsid w:val="00165F9D"/>
    <w:rsid w:val="001B1318"/>
    <w:rsid w:val="001B27D7"/>
    <w:rsid w:val="00204FCA"/>
    <w:rsid w:val="00220F01"/>
    <w:rsid w:val="00262A7E"/>
    <w:rsid w:val="00273943"/>
    <w:rsid w:val="00310C8F"/>
    <w:rsid w:val="003A1EAA"/>
    <w:rsid w:val="003B7063"/>
    <w:rsid w:val="003E5011"/>
    <w:rsid w:val="003E66C7"/>
    <w:rsid w:val="004171AA"/>
    <w:rsid w:val="00465D5B"/>
    <w:rsid w:val="004F28E3"/>
    <w:rsid w:val="005448F3"/>
    <w:rsid w:val="00680610"/>
    <w:rsid w:val="006A1E6E"/>
    <w:rsid w:val="00763997"/>
    <w:rsid w:val="008155E8"/>
    <w:rsid w:val="008216A9"/>
    <w:rsid w:val="008F0CCB"/>
    <w:rsid w:val="00950270"/>
    <w:rsid w:val="009B3CAE"/>
    <w:rsid w:val="00A479FB"/>
    <w:rsid w:val="00A508F9"/>
    <w:rsid w:val="00AC1C3A"/>
    <w:rsid w:val="00BB3D6C"/>
    <w:rsid w:val="00C43E1E"/>
    <w:rsid w:val="00C61E80"/>
    <w:rsid w:val="00C65A81"/>
    <w:rsid w:val="00CE6B01"/>
    <w:rsid w:val="00D024BA"/>
    <w:rsid w:val="00D519F3"/>
    <w:rsid w:val="00D57E88"/>
    <w:rsid w:val="00D91FE4"/>
    <w:rsid w:val="00DD20CE"/>
    <w:rsid w:val="00DF5994"/>
    <w:rsid w:val="00E30898"/>
    <w:rsid w:val="00E3291B"/>
    <w:rsid w:val="00EC0CB8"/>
    <w:rsid w:val="00EF29EC"/>
    <w:rsid w:val="00F95297"/>
    <w:rsid w:val="00FB03DE"/>
    <w:rsid w:val="00F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E6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E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1E6E"/>
    <w:rPr>
      <w:color w:val="0000FF" w:themeColor="hyperlink"/>
      <w:u w:val="single"/>
    </w:rPr>
  </w:style>
  <w:style w:type="paragraph" w:customStyle="1" w:styleId="Default">
    <w:name w:val="Default"/>
    <w:rsid w:val="006A1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2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529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529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29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E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B0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E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6B0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1721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2024-06-11T09:35:00Z</dcterms:created>
  <dcterms:modified xsi:type="dcterms:W3CDTF">2024-06-13T08:05:00Z</dcterms:modified>
</cp:coreProperties>
</file>