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27A01" w14:textId="7B45DE75" w:rsidR="004F79D4" w:rsidRPr="00725D20" w:rsidRDefault="004F79D4" w:rsidP="004F79D4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  <w:proofErr w:type="spellStart"/>
      <w:r>
        <w:rPr>
          <w:rFonts w:ascii="Calibri Light" w:hAnsi="Calibri Light" w:cs="Calibri Light"/>
          <w:sz w:val="21"/>
          <w:szCs w:val="21"/>
        </w:rPr>
        <w:t>Z</w:t>
      </w:r>
      <w:r w:rsidRPr="00725D20">
        <w:rPr>
          <w:rFonts w:ascii="Calibri Light" w:hAnsi="Calibri Light" w:cs="Calibri Light"/>
          <w:sz w:val="21"/>
          <w:szCs w:val="21"/>
        </w:rPr>
        <w:t>ałącznik</w:t>
      </w:r>
      <w:proofErr w:type="spellEnd"/>
      <w:r w:rsidRPr="00725D20">
        <w:rPr>
          <w:rFonts w:ascii="Calibri Light" w:hAnsi="Calibri Light" w:cs="Calibri Light"/>
          <w:sz w:val="21"/>
          <w:szCs w:val="21"/>
        </w:rPr>
        <w:t xml:space="preserve"> nr </w:t>
      </w:r>
      <w:r>
        <w:rPr>
          <w:rFonts w:ascii="Calibri Light" w:hAnsi="Calibri Light" w:cs="Calibri Light"/>
          <w:sz w:val="21"/>
          <w:szCs w:val="21"/>
        </w:rPr>
        <w:t>3</w:t>
      </w:r>
      <w:r w:rsidRPr="00725D20">
        <w:rPr>
          <w:rFonts w:ascii="Calibri Light" w:hAnsi="Calibri Light" w:cs="Calibri Light"/>
          <w:sz w:val="21"/>
          <w:szCs w:val="21"/>
        </w:rPr>
        <w:t xml:space="preserve"> do </w:t>
      </w:r>
      <w:proofErr w:type="spellStart"/>
      <w:r w:rsidRPr="00725D20">
        <w:rPr>
          <w:rFonts w:ascii="Calibri Light" w:hAnsi="Calibri Light" w:cs="Calibri Light"/>
          <w:sz w:val="21"/>
          <w:szCs w:val="21"/>
        </w:rPr>
        <w:t>Zapytania</w:t>
      </w:r>
      <w:proofErr w:type="spellEnd"/>
      <w:r w:rsidRPr="00725D20">
        <w:rPr>
          <w:rFonts w:ascii="Calibri Light" w:hAnsi="Calibri Light" w:cs="Calibri Light"/>
          <w:sz w:val="21"/>
          <w:szCs w:val="21"/>
        </w:rPr>
        <w:t xml:space="preserve"> </w:t>
      </w:r>
      <w:proofErr w:type="spellStart"/>
      <w:r w:rsidRPr="00725D20">
        <w:rPr>
          <w:rFonts w:ascii="Calibri Light" w:hAnsi="Calibri Light" w:cs="Calibri Light"/>
          <w:sz w:val="21"/>
          <w:szCs w:val="21"/>
        </w:rPr>
        <w:t>ofertowego</w:t>
      </w:r>
      <w:proofErr w:type="spellEnd"/>
      <w:r w:rsidRPr="00725D20">
        <w:rPr>
          <w:rFonts w:ascii="Calibri Light" w:hAnsi="Calibri Light" w:cs="Calibri Light"/>
          <w:sz w:val="21"/>
          <w:szCs w:val="21"/>
        </w:rPr>
        <w:t xml:space="preserve"> nr </w:t>
      </w:r>
      <w:r>
        <w:rPr>
          <w:rFonts w:ascii="Calibri Light" w:hAnsi="Calibri Light" w:cs="Calibri Light"/>
          <w:sz w:val="21"/>
          <w:szCs w:val="21"/>
        </w:rPr>
        <w:t>1</w:t>
      </w:r>
      <w:r w:rsidRPr="00725D20">
        <w:rPr>
          <w:rFonts w:ascii="Calibri Light" w:hAnsi="Calibri Light" w:cs="Calibri Light"/>
          <w:sz w:val="21"/>
          <w:szCs w:val="21"/>
        </w:rPr>
        <w:t>/0</w:t>
      </w:r>
      <w:r>
        <w:rPr>
          <w:rFonts w:ascii="Calibri Light" w:hAnsi="Calibri Light" w:cs="Calibri Light"/>
          <w:sz w:val="21"/>
          <w:szCs w:val="21"/>
        </w:rPr>
        <w:t>5</w:t>
      </w:r>
      <w:r w:rsidRPr="00725D20">
        <w:rPr>
          <w:rFonts w:ascii="Calibri Light" w:hAnsi="Calibri Light" w:cs="Calibri Light"/>
          <w:sz w:val="21"/>
          <w:szCs w:val="21"/>
        </w:rPr>
        <w:t>/202</w:t>
      </w:r>
      <w:r>
        <w:rPr>
          <w:rFonts w:ascii="Calibri Light" w:hAnsi="Calibri Light" w:cs="Calibri Light"/>
          <w:sz w:val="21"/>
          <w:szCs w:val="21"/>
        </w:rPr>
        <w:t>4</w:t>
      </w:r>
      <w:r w:rsidRPr="00725D20">
        <w:rPr>
          <w:rFonts w:ascii="Calibri Light" w:hAnsi="Calibri Light" w:cs="Calibri Light"/>
          <w:sz w:val="21"/>
          <w:szCs w:val="21"/>
        </w:rPr>
        <w:t xml:space="preserve"> </w:t>
      </w:r>
    </w:p>
    <w:p w14:paraId="6F2C9D2C" w14:textId="77777777" w:rsidR="00D53804" w:rsidRDefault="00D53804" w:rsidP="00854502">
      <w:pPr>
        <w:spacing w:after="0"/>
        <w:jc w:val="right"/>
        <w:rPr>
          <w:rFonts w:asciiTheme="minorHAnsi" w:hAnsiTheme="minorHAnsi" w:cstheme="minorHAnsi"/>
          <w:sz w:val="20"/>
          <w:szCs w:val="20"/>
        </w:rPr>
      </w:pPr>
    </w:p>
    <w:p w14:paraId="676C6427" w14:textId="47EF7297" w:rsidR="00854502" w:rsidRDefault="00D53804" w:rsidP="00D53804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D53804">
        <w:rPr>
          <w:rFonts w:asciiTheme="minorHAnsi" w:hAnsiTheme="minorHAnsi" w:cstheme="minorHAnsi"/>
          <w:b/>
          <w:bCs/>
          <w:sz w:val="24"/>
          <w:szCs w:val="24"/>
          <w:lang w:val="pl-PL"/>
        </w:rPr>
        <w:t>POTWIERDZENIE ZAOFEROWANIA PRZEZ WYKONAWCĘ FUNKCJONALNOŚCI OPROGRAMOWANIA</w:t>
      </w:r>
    </w:p>
    <w:p w14:paraId="0A76DC2B" w14:textId="77777777" w:rsidR="00D53804" w:rsidRPr="00D53804" w:rsidRDefault="00D53804" w:rsidP="00D53804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13610" w:type="dxa"/>
        <w:tblLook w:val="04A0" w:firstRow="1" w:lastRow="0" w:firstColumn="1" w:lastColumn="0" w:noHBand="0" w:noVBand="1"/>
      </w:tblPr>
      <w:tblGrid>
        <w:gridCol w:w="960"/>
        <w:gridCol w:w="5981"/>
        <w:gridCol w:w="2126"/>
        <w:gridCol w:w="2275"/>
        <w:gridCol w:w="2268"/>
      </w:tblGrid>
      <w:tr w:rsidR="00D53804" w:rsidRPr="00D53804" w14:paraId="6EA01682" w14:textId="3E98EE0F" w:rsidTr="00D53804">
        <w:trPr>
          <w:trHeight w:val="290"/>
        </w:trPr>
        <w:tc>
          <w:tcPr>
            <w:tcW w:w="960" w:type="dxa"/>
            <w:noWrap/>
            <w:vAlign w:val="center"/>
            <w:hideMark/>
          </w:tcPr>
          <w:p w14:paraId="1AB05BFF" w14:textId="77777777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Lp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981" w:type="dxa"/>
            <w:vAlign w:val="center"/>
            <w:hideMark/>
          </w:tcPr>
          <w:p w14:paraId="7AC5FB22" w14:textId="77777777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D538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Opis</w:t>
            </w:r>
            <w:proofErr w:type="spellEnd"/>
            <w:r w:rsidRPr="00D538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wymaganej</w:t>
            </w:r>
            <w:proofErr w:type="spellEnd"/>
            <w:r w:rsidRPr="00D538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funkcjonalności</w:t>
            </w:r>
            <w:proofErr w:type="spellEnd"/>
          </w:p>
        </w:tc>
        <w:tc>
          <w:tcPr>
            <w:tcW w:w="2126" w:type="dxa"/>
            <w:noWrap/>
            <w:vAlign w:val="center"/>
            <w:hideMark/>
          </w:tcPr>
          <w:p w14:paraId="18403BB8" w14:textId="77777777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D538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Typ</w:t>
            </w:r>
            <w:proofErr w:type="spellEnd"/>
          </w:p>
        </w:tc>
        <w:tc>
          <w:tcPr>
            <w:tcW w:w="2273" w:type="dxa"/>
            <w:noWrap/>
            <w:vAlign w:val="center"/>
            <w:hideMark/>
          </w:tcPr>
          <w:p w14:paraId="733FB8C3" w14:textId="3CEBC90F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Potwierdzenie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przez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wykonawcę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że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zaoferowane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oprogramowania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posiada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funkcjonalności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wkalkulowane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wartości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ogółem</w:t>
            </w:r>
            <w:proofErr w:type="spellEnd"/>
          </w:p>
        </w:tc>
        <w:tc>
          <w:tcPr>
            <w:tcW w:w="2268" w:type="dxa"/>
          </w:tcPr>
          <w:p w14:paraId="2934C1DD" w14:textId="77777777" w:rsidR="00D53804" w:rsidRDefault="00D53804" w:rsidP="00D538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BF17B23" w14:textId="7EB1EAF6" w:rsidR="00D53804" w:rsidRDefault="00D53804" w:rsidP="00D538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Uwagi</w:t>
            </w:r>
            <w:proofErr w:type="spellEnd"/>
          </w:p>
        </w:tc>
      </w:tr>
      <w:tr w:rsidR="00D53804" w:rsidRPr="00D53804" w14:paraId="4AB28A9A" w14:textId="4A0D9E58" w:rsidTr="00D53804">
        <w:trPr>
          <w:trHeight w:val="580"/>
        </w:trPr>
        <w:tc>
          <w:tcPr>
            <w:tcW w:w="960" w:type="dxa"/>
            <w:noWrap/>
            <w:hideMark/>
          </w:tcPr>
          <w:p w14:paraId="0D74E77E" w14:textId="77777777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981" w:type="dxa"/>
            <w:hideMark/>
          </w:tcPr>
          <w:p w14:paraId="58E17981" w14:textId="77777777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Import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zamówień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klientów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zleceń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sprzedaży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systemu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planowania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transportu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gdzie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zakłada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się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że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dostępność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towaru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jest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potwierdzona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możliwością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jego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aktualizacji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6" w:type="dxa"/>
            <w:noWrap/>
            <w:vAlign w:val="center"/>
            <w:hideMark/>
          </w:tcPr>
          <w:p w14:paraId="5CFF348F" w14:textId="77777777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Interfejs</w:t>
            </w:r>
            <w:proofErr w:type="spellEnd"/>
          </w:p>
        </w:tc>
        <w:tc>
          <w:tcPr>
            <w:tcW w:w="2273" w:type="dxa"/>
            <w:noWrap/>
          </w:tcPr>
          <w:p w14:paraId="459044F7" w14:textId="7D378BB1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7806B64" w14:textId="77777777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3804" w:rsidRPr="00D53804" w14:paraId="5DA9A305" w14:textId="64A49180" w:rsidTr="00D53804">
        <w:trPr>
          <w:trHeight w:val="1160"/>
        </w:trPr>
        <w:tc>
          <w:tcPr>
            <w:tcW w:w="960" w:type="dxa"/>
            <w:noWrap/>
            <w:hideMark/>
          </w:tcPr>
          <w:p w14:paraId="3E7C0BBD" w14:textId="77777777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981" w:type="dxa"/>
            <w:hideMark/>
          </w:tcPr>
          <w:p w14:paraId="37DB2AAD" w14:textId="77777777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Automatyzacja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planowania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transportu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bazie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produktów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pakowanych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worki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paletyzowanych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tzw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worków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gdzie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paletyzacja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jest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statyczna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zmienia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się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np. per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klient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  <w:r w:rsidRPr="00D5380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Planowanie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transportu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polega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próbie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minimalizacji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całkowitego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kosztu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transportu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przy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założeniu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że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flota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pojazdów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jest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homogeniczna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(taka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sama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pod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kątem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ładowności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typ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samochodu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to  "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firanka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plandeka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" </w:t>
            </w:r>
          </w:p>
        </w:tc>
        <w:tc>
          <w:tcPr>
            <w:tcW w:w="2126" w:type="dxa"/>
            <w:noWrap/>
            <w:vAlign w:val="center"/>
            <w:hideMark/>
          </w:tcPr>
          <w:p w14:paraId="6E010098" w14:textId="77777777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Planowanie</w:t>
            </w:r>
            <w:proofErr w:type="spellEnd"/>
          </w:p>
        </w:tc>
        <w:tc>
          <w:tcPr>
            <w:tcW w:w="2273" w:type="dxa"/>
            <w:noWrap/>
          </w:tcPr>
          <w:p w14:paraId="3780A794" w14:textId="56F6ED9A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6EC1DB" w14:textId="77777777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3804" w:rsidRPr="00D53804" w14:paraId="1FE3C5F7" w14:textId="6C0FA6AD" w:rsidTr="00D53804">
        <w:trPr>
          <w:trHeight w:val="1450"/>
        </w:trPr>
        <w:tc>
          <w:tcPr>
            <w:tcW w:w="960" w:type="dxa"/>
            <w:noWrap/>
            <w:hideMark/>
          </w:tcPr>
          <w:p w14:paraId="4FDFD0E1" w14:textId="77777777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981" w:type="dxa"/>
            <w:hideMark/>
          </w:tcPr>
          <w:p w14:paraId="585D2E50" w14:textId="77777777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Podczas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planowania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"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worków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" system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sprawdza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czy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bardziej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się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opłaca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czy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jest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taniej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wysłać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dane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zamówienie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transportem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dedykowanym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planowanym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przez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Biofeed),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czy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wykorzystać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zewnętrznego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dostawcę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usług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transportowych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typu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Schenker),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którego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rozliczenie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bazuje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przedziale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paletowym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danego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kodu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pocztowego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Ponadto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użytkownik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będzie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mógł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zdecydować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czy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dane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zamówienie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już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należy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realizować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zewnętrznym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dostawcą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czy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może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kolejnej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turze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planowania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powinno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być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ponownie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wzięte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pod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uwagę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6" w:type="dxa"/>
            <w:noWrap/>
            <w:vAlign w:val="center"/>
            <w:hideMark/>
          </w:tcPr>
          <w:p w14:paraId="09C6A675" w14:textId="77777777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Planowanie</w:t>
            </w:r>
            <w:proofErr w:type="spellEnd"/>
          </w:p>
        </w:tc>
        <w:tc>
          <w:tcPr>
            <w:tcW w:w="2273" w:type="dxa"/>
            <w:noWrap/>
          </w:tcPr>
          <w:p w14:paraId="24EC7F7E" w14:textId="5A0600CA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7A3CED" w14:textId="77777777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3804" w:rsidRPr="00D53804" w14:paraId="5D3DE754" w14:textId="7F801028" w:rsidTr="00D53804">
        <w:trPr>
          <w:trHeight w:val="2030"/>
        </w:trPr>
        <w:tc>
          <w:tcPr>
            <w:tcW w:w="960" w:type="dxa"/>
            <w:noWrap/>
            <w:hideMark/>
          </w:tcPr>
          <w:p w14:paraId="002E4942" w14:textId="77777777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380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</w:t>
            </w:r>
          </w:p>
        </w:tc>
        <w:tc>
          <w:tcPr>
            <w:tcW w:w="5981" w:type="dxa"/>
            <w:hideMark/>
          </w:tcPr>
          <w:p w14:paraId="0ABD291E" w14:textId="77777777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Automatyzacja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planowania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transportu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wychodzącego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bazie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produktów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transportowanych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luzem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D5380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Planowanie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transportu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polega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próbie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minimalizacji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całkowitego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kosztu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transportu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przy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założeniu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że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flota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pojazdów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jest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heterogeniczna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pod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kątem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całkowitej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ładowności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wielkości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ilości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poszczególnych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komór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Dodatkowo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system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podczas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planowania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przypisuje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konkretną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pozycję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zamówienia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zlecenia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sprzedaży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wraz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ilością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konkretnej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komory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danym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pojeździe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Dodatkowo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system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kontroluje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środek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ciężkości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naczepy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aby po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każdym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rozładunku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był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utrzymywany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określonym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zakresie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zakłada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się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że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komory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się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symetryczne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środek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ciężkości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każdej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nich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jest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geometrycznym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środkiem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komory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6" w:type="dxa"/>
            <w:noWrap/>
            <w:vAlign w:val="center"/>
            <w:hideMark/>
          </w:tcPr>
          <w:p w14:paraId="15DF29F6" w14:textId="77777777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Planowanie</w:t>
            </w:r>
            <w:proofErr w:type="spellEnd"/>
          </w:p>
        </w:tc>
        <w:tc>
          <w:tcPr>
            <w:tcW w:w="2273" w:type="dxa"/>
            <w:noWrap/>
          </w:tcPr>
          <w:p w14:paraId="2D597DDA" w14:textId="3359290A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F8DA58" w14:textId="77777777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3804" w:rsidRPr="00D53804" w14:paraId="2F86932F" w14:textId="5BDD6012" w:rsidTr="00D53804">
        <w:trPr>
          <w:trHeight w:val="2320"/>
        </w:trPr>
        <w:tc>
          <w:tcPr>
            <w:tcW w:w="960" w:type="dxa"/>
            <w:noWrap/>
            <w:hideMark/>
          </w:tcPr>
          <w:p w14:paraId="2AE05C85" w14:textId="77777777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981" w:type="dxa"/>
            <w:hideMark/>
          </w:tcPr>
          <w:p w14:paraId="7C4A11C3" w14:textId="77777777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Transport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dedykowany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poziomie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każdego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pojazdu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może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używać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jednego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poniższych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modeli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kosztowych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D5380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Stała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stawka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za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użycie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pojazdu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Stała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stawka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za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każdy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przejechany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kilometr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Stała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stawka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za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użycie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pojazdu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+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Stała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stawka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za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każdy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przejechany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kilometr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Stawka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stała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przedziałach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kilometrowych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Stawka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zmienna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przedziałach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kilometrowych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Stawka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stała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zmienna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przedziałach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kilometrowych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Stała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stawka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za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każdy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przejechany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kilometr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różna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momencie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kiedy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pojazd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jest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załadowany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kiedy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pusty</w:t>
            </w:r>
            <w:proofErr w:type="spellEnd"/>
          </w:p>
        </w:tc>
        <w:tc>
          <w:tcPr>
            <w:tcW w:w="2126" w:type="dxa"/>
            <w:noWrap/>
            <w:vAlign w:val="center"/>
            <w:hideMark/>
          </w:tcPr>
          <w:p w14:paraId="40984F90" w14:textId="77777777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Planowanie</w:t>
            </w:r>
            <w:proofErr w:type="spellEnd"/>
          </w:p>
        </w:tc>
        <w:tc>
          <w:tcPr>
            <w:tcW w:w="2273" w:type="dxa"/>
            <w:noWrap/>
          </w:tcPr>
          <w:p w14:paraId="2E312C8B" w14:textId="7E882E6F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6BB875A" w14:textId="77777777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3804" w:rsidRPr="00D53804" w14:paraId="7B240C87" w14:textId="7344685A" w:rsidTr="00D53804">
        <w:trPr>
          <w:trHeight w:val="2610"/>
        </w:trPr>
        <w:tc>
          <w:tcPr>
            <w:tcW w:w="960" w:type="dxa"/>
            <w:noWrap/>
            <w:hideMark/>
          </w:tcPr>
          <w:p w14:paraId="58C93EE0" w14:textId="77777777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5981" w:type="dxa"/>
            <w:hideMark/>
          </w:tcPr>
          <w:p w14:paraId="3B7DF82F" w14:textId="77777777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Wyzwolenie z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systemu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planistycznego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zlecenia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załadunku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systemie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ERP Biofeed z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możliwością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jego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edycji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przy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określonych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krokach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manualnych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D5380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Zlecenie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załadunku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będzie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zawierało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D5380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Numery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zamówień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klientów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innych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dokumentów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referencyjnych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),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które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powinny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znaleźć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się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jednej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trasie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.​</w:t>
            </w:r>
            <w:r w:rsidRPr="00D5380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Kolejność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rozładunku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zamówień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.​</w:t>
            </w:r>
            <w:r w:rsidRPr="00D5380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Przypisanie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zamówienia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jego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pozycji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komory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wraz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ilością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.​</w:t>
            </w:r>
            <w:r w:rsidRPr="00D5380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Planowaną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godzinę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załadunku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.​</w:t>
            </w:r>
            <w:r w:rsidRPr="00D5380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Planowaną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godzinę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rozładunków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punktach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D5380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Stworzenie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obiektu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takiego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jakim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jest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zlecenie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załadunku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będzie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zakresie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odpowiedzialności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Biofeed</w:t>
            </w:r>
          </w:p>
        </w:tc>
        <w:tc>
          <w:tcPr>
            <w:tcW w:w="2126" w:type="dxa"/>
            <w:noWrap/>
            <w:vAlign w:val="center"/>
            <w:hideMark/>
          </w:tcPr>
          <w:p w14:paraId="6AA6F09F" w14:textId="77777777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Interfejs</w:t>
            </w:r>
            <w:proofErr w:type="spellEnd"/>
          </w:p>
        </w:tc>
        <w:tc>
          <w:tcPr>
            <w:tcW w:w="2273" w:type="dxa"/>
            <w:noWrap/>
          </w:tcPr>
          <w:p w14:paraId="216A03E4" w14:textId="496A554E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642AAD" w14:textId="77777777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3804" w:rsidRPr="00D53804" w14:paraId="7AA45B35" w14:textId="77C5EA90" w:rsidTr="00D53804">
        <w:trPr>
          <w:trHeight w:val="580"/>
        </w:trPr>
        <w:tc>
          <w:tcPr>
            <w:tcW w:w="960" w:type="dxa"/>
            <w:noWrap/>
            <w:hideMark/>
          </w:tcPr>
          <w:p w14:paraId="31019AEB" w14:textId="77777777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380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7</w:t>
            </w:r>
          </w:p>
        </w:tc>
        <w:tc>
          <w:tcPr>
            <w:tcW w:w="5981" w:type="dxa"/>
            <w:hideMark/>
          </w:tcPr>
          <w:p w14:paraId="25A0F739" w14:textId="77777777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Przekazanie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tras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zaplanowanych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systemie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planowania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transportu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aplikację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mobilną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działającą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systemie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android)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zainstalowaną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przez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kierowców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bazie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wytycznych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umów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Biofeed z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przewoźnikami</w:t>
            </w:r>
            <w:proofErr w:type="spellEnd"/>
          </w:p>
        </w:tc>
        <w:tc>
          <w:tcPr>
            <w:tcW w:w="2126" w:type="dxa"/>
            <w:noWrap/>
            <w:vAlign w:val="center"/>
            <w:hideMark/>
          </w:tcPr>
          <w:p w14:paraId="2B3914FC" w14:textId="77777777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Interfejs</w:t>
            </w:r>
            <w:proofErr w:type="spellEnd"/>
          </w:p>
        </w:tc>
        <w:tc>
          <w:tcPr>
            <w:tcW w:w="2273" w:type="dxa"/>
            <w:noWrap/>
          </w:tcPr>
          <w:p w14:paraId="47E6C1C4" w14:textId="0F576A47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EC48D98" w14:textId="77777777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3804" w:rsidRPr="00D53804" w14:paraId="64060A02" w14:textId="55790704" w:rsidTr="00D53804">
        <w:trPr>
          <w:trHeight w:val="870"/>
        </w:trPr>
        <w:tc>
          <w:tcPr>
            <w:tcW w:w="960" w:type="dxa"/>
            <w:noWrap/>
            <w:hideMark/>
          </w:tcPr>
          <w:p w14:paraId="0E4C0CBF" w14:textId="77777777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5981" w:type="dxa"/>
            <w:hideMark/>
          </w:tcPr>
          <w:p w14:paraId="1691C50B" w14:textId="77777777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Aktualizacja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statusu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wskazanego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przez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Biofeed)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poziomie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zamówienia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innego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obiektu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systemie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ERP,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mówiącego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tym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czy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zamówienie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jest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już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zaplanowane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transporcie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, jest w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trakcie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dostawy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jest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dostarczone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częściowo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. Status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taki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będzie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poziomie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nagłówka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obiektu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6" w:type="dxa"/>
            <w:noWrap/>
            <w:vAlign w:val="center"/>
            <w:hideMark/>
          </w:tcPr>
          <w:p w14:paraId="7140FFAD" w14:textId="77777777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Interfejs</w:t>
            </w:r>
            <w:proofErr w:type="spellEnd"/>
          </w:p>
        </w:tc>
        <w:tc>
          <w:tcPr>
            <w:tcW w:w="2273" w:type="dxa"/>
            <w:noWrap/>
          </w:tcPr>
          <w:p w14:paraId="659D7107" w14:textId="2794F093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0EF59A" w14:textId="77777777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3804" w:rsidRPr="00D53804" w14:paraId="0CD92C7B" w14:textId="1BF0E3EC" w:rsidTr="00D53804">
        <w:trPr>
          <w:trHeight w:val="1450"/>
        </w:trPr>
        <w:tc>
          <w:tcPr>
            <w:tcW w:w="960" w:type="dxa"/>
            <w:noWrap/>
            <w:hideMark/>
          </w:tcPr>
          <w:p w14:paraId="56BAE137" w14:textId="77777777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5981" w:type="dxa"/>
            <w:hideMark/>
          </w:tcPr>
          <w:p w14:paraId="5A5EE9CC" w14:textId="3C82165D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Raport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niezgodności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dostawach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klienta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podstawie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protokołu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rozbieżności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tworzonego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przez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kierowcę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="006476E8" w:rsidRPr="006476E8">
              <w:rPr>
                <w:rFonts w:asciiTheme="minorHAnsi" w:hAnsiTheme="minorHAnsi" w:cstheme="minorHAnsi"/>
                <w:sz w:val="20"/>
                <w:szCs w:val="20"/>
              </w:rPr>
              <w:t>aplikacji</w:t>
            </w:r>
            <w:proofErr w:type="spellEnd"/>
            <w:r w:rsidR="006476E8" w:rsidRPr="006476E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6476E8" w:rsidRPr="006476E8">
              <w:rPr>
                <w:rFonts w:asciiTheme="minorHAnsi" w:hAnsiTheme="minorHAnsi" w:cstheme="minorHAnsi"/>
                <w:sz w:val="20"/>
                <w:szCs w:val="20"/>
              </w:rPr>
              <w:t>mobilnej</w:t>
            </w:r>
            <w:proofErr w:type="spellEnd"/>
            <w:r w:rsidR="006476E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D5380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Na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bazie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danych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wprowadzonych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aplikacji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mobilnej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przez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kierowcę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stworzenie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raportu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gdzie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każda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pozycja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zamówienia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posiada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ilość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jaka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była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planowana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dostawy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moment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planowania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ilość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jaka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została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finalnie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dostarczona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6" w:type="dxa"/>
            <w:noWrap/>
            <w:vAlign w:val="center"/>
            <w:hideMark/>
          </w:tcPr>
          <w:p w14:paraId="063C29C1" w14:textId="77777777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Raport</w:t>
            </w:r>
            <w:proofErr w:type="spellEnd"/>
          </w:p>
        </w:tc>
        <w:tc>
          <w:tcPr>
            <w:tcW w:w="2273" w:type="dxa"/>
            <w:noWrap/>
          </w:tcPr>
          <w:p w14:paraId="4D1A8124" w14:textId="17DDF585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649973" w14:textId="77777777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3804" w:rsidRPr="00D53804" w14:paraId="5B4F9C2F" w14:textId="455F738B" w:rsidTr="00D53804">
        <w:trPr>
          <w:trHeight w:val="870"/>
        </w:trPr>
        <w:tc>
          <w:tcPr>
            <w:tcW w:w="960" w:type="dxa"/>
            <w:noWrap/>
            <w:hideMark/>
          </w:tcPr>
          <w:p w14:paraId="028C1B77" w14:textId="77777777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5981" w:type="dxa"/>
            <w:hideMark/>
          </w:tcPr>
          <w:p w14:paraId="54066139" w14:textId="77777777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Ile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kosztuje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1 KM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dla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danego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adresu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dostawy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D5380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Na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bazie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danych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planistycznych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alokacja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kosztu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każde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miejsce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dostawy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podzielenie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tego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przez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dystans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tej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lokalizacji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podziałem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różne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lokalizacje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załadunku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6" w:type="dxa"/>
            <w:noWrap/>
            <w:vAlign w:val="center"/>
            <w:hideMark/>
          </w:tcPr>
          <w:p w14:paraId="13CC9C02" w14:textId="77777777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Raport</w:t>
            </w:r>
            <w:proofErr w:type="spellEnd"/>
          </w:p>
        </w:tc>
        <w:tc>
          <w:tcPr>
            <w:tcW w:w="2273" w:type="dxa"/>
          </w:tcPr>
          <w:p w14:paraId="2B89AA1B" w14:textId="3920B90C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E0801F" w14:textId="77777777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3804" w:rsidRPr="00D53804" w14:paraId="38EE1500" w14:textId="34A0234B" w:rsidTr="00D53804">
        <w:trPr>
          <w:trHeight w:val="870"/>
        </w:trPr>
        <w:tc>
          <w:tcPr>
            <w:tcW w:w="960" w:type="dxa"/>
            <w:noWrap/>
            <w:hideMark/>
          </w:tcPr>
          <w:p w14:paraId="182790C4" w14:textId="77777777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5981" w:type="dxa"/>
            <w:hideMark/>
          </w:tcPr>
          <w:p w14:paraId="40E972F0" w14:textId="77777777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Ile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kosztuje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1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tona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jako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koszt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dostawy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do pkt.  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dla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danego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kontrahenta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D5380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Na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bazie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danych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planistycznych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alokacja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kosztu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każde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miejsce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dostawy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podzielenie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tego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przez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sumę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wolumenu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tej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lokalizacji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podziałem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różne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lokalizacje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załadunku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grupy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produktów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6" w:type="dxa"/>
            <w:noWrap/>
            <w:vAlign w:val="center"/>
            <w:hideMark/>
          </w:tcPr>
          <w:p w14:paraId="56EB42D1" w14:textId="77777777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Raport</w:t>
            </w:r>
            <w:proofErr w:type="spellEnd"/>
          </w:p>
        </w:tc>
        <w:tc>
          <w:tcPr>
            <w:tcW w:w="2273" w:type="dxa"/>
          </w:tcPr>
          <w:p w14:paraId="1A6F3FC4" w14:textId="3767D102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E76BBCD" w14:textId="77777777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3804" w:rsidRPr="00D53804" w14:paraId="33572DBA" w14:textId="2C0F9339" w:rsidTr="00D53804">
        <w:trPr>
          <w:trHeight w:val="580"/>
        </w:trPr>
        <w:tc>
          <w:tcPr>
            <w:tcW w:w="960" w:type="dxa"/>
            <w:noWrap/>
            <w:hideMark/>
          </w:tcPr>
          <w:p w14:paraId="20A86FD4" w14:textId="77777777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5981" w:type="dxa"/>
            <w:hideMark/>
          </w:tcPr>
          <w:p w14:paraId="78D6CEC9" w14:textId="535DD85A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Koszty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podwykonawców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– w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analogicznych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parametrach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D5380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Rozbicie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kosztów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opisanych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w pkt.</w:t>
            </w:r>
            <w:r w:rsidRPr="00D53804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6476E8" w:rsidRPr="006476E8">
              <w:rPr>
                <w:rFonts w:asciiTheme="minorHAnsi" w:hAnsiTheme="minorHAnsi" w:cstheme="minorHAnsi"/>
                <w:sz w:val="20"/>
                <w:szCs w:val="20"/>
              </w:rPr>
              <w:t xml:space="preserve">10 </w:t>
            </w:r>
            <w:proofErr w:type="spellStart"/>
            <w:r w:rsidR="006476E8" w:rsidRPr="006476E8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="006476E8" w:rsidRPr="006476E8">
              <w:rPr>
                <w:rFonts w:asciiTheme="minorHAnsi" w:hAnsiTheme="minorHAnsi" w:cstheme="minorHAnsi"/>
                <w:sz w:val="20"/>
                <w:szCs w:val="20"/>
              </w:rPr>
              <w:t xml:space="preserve"> 11 </w:t>
            </w:r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przewoźnikach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6" w:type="dxa"/>
            <w:noWrap/>
            <w:vAlign w:val="center"/>
            <w:hideMark/>
          </w:tcPr>
          <w:p w14:paraId="63C7ECC1" w14:textId="77777777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Raport</w:t>
            </w:r>
            <w:proofErr w:type="spellEnd"/>
          </w:p>
        </w:tc>
        <w:tc>
          <w:tcPr>
            <w:tcW w:w="2273" w:type="dxa"/>
          </w:tcPr>
          <w:p w14:paraId="07D28C25" w14:textId="24CA16CA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C8FACF9" w14:textId="77777777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3804" w:rsidRPr="00D53804" w14:paraId="4FC20E14" w14:textId="5EEBC04B" w:rsidTr="00D53804">
        <w:trPr>
          <w:trHeight w:val="870"/>
        </w:trPr>
        <w:tc>
          <w:tcPr>
            <w:tcW w:w="960" w:type="dxa"/>
            <w:noWrap/>
            <w:hideMark/>
          </w:tcPr>
          <w:p w14:paraId="3281FA95" w14:textId="77777777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5981" w:type="dxa"/>
            <w:hideMark/>
          </w:tcPr>
          <w:p w14:paraId="3F7700F1" w14:textId="62182B46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Koszt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logistyczny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globalny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obsługi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określonego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adresu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klienta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okresie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D5380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Na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bazie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danych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planistycznych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alokacja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kosztu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każde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miejsce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dostawy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możliwość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agregacji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ponownej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aby np.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ustalić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średni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koszt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dostawy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danego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regionu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produktu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grupy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produktów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6" w:type="dxa"/>
            <w:noWrap/>
            <w:vAlign w:val="center"/>
            <w:hideMark/>
          </w:tcPr>
          <w:p w14:paraId="536BFD15" w14:textId="77777777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Raport</w:t>
            </w:r>
            <w:proofErr w:type="spellEnd"/>
          </w:p>
        </w:tc>
        <w:tc>
          <w:tcPr>
            <w:tcW w:w="2273" w:type="dxa"/>
          </w:tcPr>
          <w:p w14:paraId="70D8FF2B" w14:textId="77D90DC9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3CF68F" w14:textId="77777777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3804" w:rsidRPr="00D53804" w14:paraId="086B8223" w14:textId="5ECB8258" w:rsidTr="00D53804">
        <w:trPr>
          <w:trHeight w:val="870"/>
        </w:trPr>
        <w:tc>
          <w:tcPr>
            <w:tcW w:w="960" w:type="dxa"/>
            <w:noWrap/>
            <w:hideMark/>
          </w:tcPr>
          <w:p w14:paraId="62A30009" w14:textId="77777777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5981" w:type="dxa"/>
            <w:hideMark/>
          </w:tcPr>
          <w:p w14:paraId="22455341" w14:textId="54410747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Raport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pokazujący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historię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dostaw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dla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danego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kontrahenta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adresu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dostawy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.</w:t>
            </w:r>
            <w:r w:rsidRPr="00D5380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Raport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ma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pokazywać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wszystkie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dokonane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dostawy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wszystkich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kontrahentów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wraz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poziomem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przyjęcia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odmowy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towaru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6" w:type="dxa"/>
            <w:noWrap/>
            <w:vAlign w:val="center"/>
            <w:hideMark/>
          </w:tcPr>
          <w:p w14:paraId="5897B35D" w14:textId="77777777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Raport</w:t>
            </w:r>
            <w:proofErr w:type="spellEnd"/>
          </w:p>
        </w:tc>
        <w:tc>
          <w:tcPr>
            <w:tcW w:w="2273" w:type="dxa"/>
          </w:tcPr>
          <w:p w14:paraId="4EC8CCF4" w14:textId="5CF2C005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054653A" w14:textId="77777777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3804" w:rsidRPr="00D53804" w14:paraId="5A5A035C" w14:textId="00BC3432" w:rsidTr="00D53804">
        <w:trPr>
          <w:trHeight w:val="580"/>
        </w:trPr>
        <w:tc>
          <w:tcPr>
            <w:tcW w:w="960" w:type="dxa"/>
            <w:noWrap/>
            <w:hideMark/>
          </w:tcPr>
          <w:p w14:paraId="13D90F82" w14:textId="77777777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380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15</w:t>
            </w:r>
          </w:p>
        </w:tc>
        <w:tc>
          <w:tcPr>
            <w:tcW w:w="5981" w:type="dxa"/>
            <w:hideMark/>
          </w:tcPr>
          <w:p w14:paraId="0934B32A" w14:textId="77777777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Gdy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kierowca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podejmie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zlecenie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rozpoczęcie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trasy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aplikacji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mobilnej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),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wysyłka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numeru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kierowcy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kontrahentów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ze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zlecenia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2126" w:type="dxa"/>
            <w:noWrap/>
            <w:vAlign w:val="center"/>
            <w:hideMark/>
          </w:tcPr>
          <w:p w14:paraId="45CA09EE" w14:textId="2A8AC83C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Powiadomienia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ręcznie</w:t>
            </w:r>
            <w:proofErr w:type="spellEnd"/>
          </w:p>
        </w:tc>
        <w:tc>
          <w:tcPr>
            <w:tcW w:w="2273" w:type="dxa"/>
            <w:hideMark/>
          </w:tcPr>
          <w:p w14:paraId="72EBC7B9" w14:textId="2930651D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F2B18A3" w14:textId="77777777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3804" w:rsidRPr="00D53804" w14:paraId="575654E4" w14:textId="435D0114" w:rsidTr="00D53804">
        <w:trPr>
          <w:trHeight w:val="1160"/>
        </w:trPr>
        <w:tc>
          <w:tcPr>
            <w:tcW w:w="960" w:type="dxa"/>
            <w:noWrap/>
            <w:hideMark/>
          </w:tcPr>
          <w:p w14:paraId="4A3FC3B4" w14:textId="77777777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5981" w:type="dxa"/>
            <w:hideMark/>
          </w:tcPr>
          <w:p w14:paraId="0B439DB8" w14:textId="77777777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Wysyłka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automatyczna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komunikat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SMS do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klientów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kontakty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przypisane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adresu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dostawy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gdy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kierowca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drodze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ma 2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adresy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dostaw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realizacji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przed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adresem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którego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kierowana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jest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wysyłką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1 h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przed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planowaną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Sugerowane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jest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zastosowanie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rozwiązania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z 1h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przed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planowaną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dostawą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jeżeli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kierowca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ma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wcześniej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więcej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niż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1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dostawę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2126" w:type="dxa"/>
            <w:noWrap/>
            <w:vAlign w:val="center"/>
            <w:hideMark/>
          </w:tcPr>
          <w:p w14:paraId="3C0660B4" w14:textId="27BD4726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Powiadomienia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Kierowca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wyzwala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ręcznie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wysłanie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smsa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- w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cenie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Dostęp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bramki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SMS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zapewnia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Biofeed.</w:t>
            </w:r>
          </w:p>
        </w:tc>
        <w:tc>
          <w:tcPr>
            <w:tcW w:w="2273" w:type="dxa"/>
            <w:hideMark/>
          </w:tcPr>
          <w:p w14:paraId="5BB8B075" w14:textId="1B67A60F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538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</w:p>
        </w:tc>
        <w:tc>
          <w:tcPr>
            <w:tcW w:w="2268" w:type="dxa"/>
          </w:tcPr>
          <w:p w14:paraId="61FF35BA" w14:textId="77777777" w:rsidR="00D53804" w:rsidRPr="00D53804" w:rsidRDefault="00D53804" w:rsidP="00D5380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53804" w:rsidRPr="00D53804" w14:paraId="0A29730A" w14:textId="16BD1C21" w:rsidTr="00D53804">
        <w:trPr>
          <w:trHeight w:val="1740"/>
        </w:trPr>
        <w:tc>
          <w:tcPr>
            <w:tcW w:w="960" w:type="dxa"/>
            <w:noWrap/>
            <w:hideMark/>
          </w:tcPr>
          <w:p w14:paraId="2603873F" w14:textId="77777777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5981" w:type="dxa"/>
            <w:hideMark/>
          </w:tcPr>
          <w:p w14:paraId="70683C3F" w14:textId="77777777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Raport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automatyczny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: scoring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pracy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kierowcy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niezrealizowane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przyjęte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zlecenia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- z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podanie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przyczyny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‘on line’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przez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kierowcę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czasie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rzeczywistym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np.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kontrahent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obecny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itp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Logistyka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następnego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dnia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robiąc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taki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raport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chce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też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widzieć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powód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niedostarczenia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poszczególnych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przesyłek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Dodajemy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Powiadomienie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Alert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maila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każdej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nieudanej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dostawie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reklamacji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zgłoszonej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przez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kierowcę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programie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mobilnym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Dzięki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temu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możemy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szybki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sposób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reagować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zaistniałą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sytuację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Dla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nas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szybka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reakcja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jest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ważniejsza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od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przyczyny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Przyczynę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wyjaśnimy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późniejszym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czasie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  <w:hideMark/>
          </w:tcPr>
          <w:p w14:paraId="69DC3E36" w14:textId="3F28E886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Raport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  <w:tc>
          <w:tcPr>
            <w:tcW w:w="2273" w:type="dxa"/>
            <w:hideMark/>
          </w:tcPr>
          <w:p w14:paraId="414B8B3D" w14:textId="1F6D39F8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FECE59E" w14:textId="77777777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3804" w:rsidRPr="00D53804" w14:paraId="166FEB73" w14:textId="6E31D11C" w:rsidTr="00D53804">
        <w:trPr>
          <w:trHeight w:val="870"/>
        </w:trPr>
        <w:tc>
          <w:tcPr>
            <w:tcW w:w="960" w:type="dxa"/>
            <w:noWrap/>
            <w:hideMark/>
          </w:tcPr>
          <w:p w14:paraId="732EEBDF" w14:textId="77777777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5981" w:type="dxa"/>
            <w:hideMark/>
          </w:tcPr>
          <w:p w14:paraId="6A1BAE6A" w14:textId="77777777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Raport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pokazujący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po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wybranym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kierowcy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 -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ile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km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przejechał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ilu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Klientów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miał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rozładunku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,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ile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czasu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rozładowywał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towar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danego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Klienta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– w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wybranym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okresie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. W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tym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raporcie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chcielibyśmy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jeszcze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dodać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czas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przejazdu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kierowcy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aby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złapać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cały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cykl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plus:</w:t>
            </w:r>
          </w:p>
        </w:tc>
        <w:tc>
          <w:tcPr>
            <w:tcW w:w="2126" w:type="dxa"/>
            <w:vAlign w:val="center"/>
            <w:hideMark/>
          </w:tcPr>
          <w:p w14:paraId="42FF01A2" w14:textId="3C55980A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Raport</w:t>
            </w:r>
            <w:proofErr w:type="spellEnd"/>
          </w:p>
        </w:tc>
        <w:tc>
          <w:tcPr>
            <w:tcW w:w="2273" w:type="dxa"/>
            <w:hideMark/>
          </w:tcPr>
          <w:p w14:paraId="4BEE779F" w14:textId="3AB69345" w:rsidR="00D53804" w:rsidRPr="00D53804" w:rsidRDefault="00D53804" w:rsidP="00D5380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3022F9" w14:textId="77777777" w:rsidR="00D53804" w:rsidRPr="00D53804" w:rsidRDefault="00D53804" w:rsidP="00D5380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53804" w:rsidRPr="00D53804" w14:paraId="43A711C3" w14:textId="39BA716A" w:rsidTr="00D53804">
        <w:trPr>
          <w:trHeight w:val="580"/>
        </w:trPr>
        <w:tc>
          <w:tcPr>
            <w:tcW w:w="960" w:type="dxa"/>
            <w:noWrap/>
            <w:hideMark/>
          </w:tcPr>
          <w:p w14:paraId="5EA868B4" w14:textId="77777777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5981" w:type="dxa"/>
            <w:hideMark/>
          </w:tcPr>
          <w:p w14:paraId="7DC597A1" w14:textId="0897095D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podsumuje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danych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przewoźników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ostatecznego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rozliczenia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czyli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okresach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1-15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16-31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dzień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każdego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miesiąca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po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danym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kierowcy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sumarycznie</w:t>
            </w:r>
            <w:proofErr w:type="spellEnd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 xml:space="preserve"> po </w:t>
            </w: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przewoźniku</w:t>
            </w:r>
            <w:proofErr w:type="spellEnd"/>
          </w:p>
        </w:tc>
        <w:tc>
          <w:tcPr>
            <w:tcW w:w="2126" w:type="dxa"/>
            <w:noWrap/>
            <w:vAlign w:val="center"/>
            <w:hideMark/>
          </w:tcPr>
          <w:p w14:paraId="2056FE51" w14:textId="11A96B99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53804">
              <w:rPr>
                <w:rFonts w:asciiTheme="minorHAnsi" w:hAnsiTheme="minorHAnsi" w:cstheme="minorHAnsi"/>
                <w:sz w:val="20"/>
                <w:szCs w:val="20"/>
              </w:rPr>
              <w:t>Raport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ręcznie</w:t>
            </w:r>
            <w:proofErr w:type="spellEnd"/>
          </w:p>
        </w:tc>
        <w:tc>
          <w:tcPr>
            <w:tcW w:w="2273" w:type="dxa"/>
            <w:hideMark/>
          </w:tcPr>
          <w:p w14:paraId="44672299" w14:textId="093C9D87" w:rsidR="00D53804" w:rsidRPr="00D53804" w:rsidRDefault="00D53804" w:rsidP="00D5380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409DC9DF" w14:textId="77777777" w:rsidR="00D53804" w:rsidRPr="00D53804" w:rsidRDefault="00D53804" w:rsidP="00D5380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53804" w:rsidRPr="00D53804" w14:paraId="2A86A9C1" w14:textId="00564C1A" w:rsidTr="00D53804">
        <w:trPr>
          <w:trHeight w:val="580"/>
        </w:trPr>
        <w:tc>
          <w:tcPr>
            <w:tcW w:w="11342" w:type="dxa"/>
            <w:gridSpan w:val="4"/>
            <w:noWrap/>
          </w:tcPr>
          <w:p w14:paraId="55153B09" w14:textId="1CAA2595" w:rsidR="00D53804" w:rsidRPr="00D53804" w:rsidRDefault="00D53804" w:rsidP="00D5380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Inne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funkcjonalności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zaoferowane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wartości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netto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oferty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09B23DFE" w14:textId="77777777" w:rsidR="00D53804" w:rsidRDefault="00D53804" w:rsidP="00D5380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53804" w:rsidRPr="00D53804" w14:paraId="73E394D6" w14:textId="1600E3C3" w:rsidTr="00D53804">
        <w:trPr>
          <w:trHeight w:val="580"/>
        </w:trPr>
        <w:tc>
          <w:tcPr>
            <w:tcW w:w="960" w:type="dxa"/>
            <w:noWrap/>
          </w:tcPr>
          <w:p w14:paraId="3ED34162" w14:textId="3DE9B4FC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981" w:type="dxa"/>
          </w:tcPr>
          <w:p w14:paraId="49802CBC" w14:textId="77777777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</w:tcPr>
          <w:p w14:paraId="554103DC" w14:textId="77777777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3" w:type="dxa"/>
          </w:tcPr>
          <w:p w14:paraId="3A3DE76A" w14:textId="77777777" w:rsidR="00D53804" w:rsidRPr="00D53804" w:rsidRDefault="00D53804" w:rsidP="00D5380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2E7152" w14:textId="77777777" w:rsidR="00D53804" w:rsidRPr="00D53804" w:rsidRDefault="00D53804" w:rsidP="00D5380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53804" w:rsidRPr="00D53804" w14:paraId="0A496D10" w14:textId="7FBE17F0" w:rsidTr="00D53804">
        <w:trPr>
          <w:trHeight w:val="580"/>
        </w:trPr>
        <w:tc>
          <w:tcPr>
            <w:tcW w:w="960" w:type="dxa"/>
            <w:noWrap/>
          </w:tcPr>
          <w:p w14:paraId="5F88D6D6" w14:textId="49D10DE6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981" w:type="dxa"/>
          </w:tcPr>
          <w:p w14:paraId="1FA6B306" w14:textId="77777777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</w:tcPr>
          <w:p w14:paraId="592EBA81" w14:textId="77777777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3" w:type="dxa"/>
          </w:tcPr>
          <w:p w14:paraId="70B5D215" w14:textId="77777777" w:rsidR="00D53804" w:rsidRPr="00D53804" w:rsidRDefault="00D53804" w:rsidP="00D5380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AA93CBC" w14:textId="77777777" w:rsidR="00D53804" w:rsidRPr="00D53804" w:rsidRDefault="00D53804" w:rsidP="00D5380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53804" w:rsidRPr="00D53804" w14:paraId="7FFA62A7" w14:textId="098BDD87" w:rsidTr="00D53804">
        <w:trPr>
          <w:trHeight w:val="580"/>
        </w:trPr>
        <w:tc>
          <w:tcPr>
            <w:tcW w:w="960" w:type="dxa"/>
            <w:noWrap/>
          </w:tcPr>
          <w:p w14:paraId="3BF67090" w14:textId="740F0F09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981" w:type="dxa"/>
          </w:tcPr>
          <w:p w14:paraId="78491B4D" w14:textId="77777777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</w:tcPr>
          <w:p w14:paraId="27A954C2" w14:textId="77777777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3" w:type="dxa"/>
          </w:tcPr>
          <w:p w14:paraId="26254CA7" w14:textId="77777777" w:rsidR="00D53804" w:rsidRPr="00D53804" w:rsidRDefault="00D53804" w:rsidP="00D5380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BE46BA" w14:textId="77777777" w:rsidR="00D53804" w:rsidRPr="00D53804" w:rsidRDefault="00D53804" w:rsidP="00D5380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53804" w:rsidRPr="00D53804" w14:paraId="030AB5EB" w14:textId="7FAC40BB" w:rsidTr="00D53804">
        <w:trPr>
          <w:trHeight w:val="580"/>
        </w:trPr>
        <w:tc>
          <w:tcPr>
            <w:tcW w:w="960" w:type="dxa"/>
            <w:noWrap/>
          </w:tcPr>
          <w:p w14:paraId="26B9B0D2" w14:textId="00C0CE59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981" w:type="dxa"/>
          </w:tcPr>
          <w:p w14:paraId="3CC13923" w14:textId="77777777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</w:tcPr>
          <w:p w14:paraId="5BB9CD2E" w14:textId="77777777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3" w:type="dxa"/>
          </w:tcPr>
          <w:p w14:paraId="020132E9" w14:textId="77777777" w:rsidR="00D53804" w:rsidRPr="00D53804" w:rsidRDefault="00D53804" w:rsidP="00D5380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0E3C4D1C" w14:textId="77777777" w:rsidR="00D53804" w:rsidRPr="00D53804" w:rsidRDefault="00D53804" w:rsidP="00D5380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53804" w:rsidRPr="00D53804" w14:paraId="74998D93" w14:textId="3A66D25C" w:rsidTr="00D53804">
        <w:trPr>
          <w:trHeight w:val="580"/>
        </w:trPr>
        <w:tc>
          <w:tcPr>
            <w:tcW w:w="11342" w:type="dxa"/>
            <w:gridSpan w:val="4"/>
            <w:noWrap/>
          </w:tcPr>
          <w:p w14:paraId="49664CB5" w14:textId="27D7D135" w:rsidR="00D53804" w:rsidRPr="00D53804" w:rsidRDefault="00D53804" w:rsidP="00D5380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Inne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funkcjonalności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dodatkowo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płatne</w:t>
            </w:r>
            <w:proofErr w:type="spellEnd"/>
          </w:p>
        </w:tc>
        <w:tc>
          <w:tcPr>
            <w:tcW w:w="2268" w:type="dxa"/>
          </w:tcPr>
          <w:p w14:paraId="15A0ED30" w14:textId="77777777" w:rsidR="00D53804" w:rsidRDefault="00D53804" w:rsidP="00D5380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53804" w:rsidRPr="00D53804" w14:paraId="6759BFDC" w14:textId="59B81524" w:rsidTr="00D53804">
        <w:trPr>
          <w:trHeight w:val="580"/>
        </w:trPr>
        <w:tc>
          <w:tcPr>
            <w:tcW w:w="960" w:type="dxa"/>
            <w:noWrap/>
          </w:tcPr>
          <w:p w14:paraId="47B8D835" w14:textId="36E7D8AF" w:rsid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981" w:type="dxa"/>
          </w:tcPr>
          <w:p w14:paraId="194B5694" w14:textId="77777777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</w:tcPr>
          <w:p w14:paraId="7A451FC3" w14:textId="77777777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3" w:type="dxa"/>
          </w:tcPr>
          <w:p w14:paraId="48E07E4A" w14:textId="77777777" w:rsidR="00D53804" w:rsidRPr="00D53804" w:rsidRDefault="00D53804" w:rsidP="00D5380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060FE398" w14:textId="77777777" w:rsidR="00D53804" w:rsidRPr="00D53804" w:rsidRDefault="00D53804" w:rsidP="00D5380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53804" w:rsidRPr="00D53804" w14:paraId="11925C33" w14:textId="2A9AE5B5" w:rsidTr="00D53804">
        <w:trPr>
          <w:trHeight w:val="580"/>
        </w:trPr>
        <w:tc>
          <w:tcPr>
            <w:tcW w:w="960" w:type="dxa"/>
            <w:noWrap/>
          </w:tcPr>
          <w:p w14:paraId="5A0C40E9" w14:textId="77708857" w:rsid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981" w:type="dxa"/>
          </w:tcPr>
          <w:p w14:paraId="23231412" w14:textId="77777777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</w:tcPr>
          <w:p w14:paraId="13C5BFD2" w14:textId="77777777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3" w:type="dxa"/>
          </w:tcPr>
          <w:p w14:paraId="245CA77E" w14:textId="77777777" w:rsidR="00D53804" w:rsidRPr="00D53804" w:rsidRDefault="00D53804" w:rsidP="00D5380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6B2008" w14:textId="77777777" w:rsidR="00D53804" w:rsidRPr="00D53804" w:rsidRDefault="00D53804" w:rsidP="00D5380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53804" w:rsidRPr="00D53804" w14:paraId="1A2E7EBB" w14:textId="0FB88D21" w:rsidTr="00D53804">
        <w:trPr>
          <w:trHeight w:val="580"/>
        </w:trPr>
        <w:tc>
          <w:tcPr>
            <w:tcW w:w="960" w:type="dxa"/>
            <w:noWrap/>
          </w:tcPr>
          <w:p w14:paraId="056CF43D" w14:textId="332B587C" w:rsid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981" w:type="dxa"/>
          </w:tcPr>
          <w:p w14:paraId="3FE27604" w14:textId="77777777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</w:tcPr>
          <w:p w14:paraId="6DD65795" w14:textId="77777777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3" w:type="dxa"/>
          </w:tcPr>
          <w:p w14:paraId="52EAF10E" w14:textId="77777777" w:rsidR="00D53804" w:rsidRPr="00D53804" w:rsidRDefault="00D53804" w:rsidP="00D5380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0AE3A3" w14:textId="77777777" w:rsidR="00D53804" w:rsidRPr="00D53804" w:rsidRDefault="00D53804" w:rsidP="00D5380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53804" w:rsidRPr="00D53804" w14:paraId="41B488BF" w14:textId="5ACBA3FA" w:rsidTr="00D53804">
        <w:trPr>
          <w:trHeight w:val="580"/>
        </w:trPr>
        <w:tc>
          <w:tcPr>
            <w:tcW w:w="960" w:type="dxa"/>
            <w:noWrap/>
          </w:tcPr>
          <w:p w14:paraId="34F20315" w14:textId="20EE4FA9" w:rsid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981" w:type="dxa"/>
          </w:tcPr>
          <w:p w14:paraId="436D0AC8" w14:textId="77777777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</w:tcPr>
          <w:p w14:paraId="49437671" w14:textId="77777777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3" w:type="dxa"/>
          </w:tcPr>
          <w:p w14:paraId="3C23BA72" w14:textId="77777777" w:rsidR="00D53804" w:rsidRPr="00D53804" w:rsidRDefault="00D53804" w:rsidP="00D5380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5E9DC3" w14:textId="77777777" w:rsidR="00D53804" w:rsidRPr="00D53804" w:rsidRDefault="00D53804" w:rsidP="00D5380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53804" w:rsidRPr="00D53804" w14:paraId="7BC72584" w14:textId="35D729EB" w:rsidTr="00D53804">
        <w:trPr>
          <w:trHeight w:val="580"/>
        </w:trPr>
        <w:tc>
          <w:tcPr>
            <w:tcW w:w="960" w:type="dxa"/>
            <w:noWrap/>
          </w:tcPr>
          <w:p w14:paraId="0B443915" w14:textId="7172CC3A" w:rsid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981" w:type="dxa"/>
          </w:tcPr>
          <w:p w14:paraId="534E9E23" w14:textId="77777777" w:rsidR="00D53804" w:rsidRPr="00D53804" w:rsidRDefault="00D53804" w:rsidP="00D538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</w:tcPr>
          <w:p w14:paraId="0A1597CF" w14:textId="77777777" w:rsidR="00D53804" w:rsidRPr="00D53804" w:rsidRDefault="00D53804" w:rsidP="00D53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3" w:type="dxa"/>
          </w:tcPr>
          <w:p w14:paraId="796D93AC" w14:textId="77777777" w:rsidR="00D53804" w:rsidRPr="00D53804" w:rsidRDefault="00D53804" w:rsidP="00D5380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6FDB50" w14:textId="77777777" w:rsidR="00D53804" w:rsidRPr="00D53804" w:rsidRDefault="00D53804" w:rsidP="00D5380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5A3B3B88" w14:textId="52B76C36" w:rsidR="00085708" w:rsidRPr="00F67BC5" w:rsidRDefault="00085708" w:rsidP="00D16693">
      <w:pPr>
        <w:spacing w:after="0"/>
        <w:rPr>
          <w:rFonts w:asciiTheme="minorHAnsi" w:hAnsiTheme="minorHAnsi" w:cstheme="minorHAnsi"/>
          <w:sz w:val="20"/>
          <w:szCs w:val="20"/>
          <w:lang w:val="pl-PL"/>
        </w:rPr>
      </w:pPr>
    </w:p>
    <w:p w14:paraId="56FC9660" w14:textId="346E8532" w:rsidR="00D53804" w:rsidRPr="00AD474E" w:rsidRDefault="00D53804" w:rsidP="00D53804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  <w:r w:rsidRPr="00AD474E">
        <w:rPr>
          <w:rFonts w:ascii="Calibri Light" w:hAnsi="Calibri Light" w:cs="Calibri Light"/>
          <w:sz w:val="21"/>
          <w:szCs w:val="21"/>
        </w:rPr>
        <w:t xml:space="preserve">W </w:t>
      </w:r>
      <w:proofErr w:type="spellStart"/>
      <w:r w:rsidRPr="00AD474E">
        <w:rPr>
          <w:rFonts w:ascii="Calibri Light" w:hAnsi="Calibri Light" w:cs="Calibri Light"/>
          <w:sz w:val="21"/>
          <w:szCs w:val="21"/>
        </w:rPr>
        <w:t>przypadku</w:t>
      </w:r>
      <w:proofErr w:type="spellEnd"/>
      <w:r w:rsidRPr="00AD474E">
        <w:rPr>
          <w:rFonts w:ascii="Calibri Light" w:hAnsi="Calibri Light" w:cs="Calibri Light"/>
          <w:sz w:val="21"/>
          <w:szCs w:val="21"/>
        </w:rPr>
        <w:t xml:space="preserve"> </w:t>
      </w:r>
      <w:proofErr w:type="spellStart"/>
      <w:r w:rsidRPr="00AD474E">
        <w:rPr>
          <w:rFonts w:ascii="Calibri Light" w:hAnsi="Calibri Light" w:cs="Calibri Light"/>
          <w:sz w:val="21"/>
          <w:szCs w:val="21"/>
        </w:rPr>
        <w:t>odpowiedzi</w:t>
      </w:r>
      <w:proofErr w:type="spellEnd"/>
      <w:r w:rsidRPr="00AD474E">
        <w:rPr>
          <w:rFonts w:ascii="Calibri Light" w:hAnsi="Calibri Light" w:cs="Calibri Light"/>
          <w:sz w:val="21"/>
          <w:szCs w:val="21"/>
        </w:rPr>
        <w:t xml:space="preserve"> </w:t>
      </w:r>
      <w:proofErr w:type="spellStart"/>
      <w:r w:rsidRPr="00AD474E">
        <w:rPr>
          <w:rFonts w:ascii="Calibri Light" w:hAnsi="Calibri Light" w:cs="Calibri Light"/>
          <w:sz w:val="21"/>
          <w:szCs w:val="21"/>
        </w:rPr>
        <w:t>przeczącej</w:t>
      </w:r>
      <w:proofErr w:type="spellEnd"/>
      <w:r w:rsidRPr="00AD474E">
        <w:rPr>
          <w:rFonts w:ascii="Calibri Light" w:hAnsi="Calibri Light" w:cs="Calibri Light"/>
          <w:sz w:val="21"/>
          <w:szCs w:val="21"/>
        </w:rPr>
        <w:t xml:space="preserve"> (NIE) </w:t>
      </w:r>
      <w:proofErr w:type="spellStart"/>
      <w:r w:rsidRPr="00AD474E">
        <w:rPr>
          <w:rFonts w:ascii="Calibri Light" w:hAnsi="Calibri Light" w:cs="Calibri Light"/>
          <w:sz w:val="21"/>
          <w:szCs w:val="21"/>
        </w:rPr>
        <w:t>Wykonawca</w:t>
      </w:r>
      <w:proofErr w:type="spellEnd"/>
      <w:r w:rsidRPr="00AD474E">
        <w:rPr>
          <w:rFonts w:ascii="Calibri Light" w:hAnsi="Calibri Light" w:cs="Calibri Light"/>
          <w:sz w:val="21"/>
          <w:szCs w:val="21"/>
        </w:rPr>
        <w:t xml:space="preserve"> jest </w:t>
      </w:r>
      <w:proofErr w:type="spellStart"/>
      <w:r w:rsidRPr="00AD474E">
        <w:rPr>
          <w:rFonts w:ascii="Calibri Light" w:hAnsi="Calibri Light" w:cs="Calibri Light"/>
          <w:sz w:val="21"/>
          <w:szCs w:val="21"/>
        </w:rPr>
        <w:t>zobowiązany</w:t>
      </w:r>
      <w:proofErr w:type="spellEnd"/>
      <w:r w:rsidRPr="00AD474E">
        <w:rPr>
          <w:rFonts w:ascii="Calibri Light" w:hAnsi="Calibri Light" w:cs="Calibri Light"/>
          <w:sz w:val="21"/>
          <w:szCs w:val="21"/>
        </w:rPr>
        <w:t xml:space="preserve"> do </w:t>
      </w:r>
      <w:proofErr w:type="spellStart"/>
      <w:r w:rsidRPr="00AD474E">
        <w:rPr>
          <w:rFonts w:ascii="Calibri Light" w:hAnsi="Calibri Light" w:cs="Calibri Light"/>
          <w:sz w:val="21"/>
          <w:szCs w:val="21"/>
        </w:rPr>
        <w:t>wskazania</w:t>
      </w:r>
      <w:proofErr w:type="spellEnd"/>
      <w:r w:rsidRPr="00AD474E">
        <w:rPr>
          <w:rFonts w:ascii="Calibri Light" w:hAnsi="Calibri Light" w:cs="Calibri Light"/>
          <w:sz w:val="21"/>
          <w:szCs w:val="21"/>
        </w:rPr>
        <w:t xml:space="preserve"> w </w:t>
      </w:r>
      <w:proofErr w:type="spellStart"/>
      <w:r w:rsidRPr="00AD474E">
        <w:rPr>
          <w:rFonts w:ascii="Calibri Light" w:hAnsi="Calibri Light" w:cs="Calibri Light"/>
          <w:sz w:val="21"/>
          <w:szCs w:val="21"/>
        </w:rPr>
        <w:t>kolumnie</w:t>
      </w:r>
      <w:proofErr w:type="spellEnd"/>
      <w:r w:rsidRPr="00AD474E">
        <w:rPr>
          <w:rFonts w:ascii="Calibri Light" w:hAnsi="Calibri Light" w:cs="Calibri Light"/>
          <w:sz w:val="21"/>
          <w:szCs w:val="21"/>
        </w:rPr>
        <w:t xml:space="preserve"> </w:t>
      </w:r>
      <w:r w:rsidRPr="00AD474E">
        <w:rPr>
          <w:rFonts w:ascii="Calibri Light" w:hAnsi="Calibri Light" w:cs="Calibri Light"/>
          <w:b/>
          <w:sz w:val="21"/>
          <w:szCs w:val="21"/>
        </w:rPr>
        <w:t>„</w:t>
      </w:r>
      <w:proofErr w:type="spellStart"/>
      <w:r w:rsidRPr="00AD474E">
        <w:rPr>
          <w:rFonts w:ascii="Calibri Light" w:hAnsi="Calibri Light" w:cs="Calibri Light"/>
          <w:b/>
          <w:sz w:val="21"/>
          <w:szCs w:val="21"/>
        </w:rPr>
        <w:t>Uwagi</w:t>
      </w:r>
      <w:proofErr w:type="spellEnd"/>
      <w:r w:rsidRPr="00AD474E">
        <w:rPr>
          <w:rFonts w:ascii="Calibri Light" w:hAnsi="Calibri Light" w:cs="Calibri Light"/>
          <w:b/>
          <w:sz w:val="21"/>
          <w:szCs w:val="21"/>
        </w:rPr>
        <w:t xml:space="preserve">” </w:t>
      </w:r>
      <w:proofErr w:type="spellStart"/>
      <w:r w:rsidRPr="00AD474E">
        <w:rPr>
          <w:rFonts w:ascii="Calibri Light" w:hAnsi="Calibri Light" w:cs="Calibri Light"/>
          <w:b/>
          <w:sz w:val="21"/>
          <w:szCs w:val="21"/>
        </w:rPr>
        <w:t>równoważności</w:t>
      </w:r>
      <w:proofErr w:type="spellEnd"/>
      <w:r w:rsidRPr="00AD474E">
        <w:rPr>
          <w:rFonts w:ascii="Calibri Light" w:hAnsi="Calibri Light" w:cs="Calibri Light"/>
          <w:sz w:val="21"/>
          <w:szCs w:val="21"/>
        </w:rPr>
        <w:t xml:space="preserve"> </w:t>
      </w:r>
      <w:proofErr w:type="spellStart"/>
      <w:r w:rsidRPr="00AD474E">
        <w:rPr>
          <w:rFonts w:ascii="Calibri Light" w:hAnsi="Calibri Light" w:cs="Calibri Light"/>
          <w:sz w:val="21"/>
          <w:szCs w:val="21"/>
        </w:rPr>
        <w:t>zaoferowanego</w:t>
      </w:r>
      <w:proofErr w:type="spellEnd"/>
      <w:r w:rsidRPr="00AD474E">
        <w:rPr>
          <w:rFonts w:ascii="Calibri Light" w:hAnsi="Calibri Light" w:cs="Calibri Light"/>
          <w:sz w:val="21"/>
          <w:szCs w:val="21"/>
        </w:rPr>
        <w:t xml:space="preserve"> </w:t>
      </w:r>
      <w:proofErr w:type="spellStart"/>
      <w:r w:rsidRPr="00AD474E">
        <w:rPr>
          <w:rFonts w:ascii="Calibri Light" w:hAnsi="Calibri Light" w:cs="Calibri Light"/>
          <w:sz w:val="21"/>
          <w:szCs w:val="21"/>
        </w:rPr>
        <w:t>parametru</w:t>
      </w:r>
      <w:proofErr w:type="spellEnd"/>
      <w:r w:rsidRPr="00AD474E">
        <w:rPr>
          <w:rFonts w:ascii="Calibri Light" w:hAnsi="Calibri Light" w:cs="Calibri Light"/>
          <w:sz w:val="21"/>
          <w:szCs w:val="21"/>
        </w:rPr>
        <w:t xml:space="preserve">. </w:t>
      </w:r>
      <w:proofErr w:type="spellStart"/>
      <w:r w:rsidRPr="00AD474E">
        <w:rPr>
          <w:rFonts w:ascii="Calibri Light" w:hAnsi="Calibri Light" w:cs="Calibri Light"/>
          <w:sz w:val="21"/>
          <w:szCs w:val="21"/>
        </w:rPr>
        <w:t>Jednocześnie</w:t>
      </w:r>
      <w:proofErr w:type="spellEnd"/>
      <w:r w:rsidRPr="00AD474E">
        <w:rPr>
          <w:rFonts w:ascii="Calibri Light" w:hAnsi="Calibri Light" w:cs="Calibri Light"/>
          <w:sz w:val="21"/>
          <w:szCs w:val="21"/>
        </w:rPr>
        <w:t xml:space="preserve"> </w:t>
      </w:r>
      <w:proofErr w:type="spellStart"/>
      <w:r w:rsidRPr="00AD474E">
        <w:rPr>
          <w:rFonts w:ascii="Calibri Light" w:hAnsi="Calibri Light" w:cs="Calibri Light"/>
          <w:sz w:val="21"/>
          <w:szCs w:val="21"/>
        </w:rPr>
        <w:t>informuję</w:t>
      </w:r>
      <w:proofErr w:type="spellEnd"/>
      <w:r w:rsidRPr="00AD474E">
        <w:rPr>
          <w:rFonts w:ascii="Calibri Light" w:hAnsi="Calibri Light" w:cs="Calibri Light"/>
          <w:sz w:val="21"/>
          <w:szCs w:val="21"/>
        </w:rPr>
        <w:t xml:space="preserve">,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proofErr w:type="spellStart"/>
      <w:r w:rsidRPr="00AD474E">
        <w:rPr>
          <w:rFonts w:ascii="Calibri Light" w:hAnsi="Calibri Light" w:cs="Calibri Light"/>
          <w:sz w:val="21"/>
          <w:szCs w:val="21"/>
        </w:rPr>
        <w:t>że</w:t>
      </w:r>
      <w:proofErr w:type="spellEnd"/>
      <w:r w:rsidRPr="00AD474E">
        <w:rPr>
          <w:rFonts w:ascii="Calibri Light" w:hAnsi="Calibri Light" w:cs="Calibri Light"/>
          <w:sz w:val="21"/>
          <w:szCs w:val="21"/>
        </w:rPr>
        <w:t xml:space="preserve"> </w:t>
      </w:r>
      <w:proofErr w:type="spellStart"/>
      <w:r w:rsidRPr="00AD474E">
        <w:rPr>
          <w:rFonts w:ascii="Calibri Light" w:hAnsi="Calibri Light" w:cs="Calibri Light"/>
          <w:sz w:val="21"/>
          <w:szCs w:val="21"/>
        </w:rPr>
        <w:t>zaoferowana</w:t>
      </w:r>
      <w:proofErr w:type="spellEnd"/>
      <w:r w:rsidRPr="00AD474E">
        <w:rPr>
          <w:rFonts w:ascii="Calibri Light" w:hAnsi="Calibri Light" w:cs="Calibri Light"/>
          <w:sz w:val="21"/>
          <w:szCs w:val="21"/>
        </w:rPr>
        <w:t xml:space="preserve"> </w:t>
      </w:r>
      <w:proofErr w:type="spellStart"/>
      <w:r w:rsidRPr="00AD474E">
        <w:rPr>
          <w:rFonts w:ascii="Calibri Light" w:hAnsi="Calibri Light" w:cs="Calibri Light"/>
          <w:sz w:val="21"/>
          <w:szCs w:val="21"/>
        </w:rPr>
        <w:t>równoważność</w:t>
      </w:r>
      <w:proofErr w:type="spellEnd"/>
      <w:r w:rsidRPr="00AD474E">
        <w:rPr>
          <w:rFonts w:ascii="Calibri Light" w:hAnsi="Calibri Light" w:cs="Calibri Light"/>
          <w:sz w:val="21"/>
          <w:szCs w:val="21"/>
        </w:rPr>
        <w:t xml:space="preserve"> </w:t>
      </w:r>
      <w:proofErr w:type="spellStart"/>
      <w:r w:rsidRPr="00AD474E">
        <w:rPr>
          <w:rFonts w:ascii="Calibri Light" w:hAnsi="Calibri Light" w:cs="Calibri Light"/>
          <w:sz w:val="21"/>
          <w:szCs w:val="21"/>
        </w:rPr>
        <w:t>nie</w:t>
      </w:r>
      <w:proofErr w:type="spellEnd"/>
      <w:r w:rsidRPr="00AD474E">
        <w:rPr>
          <w:rFonts w:ascii="Calibri Light" w:hAnsi="Calibri Light" w:cs="Calibri Light"/>
          <w:sz w:val="21"/>
          <w:szCs w:val="21"/>
        </w:rPr>
        <w:t xml:space="preserve"> </w:t>
      </w:r>
      <w:proofErr w:type="spellStart"/>
      <w:r w:rsidRPr="00AD474E">
        <w:rPr>
          <w:rFonts w:ascii="Calibri Light" w:hAnsi="Calibri Light" w:cs="Calibri Light"/>
          <w:sz w:val="21"/>
          <w:szCs w:val="21"/>
        </w:rPr>
        <w:t>może</w:t>
      </w:r>
      <w:proofErr w:type="spellEnd"/>
      <w:r w:rsidRPr="00AD474E">
        <w:rPr>
          <w:rFonts w:ascii="Calibri Light" w:hAnsi="Calibri Light" w:cs="Calibri Light"/>
          <w:sz w:val="21"/>
          <w:szCs w:val="21"/>
        </w:rPr>
        <w:t xml:space="preserve"> </w:t>
      </w:r>
      <w:proofErr w:type="spellStart"/>
      <w:r w:rsidRPr="00AD474E">
        <w:rPr>
          <w:rFonts w:ascii="Calibri Light" w:hAnsi="Calibri Light" w:cs="Calibri Light"/>
          <w:sz w:val="21"/>
          <w:szCs w:val="21"/>
        </w:rPr>
        <w:t>być</w:t>
      </w:r>
      <w:proofErr w:type="spellEnd"/>
      <w:r w:rsidRPr="00AD474E">
        <w:rPr>
          <w:rFonts w:ascii="Calibri Light" w:hAnsi="Calibri Light" w:cs="Calibri Light"/>
          <w:sz w:val="21"/>
          <w:szCs w:val="21"/>
        </w:rPr>
        <w:t xml:space="preserve"> </w:t>
      </w:r>
      <w:proofErr w:type="spellStart"/>
      <w:r w:rsidRPr="00AD474E">
        <w:rPr>
          <w:rFonts w:ascii="Calibri Light" w:hAnsi="Calibri Light" w:cs="Calibri Light"/>
          <w:sz w:val="21"/>
          <w:szCs w:val="21"/>
        </w:rPr>
        <w:t>gorsza</w:t>
      </w:r>
      <w:proofErr w:type="spellEnd"/>
      <w:r w:rsidRPr="00AD474E">
        <w:rPr>
          <w:rFonts w:ascii="Calibri Light" w:hAnsi="Calibri Light" w:cs="Calibri Light"/>
          <w:sz w:val="21"/>
          <w:szCs w:val="21"/>
        </w:rPr>
        <w:t xml:space="preserve"> </w:t>
      </w:r>
      <w:proofErr w:type="spellStart"/>
      <w:r w:rsidRPr="00AD474E">
        <w:rPr>
          <w:rFonts w:ascii="Calibri Light" w:hAnsi="Calibri Light" w:cs="Calibri Light"/>
          <w:sz w:val="21"/>
          <w:szCs w:val="21"/>
        </w:rPr>
        <w:t>od</w:t>
      </w:r>
      <w:proofErr w:type="spellEnd"/>
      <w:r w:rsidRPr="00AD474E">
        <w:rPr>
          <w:rFonts w:ascii="Calibri Light" w:hAnsi="Calibri Light" w:cs="Calibri Light"/>
          <w:sz w:val="21"/>
          <w:szCs w:val="21"/>
        </w:rPr>
        <w:t xml:space="preserve"> </w:t>
      </w:r>
      <w:proofErr w:type="spellStart"/>
      <w:r w:rsidRPr="00AD474E">
        <w:rPr>
          <w:rFonts w:ascii="Calibri Light" w:hAnsi="Calibri Light" w:cs="Calibri Light"/>
          <w:sz w:val="21"/>
          <w:szCs w:val="21"/>
        </w:rPr>
        <w:t>wymagań</w:t>
      </w:r>
      <w:proofErr w:type="spellEnd"/>
      <w:r w:rsidRPr="00AD474E">
        <w:rPr>
          <w:rFonts w:ascii="Calibri Light" w:hAnsi="Calibri Light" w:cs="Calibri Light"/>
          <w:sz w:val="21"/>
          <w:szCs w:val="21"/>
        </w:rPr>
        <w:t xml:space="preserve"> </w:t>
      </w:r>
      <w:proofErr w:type="spellStart"/>
      <w:r w:rsidRPr="00AD474E">
        <w:rPr>
          <w:rFonts w:ascii="Calibri Light" w:hAnsi="Calibri Light" w:cs="Calibri Light"/>
          <w:sz w:val="21"/>
          <w:szCs w:val="21"/>
        </w:rPr>
        <w:t>Zamawiającego</w:t>
      </w:r>
      <w:proofErr w:type="spellEnd"/>
      <w:r w:rsidRPr="00AD474E">
        <w:rPr>
          <w:rFonts w:ascii="Calibri Light" w:hAnsi="Calibri Light" w:cs="Calibri Light"/>
          <w:sz w:val="21"/>
          <w:szCs w:val="21"/>
        </w:rPr>
        <w:t>.</w:t>
      </w:r>
    </w:p>
    <w:p w14:paraId="3321D072" w14:textId="77777777" w:rsidR="00D53804" w:rsidRPr="00AD474E" w:rsidRDefault="00D53804" w:rsidP="00D53804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33466AA6" w14:textId="77777777" w:rsidR="00D53804" w:rsidRPr="00AD474E" w:rsidRDefault="00D53804" w:rsidP="00D53804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54DA614C" w14:textId="77777777" w:rsidR="00A85D20" w:rsidRPr="004D6C34" w:rsidRDefault="00A85D20" w:rsidP="00A85D20">
      <w:pPr>
        <w:spacing w:after="0" w:line="276" w:lineRule="auto"/>
        <w:rPr>
          <w:rFonts w:eastAsia="Times New Roman" w:cstheme="minorHAnsi"/>
          <w:b/>
          <w:i/>
          <w:color w:val="0070C0"/>
          <w:lang w:eastAsia="pl-PL"/>
        </w:rPr>
      </w:pPr>
      <w:proofErr w:type="spellStart"/>
      <w:r w:rsidRPr="004D6C34">
        <w:rPr>
          <w:rFonts w:eastAsia="Times New Roman" w:cstheme="minorHAnsi"/>
          <w:b/>
          <w:i/>
          <w:color w:val="0070C0"/>
          <w:lang w:eastAsia="pl-PL"/>
        </w:rPr>
        <w:t>kwalifikowany</w:t>
      </w:r>
      <w:proofErr w:type="spellEnd"/>
      <w:r w:rsidRPr="004D6C34">
        <w:rPr>
          <w:rFonts w:eastAsia="Times New Roman" w:cstheme="minorHAnsi"/>
          <w:b/>
          <w:i/>
          <w:color w:val="0070C0"/>
          <w:lang w:eastAsia="pl-PL"/>
        </w:rPr>
        <w:t xml:space="preserve"> </w:t>
      </w:r>
      <w:proofErr w:type="spellStart"/>
      <w:r w:rsidRPr="004D6C34">
        <w:rPr>
          <w:rFonts w:eastAsia="Times New Roman" w:cstheme="minorHAnsi"/>
          <w:b/>
          <w:i/>
          <w:color w:val="0070C0"/>
          <w:lang w:eastAsia="pl-PL"/>
        </w:rPr>
        <w:t>podpis</w:t>
      </w:r>
      <w:proofErr w:type="spellEnd"/>
      <w:r w:rsidRPr="004D6C34">
        <w:rPr>
          <w:rFonts w:eastAsia="Times New Roman" w:cstheme="minorHAnsi"/>
          <w:b/>
          <w:i/>
          <w:color w:val="0070C0"/>
          <w:lang w:eastAsia="pl-PL"/>
        </w:rPr>
        <w:t xml:space="preserve"> </w:t>
      </w:r>
      <w:proofErr w:type="spellStart"/>
      <w:r w:rsidRPr="004D6C34">
        <w:rPr>
          <w:rFonts w:eastAsia="Times New Roman" w:cstheme="minorHAnsi"/>
          <w:b/>
          <w:i/>
          <w:color w:val="0070C0"/>
          <w:lang w:eastAsia="pl-PL"/>
        </w:rPr>
        <w:t>elektroniczny</w:t>
      </w:r>
      <w:proofErr w:type="spellEnd"/>
      <w:r w:rsidRPr="004D6C34">
        <w:rPr>
          <w:rFonts w:eastAsia="Times New Roman" w:cstheme="minorHAnsi"/>
          <w:b/>
          <w:i/>
          <w:color w:val="0070C0"/>
          <w:lang w:eastAsia="pl-PL"/>
        </w:rPr>
        <w:t xml:space="preserve"> </w:t>
      </w:r>
      <w:proofErr w:type="spellStart"/>
      <w:r w:rsidRPr="004D6C34">
        <w:rPr>
          <w:rFonts w:eastAsia="Times New Roman" w:cstheme="minorHAnsi"/>
          <w:b/>
          <w:i/>
          <w:color w:val="0070C0"/>
          <w:lang w:eastAsia="pl-PL"/>
        </w:rPr>
        <w:t>osoby</w:t>
      </w:r>
      <w:proofErr w:type="spellEnd"/>
      <w:r w:rsidRPr="004D6C34">
        <w:rPr>
          <w:rFonts w:eastAsia="Times New Roman" w:cstheme="minorHAnsi"/>
          <w:b/>
          <w:i/>
          <w:color w:val="0070C0"/>
          <w:lang w:eastAsia="pl-PL"/>
        </w:rPr>
        <w:t xml:space="preserve"> (</w:t>
      </w:r>
      <w:proofErr w:type="spellStart"/>
      <w:r w:rsidRPr="004D6C34">
        <w:rPr>
          <w:rFonts w:eastAsia="Times New Roman" w:cstheme="minorHAnsi"/>
          <w:b/>
          <w:i/>
          <w:color w:val="0070C0"/>
          <w:lang w:eastAsia="pl-PL"/>
        </w:rPr>
        <w:t>osób</w:t>
      </w:r>
      <w:proofErr w:type="spellEnd"/>
      <w:r w:rsidRPr="004D6C34">
        <w:rPr>
          <w:rFonts w:eastAsia="Times New Roman" w:cstheme="minorHAnsi"/>
          <w:b/>
          <w:i/>
          <w:color w:val="0070C0"/>
          <w:lang w:eastAsia="pl-PL"/>
        </w:rPr>
        <w:t xml:space="preserve">) </w:t>
      </w:r>
      <w:proofErr w:type="spellStart"/>
      <w:r w:rsidRPr="004D6C34">
        <w:rPr>
          <w:rFonts w:eastAsia="Times New Roman" w:cstheme="minorHAnsi"/>
          <w:b/>
          <w:i/>
          <w:color w:val="0070C0"/>
          <w:lang w:eastAsia="pl-PL"/>
        </w:rPr>
        <w:t>upoważnionej</w:t>
      </w:r>
      <w:proofErr w:type="spellEnd"/>
      <w:r w:rsidRPr="004D6C34">
        <w:rPr>
          <w:rFonts w:eastAsia="Times New Roman" w:cstheme="minorHAnsi"/>
          <w:b/>
          <w:i/>
          <w:color w:val="0070C0"/>
          <w:lang w:eastAsia="pl-PL"/>
        </w:rPr>
        <w:t xml:space="preserve"> do </w:t>
      </w:r>
      <w:proofErr w:type="spellStart"/>
      <w:r w:rsidRPr="004D6C34">
        <w:rPr>
          <w:rFonts w:eastAsia="Times New Roman" w:cstheme="minorHAnsi"/>
          <w:b/>
          <w:i/>
          <w:color w:val="0070C0"/>
          <w:lang w:eastAsia="pl-PL"/>
        </w:rPr>
        <w:t>reprezentowania</w:t>
      </w:r>
      <w:proofErr w:type="spellEnd"/>
      <w:r w:rsidRPr="004D6C34">
        <w:rPr>
          <w:rFonts w:eastAsia="Times New Roman" w:cstheme="minorHAnsi"/>
          <w:b/>
          <w:i/>
          <w:color w:val="0070C0"/>
          <w:lang w:eastAsia="pl-PL"/>
        </w:rPr>
        <w:t xml:space="preserve"> </w:t>
      </w:r>
      <w:proofErr w:type="spellStart"/>
      <w:r w:rsidRPr="004D6C34">
        <w:rPr>
          <w:rFonts w:eastAsia="Times New Roman" w:cstheme="minorHAnsi"/>
          <w:b/>
          <w:i/>
          <w:color w:val="0070C0"/>
          <w:lang w:eastAsia="pl-PL"/>
        </w:rPr>
        <w:t>Wykonawcy</w:t>
      </w:r>
      <w:proofErr w:type="spellEnd"/>
      <w:r w:rsidRPr="004D6C34">
        <w:rPr>
          <w:rFonts w:eastAsia="Times New Roman" w:cstheme="minorHAnsi"/>
          <w:b/>
          <w:i/>
          <w:color w:val="0070C0"/>
          <w:lang w:eastAsia="pl-PL"/>
        </w:rPr>
        <w:t xml:space="preserve">/ </w:t>
      </w:r>
      <w:proofErr w:type="spellStart"/>
      <w:r w:rsidRPr="004D6C34">
        <w:rPr>
          <w:rFonts w:eastAsia="Times New Roman" w:cstheme="minorHAnsi"/>
          <w:b/>
          <w:i/>
          <w:color w:val="0070C0"/>
          <w:lang w:eastAsia="pl-PL"/>
        </w:rPr>
        <w:t>Wykonawcy</w:t>
      </w:r>
      <w:proofErr w:type="spellEnd"/>
      <w:r w:rsidRPr="004D6C34">
        <w:rPr>
          <w:rFonts w:eastAsia="Times New Roman" w:cstheme="minorHAnsi"/>
          <w:b/>
          <w:i/>
          <w:color w:val="0070C0"/>
          <w:lang w:eastAsia="pl-PL"/>
        </w:rPr>
        <w:t xml:space="preserve"> </w:t>
      </w:r>
      <w:proofErr w:type="spellStart"/>
      <w:r w:rsidRPr="004D6C34">
        <w:rPr>
          <w:rFonts w:eastAsia="Times New Roman" w:cstheme="minorHAnsi"/>
          <w:b/>
          <w:i/>
          <w:color w:val="0070C0"/>
          <w:lang w:eastAsia="pl-PL"/>
        </w:rPr>
        <w:t>wspólnie</w:t>
      </w:r>
      <w:proofErr w:type="spellEnd"/>
      <w:r w:rsidRPr="004D6C34">
        <w:rPr>
          <w:rFonts w:eastAsia="Times New Roman" w:cstheme="minorHAnsi"/>
          <w:b/>
          <w:i/>
          <w:color w:val="0070C0"/>
          <w:lang w:eastAsia="pl-PL"/>
        </w:rPr>
        <w:t xml:space="preserve"> </w:t>
      </w:r>
      <w:proofErr w:type="spellStart"/>
      <w:r w:rsidRPr="004D6C34">
        <w:rPr>
          <w:rFonts w:eastAsia="Times New Roman" w:cstheme="minorHAnsi"/>
          <w:b/>
          <w:i/>
          <w:color w:val="0070C0"/>
          <w:lang w:eastAsia="pl-PL"/>
        </w:rPr>
        <w:t>ubiegającego</w:t>
      </w:r>
      <w:proofErr w:type="spellEnd"/>
      <w:r w:rsidRPr="004D6C34">
        <w:rPr>
          <w:rFonts w:eastAsia="Times New Roman" w:cstheme="minorHAnsi"/>
          <w:b/>
          <w:i/>
          <w:color w:val="0070C0"/>
          <w:lang w:eastAsia="pl-PL"/>
        </w:rPr>
        <w:t xml:space="preserve"> </w:t>
      </w:r>
      <w:proofErr w:type="spellStart"/>
      <w:r w:rsidRPr="004D6C34">
        <w:rPr>
          <w:rFonts w:eastAsia="Times New Roman" w:cstheme="minorHAnsi"/>
          <w:b/>
          <w:i/>
          <w:color w:val="0070C0"/>
          <w:lang w:eastAsia="pl-PL"/>
        </w:rPr>
        <w:t>się</w:t>
      </w:r>
      <w:proofErr w:type="spellEnd"/>
      <w:r w:rsidRPr="004D6C34">
        <w:rPr>
          <w:rFonts w:eastAsia="Times New Roman" w:cstheme="minorHAnsi"/>
          <w:b/>
          <w:i/>
          <w:color w:val="0070C0"/>
          <w:lang w:eastAsia="pl-PL"/>
        </w:rPr>
        <w:t xml:space="preserve"> o </w:t>
      </w:r>
      <w:proofErr w:type="spellStart"/>
      <w:r w:rsidRPr="004D6C34">
        <w:rPr>
          <w:rFonts w:eastAsia="Times New Roman" w:cstheme="minorHAnsi"/>
          <w:b/>
          <w:i/>
          <w:color w:val="0070C0"/>
          <w:lang w:eastAsia="pl-PL"/>
        </w:rPr>
        <w:t>zamówienie</w:t>
      </w:r>
      <w:proofErr w:type="spellEnd"/>
    </w:p>
    <w:p w14:paraId="61BF4548" w14:textId="01D1CA0E" w:rsidR="00085708" w:rsidRPr="00F67BC5" w:rsidRDefault="00085708" w:rsidP="00D16693">
      <w:pPr>
        <w:spacing w:after="0"/>
        <w:rPr>
          <w:rFonts w:asciiTheme="minorHAnsi" w:hAnsiTheme="minorHAnsi" w:cstheme="minorHAnsi"/>
          <w:sz w:val="20"/>
          <w:szCs w:val="20"/>
          <w:lang w:val="pl-PL"/>
        </w:rPr>
      </w:pPr>
    </w:p>
    <w:sectPr w:rsidR="00085708" w:rsidRPr="00F67BC5" w:rsidSect="00193CE8">
      <w:pgSz w:w="15840" w:h="12240" w:orient="landscape"/>
      <w:pgMar w:top="1440" w:right="85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FCCE0" w14:textId="77777777" w:rsidR="00676B20" w:rsidRDefault="00676B20" w:rsidP="0013341D">
      <w:pPr>
        <w:spacing w:after="0" w:line="240" w:lineRule="auto"/>
      </w:pPr>
      <w:r>
        <w:separator/>
      </w:r>
    </w:p>
  </w:endnote>
  <w:endnote w:type="continuationSeparator" w:id="0">
    <w:p w14:paraId="5DEB24F1" w14:textId="77777777" w:rsidR="00676B20" w:rsidRDefault="00676B20" w:rsidP="00133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ll Replic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4EEC6F" w14:textId="77777777" w:rsidR="00676B20" w:rsidRDefault="00676B20" w:rsidP="0013341D">
      <w:pPr>
        <w:spacing w:after="0" w:line="240" w:lineRule="auto"/>
      </w:pPr>
      <w:r>
        <w:separator/>
      </w:r>
    </w:p>
  </w:footnote>
  <w:footnote w:type="continuationSeparator" w:id="0">
    <w:p w14:paraId="2EDE348F" w14:textId="77777777" w:rsidR="00676B20" w:rsidRDefault="00676B20" w:rsidP="00133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26EA7"/>
    <w:multiLevelType w:val="hybridMultilevel"/>
    <w:tmpl w:val="9FC4A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4114F"/>
    <w:multiLevelType w:val="hybridMultilevel"/>
    <w:tmpl w:val="AAF05F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891686"/>
    <w:multiLevelType w:val="hybridMultilevel"/>
    <w:tmpl w:val="AE707FD8"/>
    <w:lvl w:ilvl="0" w:tplc="3462F6C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4160A"/>
    <w:multiLevelType w:val="multilevel"/>
    <w:tmpl w:val="481E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CB4D76"/>
    <w:multiLevelType w:val="hybridMultilevel"/>
    <w:tmpl w:val="1E865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9777A"/>
    <w:multiLevelType w:val="singleLevel"/>
    <w:tmpl w:val="D47A07A8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B4821F3"/>
    <w:multiLevelType w:val="hybridMultilevel"/>
    <w:tmpl w:val="EFFC5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9" w15:restartNumberingAfterBreak="0">
    <w:nsid w:val="44E53C68"/>
    <w:multiLevelType w:val="hybridMultilevel"/>
    <w:tmpl w:val="479A5786"/>
    <w:lvl w:ilvl="0" w:tplc="919A38E2">
      <w:start w:val="1"/>
      <w:numFmt w:val="bullet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A1AB2"/>
    <w:multiLevelType w:val="hybridMultilevel"/>
    <w:tmpl w:val="DB2CA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D4B47"/>
    <w:multiLevelType w:val="hybridMultilevel"/>
    <w:tmpl w:val="50F66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B64F6"/>
    <w:multiLevelType w:val="hybridMultilevel"/>
    <w:tmpl w:val="27F06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81005"/>
    <w:multiLevelType w:val="hybridMultilevel"/>
    <w:tmpl w:val="A3CA1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CB5BD3"/>
    <w:multiLevelType w:val="hybridMultilevel"/>
    <w:tmpl w:val="09E87A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275F0F"/>
    <w:multiLevelType w:val="hybridMultilevel"/>
    <w:tmpl w:val="0212C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172E6"/>
    <w:multiLevelType w:val="hybridMultilevel"/>
    <w:tmpl w:val="51605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4A371D"/>
    <w:multiLevelType w:val="singleLevel"/>
    <w:tmpl w:val="10226928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B624CA0"/>
    <w:multiLevelType w:val="hybridMultilevel"/>
    <w:tmpl w:val="D1DC6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162034"/>
    <w:multiLevelType w:val="hybridMultilevel"/>
    <w:tmpl w:val="35C67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AA467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73E61A06"/>
    <w:multiLevelType w:val="hybridMultilevel"/>
    <w:tmpl w:val="03A8B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A39C6"/>
    <w:multiLevelType w:val="hybridMultilevel"/>
    <w:tmpl w:val="2B5A8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923508">
    <w:abstractNumId w:val="7"/>
  </w:num>
  <w:num w:numId="2" w16cid:durableId="1460106496">
    <w:abstractNumId w:val="5"/>
  </w:num>
  <w:num w:numId="3" w16cid:durableId="541475804">
    <w:abstractNumId w:val="0"/>
  </w:num>
  <w:num w:numId="4" w16cid:durableId="1076053468">
    <w:abstractNumId w:val="4"/>
  </w:num>
  <w:num w:numId="5" w16cid:durableId="2021468855">
    <w:abstractNumId w:val="2"/>
  </w:num>
  <w:num w:numId="6" w16cid:durableId="1254123288">
    <w:abstractNumId w:val="20"/>
  </w:num>
  <w:num w:numId="7" w16cid:durableId="633219015">
    <w:abstractNumId w:val="6"/>
  </w:num>
  <w:num w:numId="8" w16cid:durableId="722562143">
    <w:abstractNumId w:val="17"/>
  </w:num>
  <w:num w:numId="9" w16cid:durableId="228733610">
    <w:abstractNumId w:val="7"/>
  </w:num>
  <w:num w:numId="10" w16cid:durableId="586810044">
    <w:abstractNumId w:val="5"/>
  </w:num>
  <w:num w:numId="11" w16cid:durableId="19784121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9882895">
    <w:abstractNumId w:val="9"/>
  </w:num>
  <w:num w:numId="13" w16cid:durableId="13184157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7686909">
    <w:abstractNumId w:val="18"/>
  </w:num>
  <w:num w:numId="15" w16cid:durableId="203179241">
    <w:abstractNumId w:val="16"/>
  </w:num>
  <w:num w:numId="16" w16cid:durableId="218322224">
    <w:abstractNumId w:val="8"/>
  </w:num>
  <w:num w:numId="17" w16cid:durableId="1269384405">
    <w:abstractNumId w:val="2"/>
  </w:num>
  <w:num w:numId="18" w16cid:durableId="359205937">
    <w:abstractNumId w:val="12"/>
  </w:num>
  <w:num w:numId="19" w16cid:durableId="213002823">
    <w:abstractNumId w:val="19"/>
  </w:num>
  <w:num w:numId="20" w16cid:durableId="199632682">
    <w:abstractNumId w:val="12"/>
  </w:num>
  <w:num w:numId="21" w16cid:durableId="941106905">
    <w:abstractNumId w:val="1"/>
  </w:num>
  <w:num w:numId="22" w16cid:durableId="1786073095">
    <w:abstractNumId w:val="13"/>
  </w:num>
  <w:num w:numId="23" w16cid:durableId="1784418621">
    <w:abstractNumId w:val="3"/>
  </w:num>
  <w:num w:numId="24" w16cid:durableId="805388464">
    <w:abstractNumId w:val="21"/>
  </w:num>
  <w:num w:numId="25" w16cid:durableId="969475109">
    <w:abstractNumId w:val="11"/>
  </w:num>
  <w:num w:numId="26" w16cid:durableId="1892693357">
    <w:abstractNumId w:val="15"/>
  </w:num>
  <w:num w:numId="27" w16cid:durableId="1602027801">
    <w:abstractNumId w:val="10"/>
  </w:num>
  <w:num w:numId="28" w16cid:durableId="27907361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1CF"/>
    <w:rsid w:val="000057A1"/>
    <w:rsid w:val="00010E2C"/>
    <w:rsid w:val="00012054"/>
    <w:rsid w:val="000170B9"/>
    <w:rsid w:val="00021BB7"/>
    <w:rsid w:val="00030F01"/>
    <w:rsid w:val="000351CF"/>
    <w:rsid w:val="00037BF9"/>
    <w:rsid w:val="0004005C"/>
    <w:rsid w:val="00053FA6"/>
    <w:rsid w:val="000549A3"/>
    <w:rsid w:val="000554C4"/>
    <w:rsid w:val="00055CB4"/>
    <w:rsid w:val="00057141"/>
    <w:rsid w:val="0005730A"/>
    <w:rsid w:val="0006322D"/>
    <w:rsid w:val="00075311"/>
    <w:rsid w:val="000804EE"/>
    <w:rsid w:val="00085298"/>
    <w:rsid w:val="00085708"/>
    <w:rsid w:val="00097BCA"/>
    <w:rsid w:val="000A2432"/>
    <w:rsid w:val="000A4E09"/>
    <w:rsid w:val="000A5E12"/>
    <w:rsid w:val="000A6B2E"/>
    <w:rsid w:val="000B5E7F"/>
    <w:rsid w:val="000C4887"/>
    <w:rsid w:val="000D1711"/>
    <w:rsid w:val="000D248B"/>
    <w:rsid w:val="000D49AC"/>
    <w:rsid w:val="000E46F0"/>
    <w:rsid w:val="000F390B"/>
    <w:rsid w:val="000F3E3F"/>
    <w:rsid w:val="000F6FF6"/>
    <w:rsid w:val="001071FB"/>
    <w:rsid w:val="00110766"/>
    <w:rsid w:val="00112CE2"/>
    <w:rsid w:val="00114CC2"/>
    <w:rsid w:val="00117F36"/>
    <w:rsid w:val="00127719"/>
    <w:rsid w:val="001300EE"/>
    <w:rsid w:val="0013087D"/>
    <w:rsid w:val="00131A6E"/>
    <w:rsid w:val="0013341D"/>
    <w:rsid w:val="00137076"/>
    <w:rsid w:val="001458EC"/>
    <w:rsid w:val="00155794"/>
    <w:rsid w:val="0015655B"/>
    <w:rsid w:val="001577A5"/>
    <w:rsid w:val="00161784"/>
    <w:rsid w:val="001620EE"/>
    <w:rsid w:val="00163335"/>
    <w:rsid w:val="0016633B"/>
    <w:rsid w:val="00167DC1"/>
    <w:rsid w:val="001730CA"/>
    <w:rsid w:val="001805C9"/>
    <w:rsid w:val="00193CE8"/>
    <w:rsid w:val="001974AE"/>
    <w:rsid w:val="001A2F71"/>
    <w:rsid w:val="001A3E4B"/>
    <w:rsid w:val="001A6690"/>
    <w:rsid w:val="001A7E6E"/>
    <w:rsid w:val="001B3150"/>
    <w:rsid w:val="001B42B6"/>
    <w:rsid w:val="001D48D5"/>
    <w:rsid w:val="001E61F9"/>
    <w:rsid w:val="001E65C0"/>
    <w:rsid w:val="001F4605"/>
    <w:rsid w:val="001F7700"/>
    <w:rsid w:val="00200041"/>
    <w:rsid w:val="002044F0"/>
    <w:rsid w:val="002134F9"/>
    <w:rsid w:val="00231B7A"/>
    <w:rsid w:val="00233DAD"/>
    <w:rsid w:val="00240A49"/>
    <w:rsid w:val="00241DC6"/>
    <w:rsid w:val="002768AF"/>
    <w:rsid w:val="002819D2"/>
    <w:rsid w:val="00285EAB"/>
    <w:rsid w:val="0029060F"/>
    <w:rsid w:val="002A6A25"/>
    <w:rsid w:val="002B30D4"/>
    <w:rsid w:val="002B3F68"/>
    <w:rsid w:val="002B41E6"/>
    <w:rsid w:val="002D7E66"/>
    <w:rsid w:val="002E2444"/>
    <w:rsid w:val="002E713B"/>
    <w:rsid w:val="003124B0"/>
    <w:rsid w:val="0031682D"/>
    <w:rsid w:val="00331534"/>
    <w:rsid w:val="0033198C"/>
    <w:rsid w:val="003339E6"/>
    <w:rsid w:val="00334192"/>
    <w:rsid w:val="00335F3C"/>
    <w:rsid w:val="00336296"/>
    <w:rsid w:val="0034148E"/>
    <w:rsid w:val="0034239E"/>
    <w:rsid w:val="00342B32"/>
    <w:rsid w:val="00351B83"/>
    <w:rsid w:val="00366AC4"/>
    <w:rsid w:val="003726DA"/>
    <w:rsid w:val="00372D48"/>
    <w:rsid w:val="003866B0"/>
    <w:rsid w:val="0039282D"/>
    <w:rsid w:val="003A0131"/>
    <w:rsid w:val="003A11EA"/>
    <w:rsid w:val="003A3153"/>
    <w:rsid w:val="003A6D3B"/>
    <w:rsid w:val="003A78C2"/>
    <w:rsid w:val="003A7958"/>
    <w:rsid w:val="003B0C3B"/>
    <w:rsid w:val="003B3D43"/>
    <w:rsid w:val="003C1313"/>
    <w:rsid w:val="003C7D18"/>
    <w:rsid w:val="003E16D2"/>
    <w:rsid w:val="003F127A"/>
    <w:rsid w:val="003F4753"/>
    <w:rsid w:val="003F4765"/>
    <w:rsid w:val="00400D8F"/>
    <w:rsid w:val="00403DB1"/>
    <w:rsid w:val="004144CD"/>
    <w:rsid w:val="00415CBB"/>
    <w:rsid w:val="0041602D"/>
    <w:rsid w:val="00430EE2"/>
    <w:rsid w:val="00434130"/>
    <w:rsid w:val="00441076"/>
    <w:rsid w:val="00447379"/>
    <w:rsid w:val="00464A9C"/>
    <w:rsid w:val="0047729B"/>
    <w:rsid w:val="00477751"/>
    <w:rsid w:val="00480F8E"/>
    <w:rsid w:val="00493B2F"/>
    <w:rsid w:val="004949A1"/>
    <w:rsid w:val="004A1A8B"/>
    <w:rsid w:val="004A2E97"/>
    <w:rsid w:val="004A5D58"/>
    <w:rsid w:val="004B0E69"/>
    <w:rsid w:val="004B4BE0"/>
    <w:rsid w:val="004C0991"/>
    <w:rsid w:val="004C690F"/>
    <w:rsid w:val="004D3DED"/>
    <w:rsid w:val="004F38D1"/>
    <w:rsid w:val="004F5C8F"/>
    <w:rsid w:val="004F79D4"/>
    <w:rsid w:val="0050077D"/>
    <w:rsid w:val="00513E9C"/>
    <w:rsid w:val="00523645"/>
    <w:rsid w:val="00530408"/>
    <w:rsid w:val="0053177C"/>
    <w:rsid w:val="00534CEF"/>
    <w:rsid w:val="0053658D"/>
    <w:rsid w:val="0054230D"/>
    <w:rsid w:val="005743D4"/>
    <w:rsid w:val="005845D7"/>
    <w:rsid w:val="00591071"/>
    <w:rsid w:val="005928B2"/>
    <w:rsid w:val="005968B7"/>
    <w:rsid w:val="005B2070"/>
    <w:rsid w:val="005B21FA"/>
    <w:rsid w:val="005B2E97"/>
    <w:rsid w:val="005C0CE6"/>
    <w:rsid w:val="005C374A"/>
    <w:rsid w:val="005C6431"/>
    <w:rsid w:val="005D1B38"/>
    <w:rsid w:val="005E4AF1"/>
    <w:rsid w:val="005F35AE"/>
    <w:rsid w:val="00600C10"/>
    <w:rsid w:val="00602675"/>
    <w:rsid w:val="00603F8E"/>
    <w:rsid w:val="0061499A"/>
    <w:rsid w:val="006167F4"/>
    <w:rsid w:val="00621B41"/>
    <w:rsid w:val="00631CB1"/>
    <w:rsid w:val="00632DD0"/>
    <w:rsid w:val="00642123"/>
    <w:rsid w:val="006476E8"/>
    <w:rsid w:val="006528D6"/>
    <w:rsid w:val="00676B20"/>
    <w:rsid w:val="00680879"/>
    <w:rsid w:val="0068707A"/>
    <w:rsid w:val="00690316"/>
    <w:rsid w:val="0069413F"/>
    <w:rsid w:val="006A018F"/>
    <w:rsid w:val="006A5FE8"/>
    <w:rsid w:val="006C31AA"/>
    <w:rsid w:val="006C46CB"/>
    <w:rsid w:val="006C4E95"/>
    <w:rsid w:val="006C6D86"/>
    <w:rsid w:val="006C7F3C"/>
    <w:rsid w:val="006D4050"/>
    <w:rsid w:val="006E5D9A"/>
    <w:rsid w:val="006F207E"/>
    <w:rsid w:val="006F3347"/>
    <w:rsid w:val="006F62EF"/>
    <w:rsid w:val="0070312A"/>
    <w:rsid w:val="00711EC6"/>
    <w:rsid w:val="00722389"/>
    <w:rsid w:val="00731CDA"/>
    <w:rsid w:val="00752DA9"/>
    <w:rsid w:val="007546DC"/>
    <w:rsid w:val="00755399"/>
    <w:rsid w:val="00756B4B"/>
    <w:rsid w:val="00763C34"/>
    <w:rsid w:val="0077083A"/>
    <w:rsid w:val="00777052"/>
    <w:rsid w:val="007774B6"/>
    <w:rsid w:val="00781571"/>
    <w:rsid w:val="0078170D"/>
    <w:rsid w:val="007868D5"/>
    <w:rsid w:val="00787FE5"/>
    <w:rsid w:val="0079610F"/>
    <w:rsid w:val="007965EF"/>
    <w:rsid w:val="007B036D"/>
    <w:rsid w:val="007B2CAA"/>
    <w:rsid w:val="007C51F5"/>
    <w:rsid w:val="007D0B6C"/>
    <w:rsid w:val="007D387B"/>
    <w:rsid w:val="007D47D4"/>
    <w:rsid w:val="007E4F2E"/>
    <w:rsid w:val="007E5223"/>
    <w:rsid w:val="007E6487"/>
    <w:rsid w:val="007F01DB"/>
    <w:rsid w:val="007F2EAF"/>
    <w:rsid w:val="007F57FD"/>
    <w:rsid w:val="00801C04"/>
    <w:rsid w:val="00804DDE"/>
    <w:rsid w:val="00811806"/>
    <w:rsid w:val="00814582"/>
    <w:rsid w:val="0083126B"/>
    <w:rsid w:val="00831C0F"/>
    <w:rsid w:val="00832956"/>
    <w:rsid w:val="00840B79"/>
    <w:rsid w:val="0084795A"/>
    <w:rsid w:val="00851C77"/>
    <w:rsid w:val="00854502"/>
    <w:rsid w:val="00856226"/>
    <w:rsid w:val="0086587C"/>
    <w:rsid w:val="008732CE"/>
    <w:rsid w:val="008912F1"/>
    <w:rsid w:val="00893911"/>
    <w:rsid w:val="008A0C47"/>
    <w:rsid w:val="008A5B99"/>
    <w:rsid w:val="008A5F48"/>
    <w:rsid w:val="008A6D5B"/>
    <w:rsid w:val="008A6D63"/>
    <w:rsid w:val="008B3F29"/>
    <w:rsid w:val="008B4E03"/>
    <w:rsid w:val="008B6A2B"/>
    <w:rsid w:val="008D1C5A"/>
    <w:rsid w:val="008E05DA"/>
    <w:rsid w:val="008F4134"/>
    <w:rsid w:val="008F538B"/>
    <w:rsid w:val="009010CC"/>
    <w:rsid w:val="00901AC9"/>
    <w:rsid w:val="00904653"/>
    <w:rsid w:val="00905D57"/>
    <w:rsid w:val="009166C8"/>
    <w:rsid w:val="00941BEA"/>
    <w:rsid w:val="00943580"/>
    <w:rsid w:val="00947310"/>
    <w:rsid w:val="0095013F"/>
    <w:rsid w:val="0095097A"/>
    <w:rsid w:val="009702D6"/>
    <w:rsid w:val="00970EA8"/>
    <w:rsid w:val="00974EEE"/>
    <w:rsid w:val="0097797B"/>
    <w:rsid w:val="0098349D"/>
    <w:rsid w:val="00992E90"/>
    <w:rsid w:val="00993141"/>
    <w:rsid w:val="00995A63"/>
    <w:rsid w:val="00997059"/>
    <w:rsid w:val="009A5C1A"/>
    <w:rsid w:val="009B45ED"/>
    <w:rsid w:val="009C2796"/>
    <w:rsid w:val="009C75C4"/>
    <w:rsid w:val="009C7805"/>
    <w:rsid w:val="009D183D"/>
    <w:rsid w:val="009D29BD"/>
    <w:rsid w:val="009D67C9"/>
    <w:rsid w:val="009E6D8F"/>
    <w:rsid w:val="009E7256"/>
    <w:rsid w:val="009F1DDB"/>
    <w:rsid w:val="00A00D1A"/>
    <w:rsid w:val="00A01C1E"/>
    <w:rsid w:val="00A038CF"/>
    <w:rsid w:val="00A10950"/>
    <w:rsid w:val="00A111F5"/>
    <w:rsid w:val="00A1330D"/>
    <w:rsid w:val="00A21EA1"/>
    <w:rsid w:val="00A47072"/>
    <w:rsid w:val="00A479AE"/>
    <w:rsid w:val="00A47D20"/>
    <w:rsid w:val="00A64AC3"/>
    <w:rsid w:val="00A75422"/>
    <w:rsid w:val="00A77A23"/>
    <w:rsid w:val="00A851E0"/>
    <w:rsid w:val="00A85D20"/>
    <w:rsid w:val="00A9262E"/>
    <w:rsid w:val="00A951EE"/>
    <w:rsid w:val="00A97093"/>
    <w:rsid w:val="00AA27C0"/>
    <w:rsid w:val="00AB47C9"/>
    <w:rsid w:val="00AB5262"/>
    <w:rsid w:val="00AB7652"/>
    <w:rsid w:val="00AC329F"/>
    <w:rsid w:val="00AC68DE"/>
    <w:rsid w:val="00AD62CA"/>
    <w:rsid w:val="00AD6D5C"/>
    <w:rsid w:val="00AE0860"/>
    <w:rsid w:val="00AE27C2"/>
    <w:rsid w:val="00AE3252"/>
    <w:rsid w:val="00AF362B"/>
    <w:rsid w:val="00AF7147"/>
    <w:rsid w:val="00AF7CDB"/>
    <w:rsid w:val="00B16CC1"/>
    <w:rsid w:val="00B21441"/>
    <w:rsid w:val="00B21BB0"/>
    <w:rsid w:val="00B27E66"/>
    <w:rsid w:val="00B44CBD"/>
    <w:rsid w:val="00B45DC2"/>
    <w:rsid w:val="00B56C3A"/>
    <w:rsid w:val="00B610E3"/>
    <w:rsid w:val="00B62CAF"/>
    <w:rsid w:val="00B73DC2"/>
    <w:rsid w:val="00B82111"/>
    <w:rsid w:val="00B8308A"/>
    <w:rsid w:val="00B8395F"/>
    <w:rsid w:val="00B849F3"/>
    <w:rsid w:val="00B87EF9"/>
    <w:rsid w:val="00B902A8"/>
    <w:rsid w:val="00B91A13"/>
    <w:rsid w:val="00B937E5"/>
    <w:rsid w:val="00B94C70"/>
    <w:rsid w:val="00BA136F"/>
    <w:rsid w:val="00BA603D"/>
    <w:rsid w:val="00BC1D9F"/>
    <w:rsid w:val="00BC4227"/>
    <w:rsid w:val="00BC5038"/>
    <w:rsid w:val="00BD12A7"/>
    <w:rsid w:val="00BD16D8"/>
    <w:rsid w:val="00BD579A"/>
    <w:rsid w:val="00BD6CDF"/>
    <w:rsid w:val="00BE6ABE"/>
    <w:rsid w:val="00BE77C4"/>
    <w:rsid w:val="00BF2F60"/>
    <w:rsid w:val="00BF3E41"/>
    <w:rsid w:val="00BF565E"/>
    <w:rsid w:val="00BF7E7D"/>
    <w:rsid w:val="00C00301"/>
    <w:rsid w:val="00C06E98"/>
    <w:rsid w:val="00C106E6"/>
    <w:rsid w:val="00C148E6"/>
    <w:rsid w:val="00C260C9"/>
    <w:rsid w:val="00C271F7"/>
    <w:rsid w:val="00C27484"/>
    <w:rsid w:val="00C27540"/>
    <w:rsid w:val="00C47BC0"/>
    <w:rsid w:val="00C50620"/>
    <w:rsid w:val="00C54151"/>
    <w:rsid w:val="00C7203B"/>
    <w:rsid w:val="00C92D84"/>
    <w:rsid w:val="00C95418"/>
    <w:rsid w:val="00CB13BB"/>
    <w:rsid w:val="00CD04EF"/>
    <w:rsid w:val="00CD361D"/>
    <w:rsid w:val="00CD4C6A"/>
    <w:rsid w:val="00CE019F"/>
    <w:rsid w:val="00CE3AD0"/>
    <w:rsid w:val="00CE5127"/>
    <w:rsid w:val="00CF11C3"/>
    <w:rsid w:val="00CF6C72"/>
    <w:rsid w:val="00D16693"/>
    <w:rsid w:val="00D22331"/>
    <w:rsid w:val="00D373A7"/>
    <w:rsid w:val="00D47188"/>
    <w:rsid w:val="00D506CD"/>
    <w:rsid w:val="00D53804"/>
    <w:rsid w:val="00D626FD"/>
    <w:rsid w:val="00D633BB"/>
    <w:rsid w:val="00D70327"/>
    <w:rsid w:val="00D70970"/>
    <w:rsid w:val="00D729DE"/>
    <w:rsid w:val="00D739B7"/>
    <w:rsid w:val="00D751EA"/>
    <w:rsid w:val="00D822E9"/>
    <w:rsid w:val="00D8620C"/>
    <w:rsid w:val="00D86904"/>
    <w:rsid w:val="00D9068B"/>
    <w:rsid w:val="00D9426B"/>
    <w:rsid w:val="00DB2646"/>
    <w:rsid w:val="00DC360A"/>
    <w:rsid w:val="00DC3C84"/>
    <w:rsid w:val="00DD1250"/>
    <w:rsid w:val="00DD7CE2"/>
    <w:rsid w:val="00DE471C"/>
    <w:rsid w:val="00DE6A87"/>
    <w:rsid w:val="00E06E23"/>
    <w:rsid w:val="00E14F81"/>
    <w:rsid w:val="00E158A7"/>
    <w:rsid w:val="00E2101C"/>
    <w:rsid w:val="00E226CF"/>
    <w:rsid w:val="00E2511F"/>
    <w:rsid w:val="00E32285"/>
    <w:rsid w:val="00E33347"/>
    <w:rsid w:val="00E33539"/>
    <w:rsid w:val="00E364B7"/>
    <w:rsid w:val="00E40793"/>
    <w:rsid w:val="00E528A9"/>
    <w:rsid w:val="00E604D6"/>
    <w:rsid w:val="00E60795"/>
    <w:rsid w:val="00E73321"/>
    <w:rsid w:val="00E746D5"/>
    <w:rsid w:val="00E83D20"/>
    <w:rsid w:val="00E85367"/>
    <w:rsid w:val="00E8648B"/>
    <w:rsid w:val="00E90F52"/>
    <w:rsid w:val="00E963C7"/>
    <w:rsid w:val="00EC0F6A"/>
    <w:rsid w:val="00ED34A7"/>
    <w:rsid w:val="00EE0933"/>
    <w:rsid w:val="00EF670C"/>
    <w:rsid w:val="00F032B7"/>
    <w:rsid w:val="00F10191"/>
    <w:rsid w:val="00F20C45"/>
    <w:rsid w:val="00F327DF"/>
    <w:rsid w:val="00F3457C"/>
    <w:rsid w:val="00F3646A"/>
    <w:rsid w:val="00F374C3"/>
    <w:rsid w:val="00F40F38"/>
    <w:rsid w:val="00F46BB0"/>
    <w:rsid w:val="00F5025B"/>
    <w:rsid w:val="00F61BCB"/>
    <w:rsid w:val="00F6750B"/>
    <w:rsid w:val="00F67BC5"/>
    <w:rsid w:val="00F67FE2"/>
    <w:rsid w:val="00F73106"/>
    <w:rsid w:val="00F8224E"/>
    <w:rsid w:val="00F86657"/>
    <w:rsid w:val="00F93A75"/>
    <w:rsid w:val="00FA70D7"/>
    <w:rsid w:val="00FB11ED"/>
    <w:rsid w:val="00FB3484"/>
    <w:rsid w:val="00FD61DD"/>
    <w:rsid w:val="00FD6291"/>
    <w:rsid w:val="00F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E7C59"/>
  <w15:chartTrackingRefBased/>
  <w15:docId w15:val="{21797F24-DB8C-41BF-8F4E-AA92D62E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4F81"/>
    <w:pPr>
      <w:spacing w:line="252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qFormat/>
    <w:rsid w:val="000573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26"/>
      <w:szCs w:val="20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3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341D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133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341D"/>
    <w:rPr>
      <w:rFonts w:ascii="Calibri" w:hAnsi="Calibri" w:cs="Calibri"/>
    </w:rPr>
  </w:style>
  <w:style w:type="paragraph" w:styleId="Akapitzlist">
    <w:name w:val="List Paragraph"/>
    <w:aliases w:val="CW_Lista,Obiekt,List Paragraph1,Numerowanie,List Paragraph,Akapit z listą BS,Liste à puces retrait droite"/>
    <w:basedOn w:val="Normalny"/>
    <w:link w:val="AkapitzlistZnak"/>
    <w:uiPriority w:val="34"/>
    <w:qFormat/>
    <w:rsid w:val="002044F0"/>
    <w:pPr>
      <w:ind w:left="720"/>
      <w:contextualSpacing/>
    </w:pPr>
  </w:style>
  <w:style w:type="paragraph" w:customStyle="1" w:styleId="Pa0">
    <w:name w:val="Pa0"/>
    <w:basedOn w:val="Normalny"/>
    <w:next w:val="Normalny"/>
    <w:uiPriority w:val="99"/>
    <w:rsid w:val="00A77A23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character" w:customStyle="1" w:styleId="A8">
    <w:name w:val="A8"/>
    <w:uiPriority w:val="99"/>
    <w:rsid w:val="00A77A23"/>
    <w:rPr>
      <w:color w:val="000000"/>
      <w:sz w:val="15"/>
      <w:szCs w:val="15"/>
    </w:rPr>
  </w:style>
  <w:style w:type="character" w:customStyle="1" w:styleId="Nagwek1Znak">
    <w:name w:val="Nagłówek 1 Znak"/>
    <w:basedOn w:val="Domylnaczcionkaakapitu"/>
    <w:link w:val="Nagwek1"/>
    <w:rsid w:val="0005730A"/>
    <w:rPr>
      <w:rFonts w:ascii="Times New Roman" w:eastAsia="Times New Roman" w:hAnsi="Times New Roman" w:cs="Times New Roman"/>
      <w:i/>
      <w:sz w:val="26"/>
      <w:szCs w:val="20"/>
      <w:lang w:val="pl-PL"/>
    </w:rPr>
  </w:style>
  <w:style w:type="paragraph" w:customStyle="1" w:styleId="Default">
    <w:name w:val="Default"/>
    <w:rsid w:val="008479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A4707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47072"/>
    <w:rPr>
      <w:rFonts w:ascii="Times New Roman" w:eastAsia="Times New Roman" w:hAnsi="Times New Roman" w:cs="Times New Roman"/>
      <w:b/>
      <w:sz w:val="20"/>
      <w:szCs w:val="20"/>
      <w:lang w:val="pl-PL" w:eastAsia="pl-PL"/>
    </w:rPr>
  </w:style>
  <w:style w:type="table" w:styleId="Tabela-Siatka">
    <w:name w:val="Table Grid"/>
    <w:basedOn w:val="Standardowy"/>
    <w:uiPriority w:val="59"/>
    <w:rsid w:val="0053177C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Default"/>
    <w:next w:val="Default"/>
    <w:uiPriority w:val="99"/>
    <w:rsid w:val="0053177C"/>
    <w:pPr>
      <w:spacing w:line="161" w:lineRule="atLeast"/>
    </w:pPr>
    <w:rPr>
      <w:rFonts w:ascii="Dell Replica" w:hAnsi="Dell Replica" w:cstheme="minorBidi"/>
      <w:color w:val="auto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4F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4F81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4F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7B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7BCA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7BCA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67BC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7BC5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335"/>
    <w:rPr>
      <w:rFonts w:ascii="Calibri" w:hAnsi="Calibri" w:cs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335"/>
    <w:rPr>
      <w:rFonts w:ascii="Calibri" w:hAnsi="Calibri" w:cs="Calibri"/>
      <w:b/>
      <w:bCs/>
      <w:sz w:val="20"/>
      <w:szCs w:val="20"/>
    </w:rPr>
  </w:style>
  <w:style w:type="character" w:customStyle="1" w:styleId="AkapitzlistZnak">
    <w:name w:val="Akapit z listą Znak"/>
    <w:aliases w:val="CW_Lista Znak,Obiekt Znak,List Paragraph1 Znak,Numerowanie Znak,List Paragraph Znak,Akapit z listą BS Znak,Liste à puces retrait droite Znak"/>
    <w:link w:val="Akapitzlist"/>
    <w:uiPriority w:val="34"/>
    <w:qFormat/>
    <w:locked/>
    <w:rsid w:val="004F79D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4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813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08170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4366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19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8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470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00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773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56132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6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4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6A00D91983FD4892CE59E241BD9F1A" ma:contentTypeVersion="2" ma:contentTypeDescription="Create a new document." ma:contentTypeScope="" ma:versionID="7768d912e5111fb86ea538f61120bac7">
  <xsd:schema xmlns:xsd="http://www.w3.org/2001/XMLSchema" xmlns:xs="http://www.w3.org/2001/XMLSchema" xmlns:p="http://schemas.microsoft.com/office/2006/metadata/properties" xmlns:ns2="9623a1e5-0640-4f59-998b-c35e96bbcb16" targetNamespace="http://schemas.microsoft.com/office/2006/metadata/properties" ma:root="true" ma:fieldsID="49d527e2d25920a5c173e5f919f155eb" ns2:_="">
    <xsd:import namespace="9623a1e5-0640-4f59-998b-c35e96bbcb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a1e5-0640-4f59-998b-c35e96bbc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90DD3F-DCF1-40DB-92BD-D3BF00BA14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57DE71-448A-4046-9500-EDE2B2AD6A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8AB880-9569-4E17-AB22-805A2361F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23a1e5-0640-4f59-998b-c35e96bbcb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666330-4960-4AD6-B4D8-4519D436A4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1054</Words>
  <Characters>6325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</dc:creator>
  <cp:keywords/>
  <dc:description/>
  <cp:lastModifiedBy>Magdalena Odziemkowska</cp:lastModifiedBy>
  <cp:revision>11</cp:revision>
  <dcterms:created xsi:type="dcterms:W3CDTF">2024-03-22T05:03:00Z</dcterms:created>
  <dcterms:modified xsi:type="dcterms:W3CDTF">2024-05-15T12:53:00Z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e70ee2-0cb4-4d60-aee5-75ef2c4c8a90_Enabled">
    <vt:lpwstr>True</vt:lpwstr>
  </property>
  <property fmtid="{D5CDD505-2E9C-101B-9397-08002B2CF9AE}" pid="3" name="MSIP_Label_7de70ee2-0cb4-4d60-aee5-75ef2c4c8a90_SiteId">
    <vt:lpwstr>945c199a-83a2-4e80-9f8c-5a91be5752dd</vt:lpwstr>
  </property>
  <property fmtid="{D5CDD505-2E9C-101B-9397-08002B2CF9AE}" pid="4" name="MSIP_Label_7de70ee2-0cb4-4d60-aee5-75ef2c4c8a90_Ref">
    <vt:lpwstr>https://api.informationprotection.azure.com/api/945c199a-83a2-4e80-9f8c-5a91be5752dd</vt:lpwstr>
  </property>
  <property fmtid="{D5CDD505-2E9C-101B-9397-08002B2CF9AE}" pid="5" name="MSIP_Label_7de70ee2-0cb4-4d60-aee5-75ef2c4c8a90_Owner">
    <vt:lpwstr>Maciej_Warachowski@Dell.com</vt:lpwstr>
  </property>
  <property fmtid="{D5CDD505-2E9C-101B-9397-08002B2CF9AE}" pid="6" name="MSIP_Label_7de70ee2-0cb4-4d60-aee5-75ef2c4c8a90_SetDate">
    <vt:lpwstr>2017-11-20T11:43:42.1408172+01:00</vt:lpwstr>
  </property>
  <property fmtid="{D5CDD505-2E9C-101B-9397-08002B2CF9AE}" pid="7" name="MSIP_Label_7de70ee2-0cb4-4d60-aee5-75ef2c4c8a90_Name">
    <vt:lpwstr>Internal Use</vt:lpwstr>
  </property>
  <property fmtid="{D5CDD505-2E9C-101B-9397-08002B2CF9AE}" pid="8" name="MSIP_Label_7de70ee2-0cb4-4d60-aee5-75ef2c4c8a90_Application">
    <vt:lpwstr>Microsoft Azure Information Protection</vt:lpwstr>
  </property>
  <property fmtid="{D5CDD505-2E9C-101B-9397-08002B2CF9AE}" pid="9" name="MSIP_Label_7de70ee2-0cb4-4d60-aee5-75ef2c4c8a90_Extended_MSFT_Method">
    <vt:lpwstr>Manual</vt:lpwstr>
  </property>
  <property fmtid="{D5CDD505-2E9C-101B-9397-08002B2CF9AE}" pid="10" name="MSIP_Label_c6e0e3e8-8921-4906-b77b-3374d4e05132_Enabled">
    <vt:lpwstr>True</vt:lpwstr>
  </property>
  <property fmtid="{D5CDD505-2E9C-101B-9397-08002B2CF9AE}" pid="11" name="MSIP_Label_c6e0e3e8-8921-4906-b77b-3374d4e05132_SiteId">
    <vt:lpwstr>945c199a-83a2-4e80-9f8c-5a91be5752dd</vt:lpwstr>
  </property>
  <property fmtid="{D5CDD505-2E9C-101B-9397-08002B2CF9AE}" pid="12" name="MSIP_Label_c6e0e3e8-8921-4906-b77b-3374d4e05132_Ref">
    <vt:lpwstr>https://api.informationprotection.azure.com/api/945c199a-83a2-4e80-9f8c-5a91be5752dd</vt:lpwstr>
  </property>
  <property fmtid="{D5CDD505-2E9C-101B-9397-08002B2CF9AE}" pid="13" name="MSIP_Label_c6e0e3e8-8921-4906-b77b-3374d4e05132_Owner">
    <vt:lpwstr>Maciej_Warachowski@Dell.com</vt:lpwstr>
  </property>
  <property fmtid="{D5CDD505-2E9C-101B-9397-08002B2CF9AE}" pid="14" name="MSIP_Label_c6e0e3e8-8921-4906-b77b-3374d4e05132_SetDate">
    <vt:lpwstr>2017-11-20T11:43:42.1408172+01:00</vt:lpwstr>
  </property>
  <property fmtid="{D5CDD505-2E9C-101B-9397-08002B2CF9AE}" pid="15" name="MSIP_Label_c6e0e3e8-8921-4906-b77b-3374d4e05132_Name">
    <vt:lpwstr>No Visual Marking</vt:lpwstr>
  </property>
  <property fmtid="{D5CDD505-2E9C-101B-9397-08002B2CF9AE}" pid="16" name="MSIP_Label_c6e0e3e8-8921-4906-b77b-3374d4e05132_Application">
    <vt:lpwstr>Microsoft Azure Information Protection</vt:lpwstr>
  </property>
  <property fmtid="{D5CDD505-2E9C-101B-9397-08002B2CF9AE}" pid="17" name="MSIP_Label_c6e0e3e8-8921-4906-b77b-3374d4e05132_Extended_MSFT_Method">
    <vt:lpwstr>Manual</vt:lpwstr>
  </property>
  <property fmtid="{D5CDD505-2E9C-101B-9397-08002B2CF9AE}" pid="18" name="MSIP_Label_c6e0e3e8-8921-4906-b77b-3374d4e05132_Parent">
    <vt:lpwstr>7de70ee2-0cb4-4d60-aee5-75ef2c4c8a90</vt:lpwstr>
  </property>
  <property fmtid="{D5CDD505-2E9C-101B-9397-08002B2CF9AE}" pid="19" name="Sensitivity">
    <vt:lpwstr>Internal Use No Visual Marking</vt:lpwstr>
  </property>
  <property fmtid="{D5CDD505-2E9C-101B-9397-08002B2CF9AE}" pid="20" name="ContentTypeId">
    <vt:lpwstr>0x0101007C6A00D91983FD4892CE59E241BD9F1A</vt:lpwstr>
  </property>
</Properties>
</file>