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FE85F" w14:textId="54A12C40" w:rsidR="007856E1" w:rsidRDefault="007856E1" w:rsidP="007856E1">
      <w:pPr>
        <w:rPr>
          <w:b/>
        </w:rPr>
      </w:pPr>
      <w:r w:rsidRPr="007856E1">
        <w:rPr>
          <w:b/>
        </w:rPr>
        <w:t>OPIS PRZEDMIOTU ZAMÓWIENIA</w:t>
      </w:r>
      <w:r w:rsidR="00580798">
        <w:rPr>
          <w:b/>
        </w:rPr>
        <w:t xml:space="preserve"> </w:t>
      </w:r>
    </w:p>
    <w:p w14:paraId="7549ED45" w14:textId="77777777" w:rsidR="00C44088" w:rsidRPr="00C44088" w:rsidRDefault="00C44088" w:rsidP="00C440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2A480CA" w14:textId="69C4A4F3" w:rsidR="000B493F" w:rsidRDefault="000B493F" w:rsidP="000B493F">
      <w:pPr>
        <w:pStyle w:val="Akapitzlist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Backgr</w:t>
      </w:r>
      <w:r w:rsidR="003470C2">
        <w:rPr>
          <w:b/>
        </w:rPr>
        <w:t>oun</w:t>
      </w:r>
      <w:r>
        <w:rPr>
          <w:b/>
        </w:rPr>
        <w:t>d</w:t>
      </w:r>
      <w:proofErr w:type="spellEnd"/>
      <w:r>
        <w:rPr>
          <w:b/>
        </w:rPr>
        <w:t>:</w:t>
      </w:r>
    </w:p>
    <w:p w14:paraId="2456753D" w14:textId="77777777" w:rsidR="000B493F" w:rsidRDefault="000B493F" w:rsidP="000B493F">
      <w:r>
        <w:t xml:space="preserve">Zamawiający planuje zrealizować w latach 2024-2025 kampanię promującą e-usługi publiczne, między innymi kontynuację promocji aplikacji </w:t>
      </w:r>
      <w:proofErr w:type="spellStart"/>
      <w:r>
        <w:t>mObywatel</w:t>
      </w:r>
      <w:proofErr w:type="spellEnd"/>
      <w:r>
        <w:t xml:space="preserve">. Osobno będzie zamawiana część kreatywna, a osobno emisja kampanii (współpraca z domem </w:t>
      </w:r>
      <w:proofErr w:type="spellStart"/>
      <w:r>
        <w:t>mediowym</w:t>
      </w:r>
      <w:proofErr w:type="spellEnd"/>
      <w:r>
        <w:t xml:space="preserve">). </w:t>
      </w:r>
    </w:p>
    <w:p w14:paraId="23DC6095" w14:textId="77777777" w:rsidR="000B493F" w:rsidRDefault="000B493F" w:rsidP="000B493F">
      <w:r>
        <w:t xml:space="preserve">Aktualnie trwają konsultacje rynkowe nt. zamówienia na kreację do kampanii – projekt opisu zakresu kampanii oraz przedmiotu zamówienia jest dostępny pod linkiem: </w:t>
      </w:r>
      <w:hyperlink r:id="rId8" w:history="1">
        <w:r>
          <w:rPr>
            <w:rStyle w:val="Hipercze"/>
          </w:rPr>
          <w:t>https://mc.bip.gov.pl/wstepne-konsultacje-rynkowe/wstepne-konsultacje-rynkowe-kampania-promujaca-e-uslugi-publiczne.html</w:t>
        </w:r>
      </w:hyperlink>
      <w:r>
        <w:t xml:space="preserve">  </w:t>
      </w:r>
    </w:p>
    <w:p w14:paraId="5871E92D" w14:textId="77777777" w:rsidR="000B493F" w:rsidRDefault="000B493F" w:rsidP="000B493F">
      <w:r>
        <w:t xml:space="preserve">Zespół projektowy w Ministerstwie Cyfryzacji posiada doświadczenie w realizacji przetargów PZP na zakup mediów do kampanii (kanały: prasa, </w:t>
      </w:r>
      <w:proofErr w:type="spellStart"/>
      <w:r>
        <w:t>internet</w:t>
      </w:r>
      <w:proofErr w:type="spellEnd"/>
      <w:r>
        <w:t xml:space="preserve">, </w:t>
      </w:r>
      <w:proofErr w:type="spellStart"/>
      <w:r>
        <w:t>content</w:t>
      </w:r>
      <w:proofErr w:type="spellEnd"/>
      <w:r>
        <w:t xml:space="preserve"> marketing, OOH, DOOH, niestandardowe formaty). Przykładowy przetarg na kampanię realizowaną w 2023: </w:t>
      </w:r>
      <w:hyperlink r:id="rId9" w:history="1">
        <w:r>
          <w:rPr>
            <w:rStyle w:val="Hipercze"/>
          </w:rPr>
          <w:t>https://www.gov.pl/web/premier/pn-2622-realizacja-kampanii-edukacyjno-informacyjnych-na-rzecz-upowszechniania-korzysci-z-technologii-cyfrowych</w:t>
        </w:r>
      </w:hyperlink>
    </w:p>
    <w:p w14:paraId="250B5444" w14:textId="6C4D0EFB" w:rsidR="000B493F" w:rsidRDefault="000B493F" w:rsidP="000B493F">
      <w:r>
        <w:t xml:space="preserve">Równocześnie wymagania dokumentacji przetargowej wymagają weryfikacji, aby dostosować je do aktualnych kanałów i formatów </w:t>
      </w:r>
      <w:proofErr w:type="spellStart"/>
      <w:r>
        <w:t>mediowych</w:t>
      </w:r>
      <w:proofErr w:type="spellEnd"/>
      <w:r>
        <w:t xml:space="preserve">, a także specyfiki rynkowej zakupu poszczególnych mediów. W szczególności dopracowania wymaga tabela cenowa (zakupowa) do przetargu. </w:t>
      </w:r>
    </w:p>
    <w:p w14:paraId="3EAC8447" w14:textId="323460BF" w:rsidR="000B493F" w:rsidRDefault="000B493F" w:rsidP="000B493F">
      <w:r>
        <w:t xml:space="preserve">Planowany tryb realizacji przetargu na dom </w:t>
      </w:r>
      <w:proofErr w:type="spellStart"/>
      <w:r>
        <w:t>mediowy</w:t>
      </w:r>
      <w:proofErr w:type="spellEnd"/>
      <w:r>
        <w:t xml:space="preserve">: postępowanie prowadzone będzie w trybie przetargu nieograniczonego na podstawie art. 132 i nast. ustawy z dnia 11 września 2019 r. Prawo zamówień publicznych. Ten tryb nie przewiduje negocjacji z ofertami, przedstawiają oni w odpowiedzi na ogłoszenie przetargu ofertę z wyceną i innymi wymaganymi elementami (np. informacje o doświadczeniu wykonawcy, zespole projektowym, zadanie praktyczne). Przykład takiej formuły przetargu zawiera referencja wskazana powyżej. </w:t>
      </w:r>
    </w:p>
    <w:p w14:paraId="7B5B6DE2" w14:textId="77777777" w:rsidR="000B493F" w:rsidRDefault="000B493F" w:rsidP="000B493F">
      <w:r>
        <w:t xml:space="preserve">Dodatkowo, ze względu na wcześniejszą praktykę zakupu kampanii radiowo-telewizyjnej bezpośrednio od dostawców zamawiającemu zależy na analizie efektywności kosztowej zakupu takich kampanii za pośrednictwem domu </w:t>
      </w:r>
      <w:proofErr w:type="spellStart"/>
      <w:r>
        <w:t>mediowego</w:t>
      </w:r>
      <w:proofErr w:type="spellEnd"/>
      <w:r>
        <w:t xml:space="preserve"> vs. zakup bezpośredni. Na tej podstawie zostanie podjęta decyzja o ew. ujęciu w przetargu na dom </w:t>
      </w:r>
      <w:proofErr w:type="spellStart"/>
      <w:r>
        <w:t>mediowy</w:t>
      </w:r>
      <w:proofErr w:type="spellEnd"/>
      <w:r>
        <w:t xml:space="preserve"> także zakupu kampanii radiowo-telewizyjnej. Wówczas w zakres prac wykonawcy wejdzie także doradztwo ekspercie w przygotowaniu specyfikacji przetargowej na zakup kampanii radiowo-telewizyjnej. </w:t>
      </w:r>
    </w:p>
    <w:p w14:paraId="64D841D9" w14:textId="77777777" w:rsidR="000B493F" w:rsidRPr="000176D5" w:rsidRDefault="000B493F" w:rsidP="00C44088">
      <w:pPr>
        <w:rPr>
          <w:rFonts w:ascii="Calibri" w:hAnsi="Calibri" w:cs="Calibri"/>
          <w:i/>
          <w:iCs/>
          <w:color w:val="000000"/>
        </w:rPr>
      </w:pPr>
    </w:p>
    <w:p w14:paraId="71129D6C" w14:textId="6B101E4A" w:rsidR="007856E1" w:rsidRDefault="00EA32F6" w:rsidP="007856E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Przedmiotem zamówienia jest</w:t>
      </w:r>
      <w:r w:rsidR="007856E1" w:rsidRPr="007F3583">
        <w:rPr>
          <w:b/>
        </w:rPr>
        <w:t xml:space="preserve">: </w:t>
      </w:r>
    </w:p>
    <w:p w14:paraId="5BDEE227" w14:textId="4A5B39F4" w:rsidR="00912501" w:rsidRDefault="000176D5" w:rsidP="00912501">
      <w:pPr>
        <w:pStyle w:val="Akapitzlist"/>
        <w:rPr>
          <w:rFonts w:cstheme="minorHAnsi"/>
        </w:rPr>
      </w:pPr>
      <w:r>
        <w:rPr>
          <w:rFonts w:cstheme="minorHAnsi"/>
        </w:rPr>
        <w:t>W</w:t>
      </w:r>
      <w:r w:rsidRPr="000176D5">
        <w:rPr>
          <w:rFonts w:cstheme="minorHAnsi"/>
        </w:rPr>
        <w:t xml:space="preserve">sparcie eksperckie ze strony audytora </w:t>
      </w:r>
      <w:proofErr w:type="spellStart"/>
      <w:r w:rsidRPr="000176D5">
        <w:rPr>
          <w:rFonts w:cstheme="minorHAnsi"/>
        </w:rPr>
        <w:t>mediowego</w:t>
      </w:r>
      <w:proofErr w:type="spellEnd"/>
      <w:r w:rsidR="00EA32F6">
        <w:rPr>
          <w:rFonts w:cstheme="minorHAnsi"/>
        </w:rPr>
        <w:t>.</w:t>
      </w:r>
      <w:r w:rsidRPr="000176D5">
        <w:rPr>
          <w:rFonts w:cstheme="minorHAnsi"/>
        </w:rPr>
        <w:t xml:space="preserve"> </w:t>
      </w:r>
      <w:r w:rsidR="00EA32F6">
        <w:rPr>
          <w:rFonts w:cstheme="minorHAnsi"/>
        </w:rPr>
        <w:t>Z</w:t>
      </w:r>
      <w:r w:rsidRPr="000176D5">
        <w:rPr>
          <w:rFonts w:cstheme="minorHAnsi"/>
        </w:rPr>
        <w:t>ostało podzielone na komponenty:</w:t>
      </w:r>
    </w:p>
    <w:p w14:paraId="65882DEA" w14:textId="77777777" w:rsidR="00D23F57" w:rsidRPr="00D23F57" w:rsidRDefault="00D23F57" w:rsidP="00D23F57">
      <w:pPr>
        <w:numPr>
          <w:ilvl w:val="0"/>
          <w:numId w:val="36"/>
        </w:numPr>
        <w:contextualSpacing/>
        <w:rPr>
          <w:rFonts w:ascii="Calibri" w:eastAsia="Calibri" w:hAnsi="Calibri" w:cs="Times New Roman"/>
        </w:rPr>
      </w:pPr>
      <w:r w:rsidRPr="00D23F57">
        <w:rPr>
          <w:rFonts w:ascii="Calibri" w:eastAsia="Calibri" w:hAnsi="Calibri" w:cs="Times New Roman"/>
        </w:rPr>
        <w:t>Doradztwo na etapie przygotowania przetargu – efektem prac będzie opracowanie wspólnie z zamawiającym dokumentacji przetargu PZP.</w:t>
      </w:r>
    </w:p>
    <w:p w14:paraId="345657A1" w14:textId="77777777" w:rsidR="00D23F57" w:rsidRPr="00D23F57" w:rsidRDefault="00D23F57" w:rsidP="00D23F57">
      <w:pPr>
        <w:numPr>
          <w:ilvl w:val="0"/>
          <w:numId w:val="36"/>
        </w:numPr>
        <w:contextualSpacing/>
        <w:rPr>
          <w:rFonts w:ascii="Calibri" w:eastAsia="Calibri" w:hAnsi="Calibri" w:cs="Times New Roman"/>
        </w:rPr>
      </w:pPr>
      <w:r w:rsidRPr="00D23F57">
        <w:rPr>
          <w:rFonts w:ascii="Calibri" w:eastAsia="Calibri" w:hAnsi="Calibri" w:cs="Times New Roman"/>
        </w:rPr>
        <w:t xml:space="preserve">Doradztwo na etapie realizacji przetargu – efektem prac będzie ocena ofert złożonych w przetargu. </w:t>
      </w:r>
    </w:p>
    <w:p w14:paraId="6F6C8B5C" w14:textId="77777777" w:rsidR="00D23F57" w:rsidRPr="00D23F57" w:rsidRDefault="00D23F57" w:rsidP="00D23F57">
      <w:pPr>
        <w:numPr>
          <w:ilvl w:val="0"/>
          <w:numId w:val="36"/>
        </w:numPr>
        <w:contextualSpacing/>
        <w:rPr>
          <w:rFonts w:ascii="Calibri" w:eastAsia="Calibri" w:hAnsi="Calibri" w:cs="Times New Roman"/>
        </w:rPr>
      </w:pPr>
      <w:r w:rsidRPr="00D23F57">
        <w:rPr>
          <w:rFonts w:ascii="Calibri" w:eastAsia="Calibri" w:hAnsi="Calibri" w:cs="Times New Roman"/>
        </w:rPr>
        <w:t xml:space="preserve">Doradztwo eksperckie na etapie realizacji umowy z wybranym domem </w:t>
      </w:r>
      <w:proofErr w:type="spellStart"/>
      <w:r w:rsidRPr="00D23F57">
        <w:rPr>
          <w:rFonts w:ascii="Calibri" w:eastAsia="Calibri" w:hAnsi="Calibri" w:cs="Times New Roman"/>
        </w:rPr>
        <w:t>mediowym</w:t>
      </w:r>
      <w:proofErr w:type="spellEnd"/>
      <w:r w:rsidRPr="00D23F57">
        <w:rPr>
          <w:rFonts w:ascii="Calibri" w:eastAsia="Calibri" w:hAnsi="Calibri" w:cs="Times New Roman"/>
        </w:rPr>
        <w:t xml:space="preserve"> – efektem będą opinie, rekomendacje, analizy i raporty nt. emisji kampanii w mediach.  </w:t>
      </w:r>
    </w:p>
    <w:p w14:paraId="2C942F20" w14:textId="57D76CA7" w:rsidR="00EA32F6" w:rsidRDefault="00EA32F6" w:rsidP="00B7346D">
      <w:pPr>
        <w:pStyle w:val="Akapitzlist"/>
        <w:rPr>
          <w:rFonts w:cstheme="minorHAnsi"/>
        </w:rPr>
      </w:pPr>
      <w:r w:rsidRPr="00EA32F6">
        <w:rPr>
          <w:rFonts w:cstheme="minorHAnsi"/>
        </w:rPr>
        <w:t>Zadania z pkt. 2 i 3 będą zlecane wg. potrzeb zamawiającego.</w:t>
      </w:r>
    </w:p>
    <w:p w14:paraId="20A789DE" w14:textId="77777777" w:rsidR="00A340B9" w:rsidRPr="00B7346D" w:rsidRDefault="00A340B9" w:rsidP="00B7346D">
      <w:pPr>
        <w:pStyle w:val="Akapitzlist"/>
        <w:rPr>
          <w:rFonts w:cstheme="minorHAnsi"/>
        </w:rPr>
      </w:pPr>
    </w:p>
    <w:p w14:paraId="07311D7C" w14:textId="77777777" w:rsidR="00EA32F6" w:rsidRPr="00912501" w:rsidRDefault="00EA32F6" w:rsidP="00912501">
      <w:pPr>
        <w:pStyle w:val="Akapitzlist"/>
        <w:rPr>
          <w:rFonts w:cstheme="minorHAnsi"/>
        </w:rPr>
      </w:pPr>
    </w:p>
    <w:p w14:paraId="1F1E293F" w14:textId="10CB9381" w:rsidR="00B955ED" w:rsidRPr="007F3583" w:rsidRDefault="00F31958" w:rsidP="00912501">
      <w:pPr>
        <w:pStyle w:val="Akapitzlist"/>
        <w:numPr>
          <w:ilvl w:val="0"/>
          <w:numId w:val="1"/>
        </w:numPr>
        <w:spacing w:before="360"/>
        <w:rPr>
          <w:b/>
        </w:rPr>
      </w:pPr>
      <w:r>
        <w:rPr>
          <w:b/>
        </w:rPr>
        <w:lastRenderedPageBreak/>
        <w:t>Zakres prac</w:t>
      </w:r>
      <w:r w:rsidR="00B955ED">
        <w:rPr>
          <w:b/>
        </w:rPr>
        <w:t>:</w:t>
      </w:r>
      <w:r w:rsidR="00B955ED" w:rsidRPr="007F3583">
        <w:rPr>
          <w:b/>
        </w:rPr>
        <w:t xml:space="preserve">  </w:t>
      </w:r>
    </w:p>
    <w:p w14:paraId="6CE66765" w14:textId="3A6CBD73" w:rsidR="00F31958" w:rsidRDefault="00F31958" w:rsidP="00EE0A9E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W ramach zamówienia Wykonawca będzie świadczył usługi </w:t>
      </w:r>
      <w:r w:rsidR="001974BE">
        <w:rPr>
          <w:sz w:val="22"/>
          <w:szCs w:val="22"/>
        </w:rPr>
        <w:t>obejmujące</w:t>
      </w:r>
      <w:r>
        <w:rPr>
          <w:sz w:val="22"/>
          <w:szCs w:val="22"/>
        </w:rPr>
        <w:t>:</w:t>
      </w:r>
    </w:p>
    <w:p w14:paraId="50C37C81" w14:textId="77777777" w:rsidR="00D56FEB" w:rsidRDefault="00D56FEB" w:rsidP="00EE0A9E">
      <w:pPr>
        <w:pStyle w:val="Default"/>
        <w:ind w:left="360"/>
        <w:rPr>
          <w:sz w:val="22"/>
          <w:szCs w:val="22"/>
        </w:rPr>
      </w:pPr>
    </w:p>
    <w:p w14:paraId="4138FED3" w14:textId="0DE66255" w:rsidR="00D56FEB" w:rsidRPr="00A340B9" w:rsidRDefault="00D56FEB" w:rsidP="00A340B9">
      <w:pPr>
        <w:pStyle w:val="Default"/>
        <w:numPr>
          <w:ilvl w:val="1"/>
          <w:numId w:val="1"/>
        </w:numPr>
        <w:ind w:left="426" w:hanging="426"/>
        <w:rPr>
          <w:b/>
          <w:bCs/>
          <w:sz w:val="22"/>
          <w:szCs w:val="22"/>
        </w:rPr>
      </w:pPr>
      <w:r w:rsidRPr="00A340B9">
        <w:rPr>
          <w:b/>
          <w:bCs/>
          <w:sz w:val="22"/>
          <w:szCs w:val="22"/>
        </w:rPr>
        <w:t xml:space="preserve">Doradztwo eksperckie w przygotowaniu przetargu na dom </w:t>
      </w:r>
      <w:proofErr w:type="spellStart"/>
      <w:r w:rsidRPr="00A340B9">
        <w:rPr>
          <w:b/>
          <w:bCs/>
          <w:sz w:val="22"/>
          <w:szCs w:val="22"/>
        </w:rPr>
        <w:t>mediowy</w:t>
      </w:r>
      <w:proofErr w:type="spellEnd"/>
      <w:r w:rsidRPr="00A340B9">
        <w:rPr>
          <w:b/>
          <w:bCs/>
          <w:sz w:val="22"/>
          <w:szCs w:val="22"/>
        </w:rPr>
        <w:t xml:space="preserve"> do kampanii:</w:t>
      </w:r>
    </w:p>
    <w:p w14:paraId="24279BB9" w14:textId="77777777" w:rsidR="00B7346D" w:rsidRDefault="00B7346D" w:rsidP="00B7346D">
      <w:pPr>
        <w:pStyle w:val="Akapitzlist"/>
        <w:numPr>
          <w:ilvl w:val="0"/>
          <w:numId w:val="34"/>
        </w:numPr>
        <w:spacing w:after="120" w:line="240" w:lineRule="auto"/>
      </w:pPr>
      <w:r>
        <w:t xml:space="preserve">doradztwo eksperckie w przygotowaniu opisu zamówienia (zakresu prac domu </w:t>
      </w:r>
      <w:proofErr w:type="spellStart"/>
      <w:r>
        <w:t>mediowego</w:t>
      </w:r>
      <w:proofErr w:type="spellEnd"/>
      <w:r>
        <w:t>) oraz szacowaniu wartości zamówienia;</w:t>
      </w:r>
    </w:p>
    <w:p w14:paraId="1E8DC4D4" w14:textId="77777777" w:rsidR="00B7346D" w:rsidRDefault="00B7346D" w:rsidP="00B7346D">
      <w:pPr>
        <w:pStyle w:val="Akapitzlist"/>
        <w:numPr>
          <w:ilvl w:val="0"/>
          <w:numId w:val="34"/>
        </w:numPr>
        <w:spacing w:after="120" w:line="240" w:lineRule="auto"/>
      </w:pPr>
      <w:r>
        <w:t>doradztwo eksperckie w przygotowaniu formularza cenowego/ofertowego zapewniającego łatwe porównanie i podsumowanie ofert;</w:t>
      </w:r>
    </w:p>
    <w:p w14:paraId="3FC4AA78" w14:textId="77777777" w:rsidR="00B7346D" w:rsidRDefault="00B7346D" w:rsidP="00B7346D">
      <w:pPr>
        <w:pStyle w:val="Akapitzlist"/>
        <w:numPr>
          <w:ilvl w:val="0"/>
          <w:numId w:val="34"/>
        </w:numPr>
        <w:spacing w:after="120" w:line="240" w:lineRule="auto"/>
      </w:pPr>
      <w:r>
        <w:t>doradztwo eksperckie w przygotowaniu kryteriów oceny ofert;</w:t>
      </w:r>
    </w:p>
    <w:p w14:paraId="76CC92EF" w14:textId="77777777" w:rsidR="00B7346D" w:rsidRDefault="00B7346D" w:rsidP="00B7346D">
      <w:pPr>
        <w:pStyle w:val="Akapitzlist"/>
        <w:numPr>
          <w:ilvl w:val="0"/>
          <w:numId w:val="34"/>
        </w:numPr>
        <w:spacing w:after="120" w:line="240" w:lineRule="auto"/>
      </w:pPr>
      <w:r>
        <w:t xml:space="preserve">doradztwo eksperckie w przygotowaniu istotnych postanowień umowy (zapisy zabezpieczające poprawne prowadzenia kampanii, rozliczania prac i kosztów, kar umownych odpowiadających specyfice mediów i zabezpieczających przed nieprawidłową realizacją umowy); </w:t>
      </w:r>
    </w:p>
    <w:p w14:paraId="1AA32B98" w14:textId="768C4CC2" w:rsidR="00180D42" w:rsidRDefault="00B7346D" w:rsidP="00B7346D">
      <w:pPr>
        <w:pStyle w:val="Akapitzlist"/>
        <w:numPr>
          <w:ilvl w:val="0"/>
          <w:numId w:val="34"/>
        </w:numPr>
        <w:spacing w:after="120" w:line="240" w:lineRule="auto"/>
      </w:pPr>
      <w:r>
        <w:t>analiz</w:t>
      </w:r>
      <w:r w:rsidR="007E60E0">
        <w:t>ę</w:t>
      </w:r>
      <w:r>
        <w:t xml:space="preserve"> efektywności kosztowej zakupu kampanii radiowo-telewizyjnej przez dom </w:t>
      </w:r>
      <w:proofErr w:type="spellStart"/>
      <w:r>
        <w:t>mediowy</w:t>
      </w:r>
      <w:proofErr w:type="spellEnd"/>
      <w:r>
        <w:t xml:space="preserve"> vs. bezpośrednio od nadawców. Rekomendacje w tym zakresie oraz przygotowanie dokumentacji przetargowej na tej podstawie.</w:t>
      </w:r>
    </w:p>
    <w:p w14:paraId="6C019448" w14:textId="4208413F" w:rsidR="001A5169" w:rsidRPr="001A5169" w:rsidRDefault="001A5169" w:rsidP="00A340B9">
      <w:pPr>
        <w:ind w:left="360"/>
      </w:pPr>
      <w:r w:rsidRPr="001A5169">
        <w:t>Planowany zakres mediów do zakupu w przetargu</w:t>
      </w:r>
      <w:r>
        <w:t>:</w:t>
      </w:r>
    </w:p>
    <w:p w14:paraId="13A26C6B" w14:textId="77777777" w:rsidR="001A5169" w:rsidRDefault="001A5169" w:rsidP="00A340B9">
      <w:pPr>
        <w:pStyle w:val="Akapitzlist"/>
        <w:numPr>
          <w:ilvl w:val="0"/>
          <w:numId w:val="40"/>
        </w:numPr>
        <w:ind w:left="720"/>
      </w:pPr>
      <w:r>
        <w:t xml:space="preserve">Budżet </w:t>
      </w:r>
      <w:proofErr w:type="spellStart"/>
      <w:r>
        <w:t>mediowy</w:t>
      </w:r>
      <w:proofErr w:type="spellEnd"/>
      <w:r>
        <w:t xml:space="preserve">: 10-15 mln zł </w:t>
      </w:r>
    </w:p>
    <w:p w14:paraId="59260BD4" w14:textId="77777777" w:rsidR="001A5169" w:rsidRDefault="001A5169" w:rsidP="00A340B9">
      <w:pPr>
        <w:pStyle w:val="Akapitzlist"/>
        <w:numPr>
          <w:ilvl w:val="0"/>
          <w:numId w:val="40"/>
        </w:numPr>
        <w:ind w:left="720"/>
      </w:pPr>
      <w:r>
        <w:t xml:space="preserve">Okres umowy z domem </w:t>
      </w:r>
      <w:proofErr w:type="spellStart"/>
      <w:r>
        <w:t>mediowym</w:t>
      </w:r>
      <w:proofErr w:type="spellEnd"/>
      <w:r>
        <w:t xml:space="preserve"> (</w:t>
      </w:r>
      <w:bookmarkStart w:id="0" w:name="_Hlk162013002"/>
      <w:r>
        <w:t>sierpień/wrzesień 2024 – grudzień 2025</w:t>
      </w:r>
      <w:bookmarkEnd w:id="0"/>
      <w:r>
        <w:t>)</w:t>
      </w:r>
    </w:p>
    <w:p w14:paraId="23A09E62" w14:textId="77777777" w:rsidR="001A5169" w:rsidRDefault="001A5169" w:rsidP="00A340B9">
      <w:pPr>
        <w:pStyle w:val="Akapitzlist"/>
        <w:numPr>
          <w:ilvl w:val="0"/>
          <w:numId w:val="40"/>
        </w:numPr>
        <w:ind w:left="720"/>
      </w:pPr>
      <w:r>
        <w:t>Kanały i formaty reklamowe (szacowany zakres):</w:t>
      </w:r>
    </w:p>
    <w:p w14:paraId="63E8CB53" w14:textId="654C78D6" w:rsidR="001A5169" w:rsidRPr="001A5169" w:rsidRDefault="001A5169" w:rsidP="00A340B9">
      <w:pPr>
        <w:pStyle w:val="Akapitzlist"/>
        <w:numPr>
          <w:ilvl w:val="0"/>
          <w:numId w:val="41"/>
        </w:numPr>
        <w:ind w:left="1080"/>
        <w:rPr>
          <w:b/>
          <w:bCs/>
        </w:rPr>
      </w:pPr>
      <w:r>
        <w:t>Telewizja (opcjonalnie</w:t>
      </w:r>
      <w:r w:rsidRPr="00384041">
        <w:t>)</w:t>
      </w:r>
    </w:p>
    <w:p w14:paraId="74CD120E" w14:textId="77777777" w:rsidR="001A5169" w:rsidRDefault="001A5169" w:rsidP="00A340B9">
      <w:pPr>
        <w:pStyle w:val="Akapitzlist"/>
        <w:numPr>
          <w:ilvl w:val="0"/>
          <w:numId w:val="41"/>
        </w:numPr>
        <w:ind w:left="1080"/>
      </w:pPr>
      <w:r>
        <w:t>Radio (opcjonalnie</w:t>
      </w:r>
      <w:r w:rsidRPr="00384041">
        <w:t>)</w:t>
      </w:r>
    </w:p>
    <w:p w14:paraId="7A3A9A4B" w14:textId="77777777" w:rsidR="001A5169" w:rsidRDefault="001A5169" w:rsidP="00A340B9">
      <w:pPr>
        <w:pStyle w:val="Akapitzlist"/>
        <w:numPr>
          <w:ilvl w:val="0"/>
          <w:numId w:val="41"/>
        </w:numPr>
        <w:ind w:left="1080"/>
      </w:pPr>
      <w:r>
        <w:t>Internet: reklamy tekstowe, reklamy mobile (na pobrania aplikacji), banery – GDN, Discovery, Meta, LinkedIn, X, banery na portalach horyzontalnych, spoty video – YouTube, VOD, CDA, Player, Meta, LinkedIn, X</w:t>
      </w:r>
    </w:p>
    <w:p w14:paraId="353E2F26" w14:textId="77777777" w:rsidR="001A5169" w:rsidRDefault="001A5169" w:rsidP="00A340B9">
      <w:pPr>
        <w:pStyle w:val="Akapitzlist"/>
        <w:numPr>
          <w:ilvl w:val="0"/>
          <w:numId w:val="41"/>
        </w:numPr>
        <w:ind w:left="1080"/>
      </w:pPr>
      <w:r>
        <w:t xml:space="preserve">Współpraca z </w:t>
      </w:r>
      <w:proofErr w:type="spellStart"/>
      <w:r>
        <w:t>influencerami</w:t>
      </w:r>
      <w:proofErr w:type="spellEnd"/>
    </w:p>
    <w:p w14:paraId="2DA3A10B" w14:textId="77777777" w:rsidR="001A5169" w:rsidRDefault="001A5169" w:rsidP="00A340B9">
      <w:pPr>
        <w:pStyle w:val="Akapitzlist"/>
        <w:numPr>
          <w:ilvl w:val="0"/>
          <w:numId w:val="41"/>
        </w:numPr>
        <w:ind w:left="1080"/>
      </w:pPr>
      <w:r>
        <w:t>Mailingi/Newslettery</w:t>
      </w:r>
    </w:p>
    <w:p w14:paraId="7965ED79" w14:textId="77777777" w:rsidR="001A5169" w:rsidRDefault="001A5169" w:rsidP="00A340B9">
      <w:pPr>
        <w:pStyle w:val="Akapitzlist"/>
        <w:numPr>
          <w:ilvl w:val="0"/>
          <w:numId w:val="41"/>
        </w:numPr>
        <w:ind w:left="1080"/>
      </w:pPr>
      <w:r>
        <w:t>Content Marketing: treści na portalach horyzontalnych i tematycznych)</w:t>
      </w:r>
    </w:p>
    <w:p w14:paraId="565429ED" w14:textId="77777777" w:rsidR="001A5169" w:rsidRDefault="001A5169" w:rsidP="00A340B9">
      <w:pPr>
        <w:pStyle w:val="Akapitzlist"/>
        <w:numPr>
          <w:ilvl w:val="0"/>
          <w:numId w:val="41"/>
        </w:numPr>
        <w:ind w:left="1080"/>
      </w:pPr>
      <w:r>
        <w:t>Prasa (ogólnopolska, regionalna i lokalna)</w:t>
      </w:r>
    </w:p>
    <w:p w14:paraId="75D94362" w14:textId="77777777" w:rsidR="001A5169" w:rsidRDefault="001A5169" w:rsidP="00A340B9">
      <w:pPr>
        <w:pStyle w:val="Akapitzlist"/>
        <w:numPr>
          <w:ilvl w:val="0"/>
          <w:numId w:val="41"/>
        </w:numPr>
        <w:ind w:left="1080"/>
      </w:pPr>
      <w:r>
        <w:t>OOH/DOOH (standardowe formaty)</w:t>
      </w:r>
    </w:p>
    <w:p w14:paraId="2AFB0216" w14:textId="77777777" w:rsidR="001A5169" w:rsidRDefault="001A5169" w:rsidP="00A340B9">
      <w:pPr>
        <w:pStyle w:val="Akapitzlist"/>
        <w:numPr>
          <w:ilvl w:val="0"/>
          <w:numId w:val="41"/>
        </w:numPr>
        <w:ind w:left="1080"/>
      </w:pPr>
      <w:r>
        <w:t>Formaty niestandardowe (np. reklama w kinach, murale itp.)</w:t>
      </w:r>
    </w:p>
    <w:p w14:paraId="4AEF4404" w14:textId="7A8BC6A7" w:rsidR="001A5169" w:rsidRDefault="001A5169" w:rsidP="00A340B9">
      <w:pPr>
        <w:spacing w:after="120" w:line="240" w:lineRule="auto"/>
        <w:ind w:left="360"/>
      </w:pPr>
      <w:r>
        <w:t>Audytor może zaproponować rozszerzenie zakresu kanałów i formatów wykorzystywanych w kampanii.</w:t>
      </w:r>
    </w:p>
    <w:p w14:paraId="11DB37EE" w14:textId="77777777" w:rsidR="00D56FEB" w:rsidRDefault="00D56FEB" w:rsidP="00D56FEB">
      <w:pPr>
        <w:pStyle w:val="Akapitzlist"/>
        <w:spacing w:after="120" w:line="240" w:lineRule="auto"/>
      </w:pPr>
    </w:p>
    <w:p w14:paraId="5962E926" w14:textId="1E313519" w:rsidR="00D56FEB" w:rsidRPr="00A340B9" w:rsidRDefault="00D56FEB" w:rsidP="00A340B9">
      <w:pPr>
        <w:pStyle w:val="Akapitzlist"/>
        <w:numPr>
          <w:ilvl w:val="1"/>
          <w:numId w:val="1"/>
        </w:numPr>
        <w:spacing w:after="120" w:line="240" w:lineRule="auto"/>
        <w:ind w:left="284" w:hanging="284"/>
        <w:rPr>
          <w:b/>
          <w:bCs/>
        </w:rPr>
      </w:pPr>
      <w:r w:rsidRPr="00A340B9">
        <w:rPr>
          <w:b/>
          <w:bCs/>
        </w:rPr>
        <w:t>Doradztwo eksperckie na etapie realizacji przetargu:</w:t>
      </w:r>
    </w:p>
    <w:p w14:paraId="388FBCD5" w14:textId="77777777" w:rsidR="00D56FEB" w:rsidRDefault="00D56FEB" w:rsidP="00D56FEB">
      <w:pPr>
        <w:pStyle w:val="Akapitzlist"/>
        <w:numPr>
          <w:ilvl w:val="0"/>
          <w:numId w:val="37"/>
        </w:numPr>
      </w:pPr>
      <w:r>
        <w:t xml:space="preserve">doradztwo eksperckie w zakresie przygotowania odpowiedzi na pytania oferentów w trakcie przetargu; </w:t>
      </w:r>
    </w:p>
    <w:p w14:paraId="7775F7E7" w14:textId="67F8BD23" w:rsidR="00D56FEB" w:rsidRDefault="00D56FEB" w:rsidP="00D56FEB">
      <w:pPr>
        <w:pStyle w:val="Akapitzlist"/>
        <w:numPr>
          <w:ilvl w:val="0"/>
          <w:numId w:val="37"/>
        </w:numPr>
      </w:pPr>
      <w:r>
        <w:t>ocena ofert zgodnie z kryteriami określonymi w przetargu.</w:t>
      </w:r>
    </w:p>
    <w:p w14:paraId="2A39118D" w14:textId="77777777" w:rsidR="00D56FEB" w:rsidRDefault="00D56FEB" w:rsidP="00D56FEB">
      <w:pPr>
        <w:pStyle w:val="Akapitzlist"/>
      </w:pPr>
    </w:p>
    <w:p w14:paraId="5143C3CD" w14:textId="09045E33" w:rsidR="00D56FEB" w:rsidRPr="00A340B9" w:rsidRDefault="00D56FEB" w:rsidP="00A340B9">
      <w:pPr>
        <w:pStyle w:val="Akapitzlist"/>
        <w:numPr>
          <w:ilvl w:val="1"/>
          <w:numId w:val="1"/>
        </w:numPr>
        <w:ind w:left="284"/>
        <w:rPr>
          <w:b/>
          <w:bCs/>
        </w:rPr>
      </w:pPr>
      <w:r w:rsidRPr="00A340B9">
        <w:rPr>
          <w:b/>
          <w:bCs/>
        </w:rPr>
        <w:t xml:space="preserve">Doradztwo eksperckie na etapie realizacji umowy z wybranym domem </w:t>
      </w:r>
      <w:proofErr w:type="spellStart"/>
      <w:r w:rsidRPr="00A340B9">
        <w:rPr>
          <w:b/>
          <w:bCs/>
        </w:rPr>
        <w:t>mediowym</w:t>
      </w:r>
      <w:proofErr w:type="spellEnd"/>
      <w:r w:rsidR="00A340B9">
        <w:rPr>
          <w:b/>
          <w:bCs/>
        </w:rPr>
        <w:t>:</w:t>
      </w:r>
    </w:p>
    <w:p w14:paraId="4448861B" w14:textId="77777777" w:rsidR="00D56FEB" w:rsidRDefault="00D56FEB" w:rsidP="00D56FEB">
      <w:pPr>
        <w:pStyle w:val="Akapitzlist"/>
        <w:numPr>
          <w:ilvl w:val="3"/>
          <w:numId w:val="1"/>
        </w:numPr>
      </w:pPr>
      <w:r>
        <w:t xml:space="preserve">analiza strategii </w:t>
      </w:r>
      <w:proofErr w:type="spellStart"/>
      <w:r>
        <w:t>mediowej</w:t>
      </w:r>
      <w:proofErr w:type="spellEnd"/>
      <w:r>
        <w:t xml:space="preserve"> zaproponowanej przez dom </w:t>
      </w:r>
      <w:proofErr w:type="spellStart"/>
      <w:r>
        <w:t>mediowy</w:t>
      </w:r>
      <w:proofErr w:type="spellEnd"/>
      <w:r>
        <w:t xml:space="preserve">, w tym doboru mediów do grup docelowych </w:t>
      </w:r>
    </w:p>
    <w:p w14:paraId="2D4D9632" w14:textId="77777777" w:rsidR="00D56FEB" w:rsidRDefault="00D56FEB" w:rsidP="00D56FEB">
      <w:pPr>
        <w:pStyle w:val="Akapitzlist"/>
        <w:numPr>
          <w:ilvl w:val="3"/>
          <w:numId w:val="1"/>
        </w:numPr>
      </w:pPr>
      <w:r>
        <w:t xml:space="preserve">opiniowanie </w:t>
      </w:r>
      <w:proofErr w:type="spellStart"/>
      <w:r>
        <w:t>mediaplanów</w:t>
      </w:r>
      <w:proofErr w:type="spellEnd"/>
      <w:r>
        <w:t xml:space="preserve"> zaproponowanych przez dom </w:t>
      </w:r>
      <w:proofErr w:type="spellStart"/>
      <w:r>
        <w:t>mediowy</w:t>
      </w:r>
      <w:proofErr w:type="spellEnd"/>
      <w:r>
        <w:t xml:space="preserve"> </w:t>
      </w:r>
    </w:p>
    <w:p w14:paraId="1487D495" w14:textId="77777777" w:rsidR="00D56FEB" w:rsidRDefault="00D56FEB" w:rsidP="00D56FEB">
      <w:pPr>
        <w:pStyle w:val="Akapitzlist"/>
        <w:numPr>
          <w:ilvl w:val="3"/>
          <w:numId w:val="1"/>
        </w:numPr>
      </w:pPr>
      <w:r>
        <w:t xml:space="preserve">kampanie internetowe - analiza </w:t>
      </w:r>
      <w:proofErr w:type="spellStart"/>
      <w:r>
        <w:t>mediaplanów</w:t>
      </w:r>
      <w:proofErr w:type="spellEnd"/>
      <w:r>
        <w:t xml:space="preserve">, weryfikacja prowadzonych działań i analiza post </w:t>
      </w:r>
      <w:proofErr w:type="spellStart"/>
      <w:r>
        <w:t>buy</w:t>
      </w:r>
      <w:proofErr w:type="spellEnd"/>
      <w:r>
        <w:t xml:space="preserve"> </w:t>
      </w:r>
    </w:p>
    <w:p w14:paraId="39F3187E" w14:textId="77777777" w:rsidR="00D56FEB" w:rsidRDefault="00D56FEB" w:rsidP="00D56FEB">
      <w:pPr>
        <w:pStyle w:val="Akapitzlist"/>
        <w:numPr>
          <w:ilvl w:val="3"/>
          <w:numId w:val="1"/>
        </w:numPr>
      </w:pPr>
      <w:r>
        <w:lastRenderedPageBreak/>
        <w:t xml:space="preserve">kampanie TV – analiza grup docelowych, potwierdzenie prawidłowości emisji, analiza kosztów </w:t>
      </w:r>
    </w:p>
    <w:p w14:paraId="3DFF74BD" w14:textId="77777777" w:rsidR="00D56FEB" w:rsidRDefault="00D56FEB" w:rsidP="00D56FEB">
      <w:pPr>
        <w:pStyle w:val="Akapitzlist"/>
        <w:numPr>
          <w:ilvl w:val="3"/>
          <w:numId w:val="1"/>
        </w:numPr>
      </w:pPr>
      <w:r>
        <w:t xml:space="preserve">kampanie radiowe – potwierdzenie emisji, potwierdzenie prawidłowości emisji, analiza kosztów </w:t>
      </w:r>
    </w:p>
    <w:p w14:paraId="0C2E3DC5" w14:textId="77777777" w:rsidR="00D56FEB" w:rsidRDefault="00D56FEB" w:rsidP="00D56FEB">
      <w:pPr>
        <w:pStyle w:val="Akapitzlist"/>
        <w:numPr>
          <w:ilvl w:val="3"/>
          <w:numId w:val="1"/>
        </w:numPr>
      </w:pPr>
      <w:r>
        <w:t xml:space="preserve">działania z </w:t>
      </w:r>
      <w:proofErr w:type="spellStart"/>
      <w:r>
        <w:t>influencerami</w:t>
      </w:r>
      <w:proofErr w:type="spellEnd"/>
      <w:r>
        <w:t xml:space="preserve"> – weryfikacja kanałów </w:t>
      </w:r>
      <w:proofErr w:type="spellStart"/>
      <w:r>
        <w:t>influencerów</w:t>
      </w:r>
      <w:proofErr w:type="spellEnd"/>
      <w:r>
        <w:t xml:space="preserve"> (zasięgów i jakości), weryfikacja stawek wynagrodzeń </w:t>
      </w:r>
      <w:proofErr w:type="spellStart"/>
      <w:r>
        <w:t>influencerów</w:t>
      </w:r>
      <w:proofErr w:type="spellEnd"/>
    </w:p>
    <w:p w14:paraId="65047080" w14:textId="77777777" w:rsidR="00D56FEB" w:rsidRDefault="00D56FEB" w:rsidP="00D56FEB">
      <w:pPr>
        <w:pStyle w:val="Akapitzlist"/>
        <w:numPr>
          <w:ilvl w:val="3"/>
          <w:numId w:val="1"/>
        </w:numPr>
      </w:pPr>
      <w:r>
        <w:t xml:space="preserve">OOH/DOOH - weryfikacja </w:t>
      </w:r>
      <w:proofErr w:type="spellStart"/>
      <w:r>
        <w:t>mediaplanu</w:t>
      </w:r>
      <w:proofErr w:type="spellEnd"/>
      <w:r>
        <w:t xml:space="preserve"> (miejsca/lokalizacje emisji reklam, weryfikacja kosztów)</w:t>
      </w:r>
    </w:p>
    <w:p w14:paraId="765CD8B4" w14:textId="77777777" w:rsidR="00D56FEB" w:rsidRDefault="00D56FEB" w:rsidP="00D56FEB">
      <w:pPr>
        <w:pStyle w:val="Akapitzlist"/>
        <w:numPr>
          <w:ilvl w:val="3"/>
          <w:numId w:val="1"/>
        </w:numPr>
      </w:pPr>
      <w:r>
        <w:t xml:space="preserve">prasa - weryfikacja kosztów, zaproponowanych tytułów, analiza umiejscowienia naszych reklam oraz raportów post </w:t>
      </w:r>
      <w:proofErr w:type="spellStart"/>
      <w:r>
        <w:t>buy</w:t>
      </w:r>
      <w:proofErr w:type="spellEnd"/>
      <w:r>
        <w:t xml:space="preserve"> </w:t>
      </w:r>
    </w:p>
    <w:p w14:paraId="62F27B68" w14:textId="77777777" w:rsidR="00D56FEB" w:rsidRDefault="00D56FEB" w:rsidP="00D56FEB">
      <w:pPr>
        <w:pStyle w:val="Akapitzlist"/>
        <w:numPr>
          <w:ilvl w:val="3"/>
          <w:numId w:val="1"/>
        </w:numPr>
      </w:pPr>
      <w:r>
        <w:t xml:space="preserve">działania na portalach - analiza umiejscowienia reklam, sprawdzenie stawek i porównanie z cennikiem agencji/dostawców, analiza </w:t>
      </w:r>
      <w:proofErr w:type="spellStart"/>
      <w:r>
        <w:t>postbuy</w:t>
      </w:r>
      <w:proofErr w:type="spellEnd"/>
      <w:r>
        <w:t xml:space="preserve"> (weryfikacja zgodności emisji z zamówieniem</w:t>
      </w:r>
    </w:p>
    <w:p w14:paraId="0B75351A" w14:textId="77777777" w:rsidR="00D56FEB" w:rsidRDefault="00D56FEB" w:rsidP="00D56FEB">
      <w:pPr>
        <w:pStyle w:val="Akapitzlist"/>
        <w:numPr>
          <w:ilvl w:val="3"/>
          <w:numId w:val="1"/>
        </w:numPr>
      </w:pPr>
      <w:r>
        <w:t xml:space="preserve">Content Marketing - analiza umiejscowienia treści, weryfikacja kosztów, analiza post </w:t>
      </w:r>
      <w:proofErr w:type="spellStart"/>
      <w:r>
        <w:t>buy</w:t>
      </w:r>
      <w:proofErr w:type="spellEnd"/>
      <w:r>
        <w:t xml:space="preserve"> - weryfikacja zgodności emisji z zamówieniem</w:t>
      </w:r>
    </w:p>
    <w:p w14:paraId="2A82E4A3" w14:textId="77777777" w:rsidR="00D56FEB" w:rsidRDefault="00D56FEB" w:rsidP="00D56FEB">
      <w:pPr>
        <w:pStyle w:val="Akapitzlist"/>
        <w:numPr>
          <w:ilvl w:val="3"/>
          <w:numId w:val="1"/>
        </w:numPr>
      </w:pPr>
      <w:r>
        <w:t xml:space="preserve">udział w statusach z domami </w:t>
      </w:r>
      <w:proofErr w:type="spellStart"/>
      <w:r>
        <w:t>mediowymi</w:t>
      </w:r>
      <w:proofErr w:type="spellEnd"/>
      <w:r>
        <w:t xml:space="preserve"> (np. raz na miesiąc)</w:t>
      </w:r>
    </w:p>
    <w:p w14:paraId="7A8A11E9" w14:textId="77777777" w:rsidR="00D56FEB" w:rsidRDefault="00D56FEB" w:rsidP="00D56FEB">
      <w:pPr>
        <w:pStyle w:val="Akapitzlist"/>
        <w:numPr>
          <w:ilvl w:val="3"/>
          <w:numId w:val="1"/>
        </w:numPr>
      </w:pPr>
      <w:r>
        <w:t xml:space="preserve">weryfikacja faktur w raportach post </w:t>
      </w:r>
      <w:proofErr w:type="spellStart"/>
      <w:r>
        <w:t>buy</w:t>
      </w:r>
      <w:proofErr w:type="spellEnd"/>
      <w:r>
        <w:t xml:space="preserve"> – porównanie kosztów z panelów reklamowych z FV</w:t>
      </w:r>
    </w:p>
    <w:p w14:paraId="6D0E08BC" w14:textId="7D9416E3" w:rsidR="00D56FEB" w:rsidRPr="0064358D" w:rsidRDefault="00D56FEB" w:rsidP="00D56FEB">
      <w:pPr>
        <w:pStyle w:val="Akapitzlist"/>
        <w:numPr>
          <w:ilvl w:val="3"/>
          <w:numId w:val="1"/>
        </w:numPr>
      </w:pPr>
      <w:r>
        <w:t xml:space="preserve">analiza rekomendacji przesyłanych przez dom </w:t>
      </w:r>
      <w:proofErr w:type="spellStart"/>
      <w:r>
        <w:t>mediowy</w:t>
      </w:r>
      <w:proofErr w:type="spellEnd"/>
      <w:r>
        <w:t xml:space="preserve"> oraz opracowanie własnych rekomendacji</w:t>
      </w:r>
    </w:p>
    <w:p w14:paraId="674CE4D6" w14:textId="77777777" w:rsidR="0064358D" w:rsidRPr="0064358D" w:rsidRDefault="0064358D" w:rsidP="0064358D">
      <w:pPr>
        <w:pStyle w:val="Akapitzlist"/>
        <w:spacing w:after="120" w:line="240" w:lineRule="auto"/>
      </w:pPr>
    </w:p>
    <w:p w14:paraId="7732F68E" w14:textId="72639096" w:rsidR="00A5602D" w:rsidRPr="007F3583" w:rsidRDefault="00A5602D" w:rsidP="00912501">
      <w:pPr>
        <w:pStyle w:val="Akapitzlist"/>
        <w:numPr>
          <w:ilvl w:val="0"/>
          <w:numId w:val="1"/>
        </w:numPr>
        <w:spacing w:before="360"/>
        <w:rPr>
          <w:b/>
        </w:rPr>
      </w:pPr>
      <w:r w:rsidRPr="00206562">
        <w:rPr>
          <w:rFonts w:cstheme="minorHAnsi"/>
          <w:b/>
        </w:rPr>
        <w:t xml:space="preserve">Okres realizacji </w:t>
      </w:r>
      <w:r>
        <w:rPr>
          <w:rFonts w:cstheme="minorHAnsi"/>
          <w:b/>
        </w:rPr>
        <w:t>zamówienia</w:t>
      </w:r>
    </w:p>
    <w:p w14:paraId="2708A9F9" w14:textId="7DCC8570" w:rsidR="007856E1" w:rsidRPr="00912501" w:rsidRDefault="005C731E" w:rsidP="00912501">
      <w:pPr>
        <w:spacing w:after="0" w:line="240" w:lineRule="auto"/>
        <w:ind w:left="360"/>
        <w:rPr>
          <w:rFonts w:cstheme="minorHAnsi"/>
        </w:rPr>
      </w:pPr>
      <w:r>
        <w:t xml:space="preserve">Od </w:t>
      </w:r>
      <w:r w:rsidR="000B493F">
        <w:t>zawarcia umowy</w:t>
      </w:r>
      <w:r>
        <w:t xml:space="preserve"> do grudnia 2025</w:t>
      </w:r>
      <w:r w:rsidR="000B493F">
        <w:t xml:space="preserve">. </w:t>
      </w:r>
    </w:p>
    <w:p w14:paraId="5E96C91A" w14:textId="3EAF0806" w:rsidR="00EE0A9E" w:rsidRPr="00A5602D" w:rsidRDefault="007856E1" w:rsidP="00912501">
      <w:pPr>
        <w:pStyle w:val="Akapitzlist"/>
        <w:numPr>
          <w:ilvl w:val="0"/>
          <w:numId w:val="1"/>
        </w:numPr>
        <w:spacing w:before="360"/>
        <w:ind w:left="709"/>
      </w:pPr>
      <w:r w:rsidRPr="00A5602D">
        <w:rPr>
          <w:b/>
        </w:rPr>
        <w:t xml:space="preserve">Termin </w:t>
      </w:r>
      <w:r w:rsidR="007941E9" w:rsidRPr="00A5602D">
        <w:rPr>
          <w:b/>
        </w:rPr>
        <w:t xml:space="preserve">i sposób </w:t>
      </w:r>
      <w:r w:rsidRPr="00A5602D">
        <w:rPr>
          <w:b/>
        </w:rPr>
        <w:t xml:space="preserve">realizacji zamówienia:  </w:t>
      </w:r>
    </w:p>
    <w:p w14:paraId="59ADC7E1" w14:textId="220F2586" w:rsidR="00EE0A9E" w:rsidRDefault="00EE0A9E" w:rsidP="00EE0A9E">
      <w:pPr>
        <w:pStyle w:val="Default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Zadanie będzie realizowane </w:t>
      </w:r>
      <w:r w:rsidRPr="00953993">
        <w:rPr>
          <w:sz w:val="22"/>
          <w:szCs w:val="22"/>
        </w:rPr>
        <w:t xml:space="preserve">na podstawie </w:t>
      </w:r>
      <w:r w:rsidRPr="00FA1454">
        <w:rPr>
          <w:sz w:val="22"/>
          <w:szCs w:val="22"/>
        </w:rPr>
        <w:t>zleceń przekazywanych przez Zamawiającego</w:t>
      </w:r>
      <w:r>
        <w:rPr>
          <w:sz w:val="22"/>
          <w:szCs w:val="22"/>
        </w:rPr>
        <w:t xml:space="preserve">. Realizacja zadania będzie rozliczana na podstawie </w:t>
      </w:r>
      <w:r w:rsidR="00443A9F">
        <w:rPr>
          <w:sz w:val="22"/>
          <w:szCs w:val="22"/>
        </w:rPr>
        <w:t xml:space="preserve">ceny jednostkowej lub </w:t>
      </w:r>
      <w:r>
        <w:rPr>
          <w:sz w:val="22"/>
          <w:szCs w:val="22"/>
        </w:rPr>
        <w:t>stawki godzinowej pracy Wykonawcy, stanowiącej jednostkę rozliczeniową realizacji zleceń. Na podstawie zlecenia Wykonawca oszacuje czas potrzebny do jego realizacji. Zamawiający zastrzega sobie prawo do negocja</w:t>
      </w:r>
      <w:r w:rsidR="00443A9F">
        <w:rPr>
          <w:sz w:val="22"/>
          <w:szCs w:val="22"/>
        </w:rPr>
        <w:t xml:space="preserve">cji przedstawionego szacowania oraz </w:t>
      </w:r>
      <w:r w:rsidR="00113844">
        <w:rPr>
          <w:sz w:val="22"/>
          <w:szCs w:val="22"/>
        </w:rPr>
        <w:t>okresu</w:t>
      </w:r>
      <w:r w:rsidR="00443A9F">
        <w:rPr>
          <w:sz w:val="22"/>
          <w:szCs w:val="22"/>
        </w:rPr>
        <w:t xml:space="preserve"> potrzebnego na realizację zlecenia.</w:t>
      </w:r>
      <w:r w:rsidR="007D22D2">
        <w:rPr>
          <w:sz w:val="22"/>
          <w:szCs w:val="22"/>
        </w:rPr>
        <w:t xml:space="preserve"> Zlecenia oraz potwierdzenia ich realizacji będą przesyłane </w:t>
      </w:r>
      <w:r w:rsidR="007D22D2" w:rsidRPr="00974F18">
        <w:rPr>
          <w:sz w:val="22"/>
          <w:szCs w:val="22"/>
        </w:rPr>
        <w:t>drogą elektroniczną</w:t>
      </w:r>
      <w:r w:rsidR="007D22D2">
        <w:rPr>
          <w:sz w:val="22"/>
          <w:szCs w:val="22"/>
        </w:rPr>
        <w:t>.</w:t>
      </w:r>
    </w:p>
    <w:p w14:paraId="0F85E3C7" w14:textId="77777777" w:rsidR="00D56FEB" w:rsidRDefault="00D56FEB" w:rsidP="00D56FEB">
      <w:pPr>
        <w:pStyle w:val="Akapitzlist"/>
        <w:numPr>
          <w:ilvl w:val="0"/>
          <w:numId w:val="15"/>
        </w:numPr>
      </w:pPr>
      <w:r>
        <w:t xml:space="preserve">Wykonawca zapewnia bezstronność oraz </w:t>
      </w:r>
      <w:r w:rsidRPr="00E07064">
        <w:t xml:space="preserve">brak powiązań z domami </w:t>
      </w:r>
      <w:proofErr w:type="spellStart"/>
      <w:r w:rsidRPr="00E07064">
        <w:t>mediowymi</w:t>
      </w:r>
      <w:proofErr w:type="spellEnd"/>
      <w:r>
        <w:t>;</w:t>
      </w:r>
    </w:p>
    <w:p w14:paraId="2A3D1CF7" w14:textId="77777777" w:rsidR="00D56FEB" w:rsidRDefault="00D56FEB" w:rsidP="00D56FEB">
      <w:pPr>
        <w:pStyle w:val="Akapitzlist"/>
        <w:numPr>
          <w:ilvl w:val="0"/>
          <w:numId w:val="15"/>
        </w:numPr>
      </w:pPr>
      <w:r>
        <w:t xml:space="preserve">Zamawiający przewiduje </w:t>
      </w:r>
      <w:r w:rsidRPr="00E07064">
        <w:t xml:space="preserve">minimum 2 spotkania z </w:t>
      </w:r>
      <w:r>
        <w:t>W</w:t>
      </w:r>
      <w:r w:rsidRPr="00E07064">
        <w:t xml:space="preserve">ykonawcą na etapie </w:t>
      </w:r>
      <w:r>
        <w:t xml:space="preserve">przygotowania do </w:t>
      </w:r>
      <w:r w:rsidRPr="00E07064">
        <w:t xml:space="preserve">przetargu (pierwsze </w:t>
      </w:r>
      <w:proofErr w:type="spellStart"/>
      <w:r w:rsidRPr="00E07064">
        <w:t>briefujące</w:t>
      </w:r>
      <w:proofErr w:type="spellEnd"/>
      <w:r w:rsidRPr="00E07064">
        <w:t xml:space="preserve"> i drugie uzgodnieniowe)</w:t>
      </w:r>
      <w:r>
        <w:t>.</w:t>
      </w:r>
    </w:p>
    <w:p w14:paraId="6DA7CDEA" w14:textId="77777777" w:rsidR="00213F16" w:rsidRDefault="00953993" w:rsidP="00213F16">
      <w:pPr>
        <w:pStyle w:val="Akapitzlist"/>
        <w:numPr>
          <w:ilvl w:val="0"/>
          <w:numId w:val="15"/>
        </w:numPr>
      </w:pPr>
      <w:r w:rsidRPr="00D56FEB">
        <w:t>Zamawiający przewiduje 3 dni robocze na analizę i podjęcie realizacji zleceń przekazywanych przez Zamawiającego od dnia zgłoszenia oraz 2 dni robocze na poprawki (maksymalnie 3 tury poprawek).</w:t>
      </w:r>
    </w:p>
    <w:p w14:paraId="384A3741" w14:textId="3C88F83B" w:rsidR="00213F16" w:rsidRDefault="00213F16" w:rsidP="00213F16">
      <w:pPr>
        <w:pStyle w:val="Akapitzlist"/>
        <w:numPr>
          <w:ilvl w:val="0"/>
          <w:numId w:val="15"/>
        </w:numPr>
      </w:pPr>
      <w:r>
        <w:t xml:space="preserve">Wykonawca </w:t>
      </w:r>
      <w:r w:rsidRPr="00A238EE">
        <w:t xml:space="preserve">potwierdza dostępność opiekuna/opiekunów w ciągu 24h </w:t>
      </w:r>
      <w:r>
        <w:t xml:space="preserve">od zapytania Zamawiającego </w:t>
      </w:r>
      <w:r w:rsidRPr="00A238EE">
        <w:t>(kontakt telefoniczny/ mailowy, gotowość do udziału w spotkaniu online)</w:t>
      </w:r>
    </w:p>
    <w:p w14:paraId="14F63032" w14:textId="77777777" w:rsidR="00A5602D" w:rsidRDefault="00A5602D" w:rsidP="007D22D2">
      <w:pPr>
        <w:pStyle w:val="Akapitzlist"/>
      </w:pPr>
    </w:p>
    <w:p w14:paraId="1096D022" w14:textId="0138514F" w:rsidR="00912501" w:rsidRDefault="00A5602D" w:rsidP="00912501">
      <w:pPr>
        <w:pStyle w:val="Akapitzlist"/>
        <w:numPr>
          <w:ilvl w:val="0"/>
          <w:numId w:val="1"/>
        </w:numPr>
        <w:spacing w:after="240"/>
      </w:pPr>
      <w:r w:rsidRPr="007F3583">
        <w:rPr>
          <w:b/>
        </w:rPr>
        <w:t xml:space="preserve">Przedmiot zamówienia musi spełnić łącznie następujące kryteria: </w:t>
      </w:r>
    </w:p>
    <w:p w14:paraId="799F09AD" w14:textId="77777777" w:rsidR="00A5602D" w:rsidRDefault="00A5602D" w:rsidP="00912501">
      <w:pPr>
        <w:pStyle w:val="Akapitzlist"/>
        <w:numPr>
          <w:ilvl w:val="1"/>
          <w:numId w:val="1"/>
        </w:numPr>
        <w:spacing w:before="120"/>
        <w:ind w:left="709"/>
      </w:pPr>
      <w:r>
        <w:t>Usługi zostaną wykonane w sposób merytoryczny i rzetelny, zgodnie z wymogami określonymi w opisie przedmiotu zamówienia oraz wytycznymi i wymaganiami Zamawiającego.</w:t>
      </w:r>
    </w:p>
    <w:p w14:paraId="0DC54610" w14:textId="0AB8B090" w:rsidR="00912501" w:rsidRPr="009B3B03" w:rsidRDefault="00A5602D" w:rsidP="009B3B03">
      <w:pPr>
        <w:pStyle w:val="Akapitzlist"/>
        <w:numPr>
          <w:ilvl w:val="1"/>
          <w:numId w:val="1"/>
        </w:numPr>
        <w:ind w:left="709"/>
      </w:pPr>
      <w:r w:rsidRPr="000679D9">
        <w:t xml:space="preserve">Cena oferty musi zawierać wszystkie koszty i opłaty niezbędne dla </w:t>
      </w:r>
      <w:r w:rsidRPr="0064358D">
        <w:rPr>
          <w:rFonts w:cstheme="minorHAnsi"/>
        </w:rPr>
        <w:t>prawidłowego i pełnego wykonania zamówienia oraz wszelkie opłaty i podatki wynikające z obowiązujących przepisów.</w:t>
      </w:r>
    </w:p>
    <w:sectPr w:rsidR="00912501" w:rsidRPr="009B3B03" w:rsidSect="007E1EAF">
      <w:headerReference w:type="default" r:id="rId10"/>
      <w:footerReference w:type="default" r:id="rId11"/>
      <w:pgSz w:w="11906" w:h="16838"/>
      <w:pgMar w:top="-170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94979" w14:textId="77777777" w:rsidR="007E1EAF" w:rsidRDefault="007E1EAF" w:rsidP="00580798">
      <w:pPr>
        <w:spacing w:after="0" w:line="240" w:lineRule="auto"/>
      </w:pPr>
      <w:r>
        <w:separator/>
      </w:r>
    </w:p>
  </w:endnote>
  <w:endnote w:type="continuationSeparator" w:id="0">
    <w:p w14:paraId="139FBC3E" w14:textId="77777777" w:rsidR="007E1EAF" w:rsidRDefault="007E1EAF" w:rsidP="00580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4207970"/>
      <w:docPartObj>
        <w:docPartGallery w:val="Page Numbers (Bottom of Page)"/>
        <w:docPartUnique/>
      </w:docPartObj>
    </w:sdtPr>
    <w:sdtEndPr/>
    <w:sdtContent>
      <w:p w14:paraId="60679D95" w14:textId="0D340940" w:rsidR="00015BA2" w:rsidRDefault="00015B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F08">
          <w:rPr>
            <w:noProof/>
          </w:rPr>
          <w:t>3</w:t>
        </w:r>
        <w:r>
          <w:fldChar w:fldCharType="end"/>
        </w:r>
      </w:p>
    </w:sdtContent>
  </w:sdt>
  <w:p w14:paraId="02153579" w14:textId="77777777" w:rsidR="00015BA2" w:rsidRDefault="00015B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1EA44" w14:textId="77777777" w:rsidR="007E1EAF" w:rsidRDefault="007E1EAF" w:rsidP="00580798">
      <w:pPr>
        <w:spacing w:after="0" w:line="240" w:lineRule="auto"/>
      </w:pPr>
      <w:r>
        <w:separator/>
      </w:r>
    </w:p>
  </w:footnote>
  <w:footnote w:type="continuationSeparator" w:id="0">
    <w:p w14:paraId="0A0CDEFF" w14:textId="77777777" w:rsidR="007E1EAF" w:rsidRDefault="007E1EAF" w:rsidP="00580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B5AE6" w14:textId="5B3A6F72" w:rsidR="00580798" w:rsidRDefault="00580798" w:rsidP="00AA1DE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3767"/>
    <w:multiLevelType w:val="hybridMultilevel"/>
    <w:tmpl w:val="3A24F50E"/>
    <w:lvl w:ilvl="0" w:tplc="D92C294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97954"/>
    <w:multiLevelType w:val="hybridMultilevel"/>
    <w:tmpl w:val="9F8C4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C535E"/>
    <w:multiLevelType w:val="hybridMultilevel"/>
    <w:tmpl w:val="75B06E8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1E24F5"/>
    <w:multiLevelType w:val="hybridMultilevel"/>
    <w:tmpl w:val="1988F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B4A8D"/>
    <w:multiLevelType w:val="hybridMultilevel"/>
    <w:tmpl w:val="170A1C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E359D"/>
    <w:multiLevelType w:val="hybridMultilevel"/>
    <w:tmpl w:val="BABE8498"/>
    <w:lvl w:ilvl="0" w:tplc="B89E0D98">
      <w:start w:val="3"/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73090"/>
    <w:multiLevelType w:val="hybridMultilevel"/>
    <w:tmpl w:val="9FE48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35CFA"/>
    <w:multiLevelType w:val="hybridMultilevel"/>
    <w:tmpl w:val="661A67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343880"/>
    <w:multiLevelType w:val="hybridMultilevel"/>
    <w:tmpl w:val="A80450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7C519A"/>
    <w:multiLevelType w:val="hybridMultilevel"/>
    <w:tmpl w:val="8D3001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25DF0"/>
    <w:multiLevelType w:val="hybridMultilevel"/>
    <w:tmpl w:val="1098D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F6AB8"/>
    <w:multiLevelType w:val="hybridMultilevel"/>
    <w:tmpl w:val="EE2CD6A8"/>
    <w:lvl w:ilvl="0" w:tplc="0415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D4D69"/>
    <w:multiLevelType w:val="hybridMultilevel"/>
    <w:tmpl w:val="F2E6F93A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2A2043B8"/>
    <w:multiLevelType w:val="hybridMultilevel"/>
    <w:tmpl w:val="795077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B5730"/>
    <w:multiLevelType w:val="hybridMultilevel"/>
    <w:tmpl w:val="4EDE1106"/>
    <w:lvl w:ilvl="0" w:tplc="50ECF49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9743D3"/>
    <w:multiLevelType w:val="hybridMultilevel"/>
    <w:tmpl w:val="DA60399C"/>
    <w:lvl w:ilvl="0" w:tplc="43F44D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720" w:hanging="360"/>
      </w:pPr>
    </w:lvl>
    <w:lvl w:ilvl="4" w:tplc="CDEA3F7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A5254"/>
    <w:multiLevelType w:val="hybridMultilevel"/>
    <w:tmpl w:val="70B8B7F6"/>
    <w:lvl w:ilvl="0" w:tplc="04150017">
      <w:start w:val="1"/>
      <w:numFmt w:val="lowerLetter"/>
      <w:lvlText w:val="%1)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3C5E2789"/>
    <w:multiLevelType w:val="hybridMultilevel"/>
    <w:tmpl w:val="5F34CE50"/>
    <w:lvl w:ilvl="0" w:tplc="A1DCEBDA">
      <w:start w:val="1"/>
      <w:numFmt w:val="upperRoman"/>
      <w:pStyle w:val="Nagwek1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15D5D"/>
    <w:multiLevelType w:val="hybridMultilevel"/>
    <w:tmpl w:val="2C18F5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72790"/>
    <w:multiLevelType w:val="hybridMultilevel"/>
    <w:tmpl w:val="EBF83C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65232"/>
    <w:multiLevelType w:val="hybridMultilevel"/>
    <w:tmpl w:val="0C94C5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1470F"/>
    <w:multiLevelType w:val="hybridMultilevel"/>
    <w:tmpl w:val="8D1878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142989"/>
    <w:multiLevelType w:val="hybridMultilevel"/>
    <w:tmpl w:val="71A8971E"/>
    <w:lvl w:ilvl="0" w:tplc="F7E0DD5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3790F"/>
    <w:multiLevelType w:val="hybridMultilevel"/>
    <w:tmpl w:val="2E20E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A1DA5"/>
    <w:multiLevelType w:val="hybridMultilevel"/>
    <w:tmpl w:val="E1C01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00DB8"/>
    <w:multiLevelType w:val="hybridMultilevel"/>
    <w:tmpl w:val="6CC4012C"/>
    <w:lvl w:ilvl="0" w:tplc="14265814">
      <w:start w:val="3"/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030BF"/>
    <w:multiLevelType w:val="hybridMultilevel"/>
    <w:tmpl w:val="9C480C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B3752"/>
    <w:multiLevelType w:val="hybridMultilevel"/>
    <w:tmpl w:val="0B5C0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5175F"/>
    <w:multiLevelType w:val="hybridMultilevel"/>
    <w:tmpl w:val="BF7CA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56FEF"/>
    <w:multiLevelType w:val="hybridMultilevel"/>
    <w:tmpl w:val="06542ADC"/>
    <w:lvl w:ilvl="0" w:tplc="23C6D58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3200515"/>
    <w:multiLevelType w:val="hybridMultilevel"/>
    <w:tmpl w:val="1CD0E26E"/>
    <w:lvl w:ilvl="0" w:tplc="43F44D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22074"/>
    <w:multiLevelType w:val="hybridMultilevel"/>
    <w:tmpl w:val="CFCAF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30F75"/>
    <w:multiLevelType w:val="hybridMultilevel"/>
    <w:tmpl w:val="6326FF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245B71"/>
    <w:multiLevelType w:val="hybridMultilevel"/>
    <w:tmpl w:val="B18E0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5736F"/>
    <w:multiLevelType w:val="hybridMultilevel"/>
    <w:tmpl w:val="7220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835E1"/>
    <w:multiLevelType w:val="hybridMultilevel"/>
    <w:tmpl w:val="6D68B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EA64B3"/>
    <w:multiLevelType w:val="multilevel"/>
    <w:tmpl w:val="87A8C8B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792" w:hanging="5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2822C81"/>
    <w:multiLevelType w:val="hybridMultilevel"/>
    <w:tmpl w:val="1B3040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427BC"/>
    <w:multiLevelType w:val="hybridMultilevel"/>
    <w:tmpl w:val="18CEE29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6310138"/>
    <w:multiLevelType w:val="hybridMultilevel"/>
    <w:tmpl w:val="C87AAB9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7D27E57"/>
    <w:multiLevelType w:val="hybridMultilevel"/>
    <w:tmpl w:val="6D8E5C56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1937400013">
    <w:abstractNumId w:val="15"/>
  </w:num>
  <w:num w:numId="2" w16cid:durableId="45762221">
    <w:abstractNumId w:val="14"/>
  </w:num>
  <w:num w:numId="3" w16cid:durableId="1966621120">
    <w:abstractNumId w:val="0"/>
  </w:num>
  <w:num w:numId="4" w16cid:durableId="267590782">
    <w:abstractNumId w:val="20"/>
  </w:num>
  <w:num w:numId="5" w16cid:durableId="1482959464">
    <w:abstractNumId w:val="13"/>
  </w:num>
  <w:num w:numId="6" w16cid:durableId="334309706">
    <w:abstractNumId w:val="36"/>
  </w:num>
  <w:num w:numId="7" w16cid:durableId="1937207525">
    <w:abstractNumId w:val="7"/>
  </w:num>
  <w:num w:numId="8" w16cid:durableId="1390031719">
    <w:abstractNumId w:val="30"/>
  </w:num>
  <w:num w:numId="9" w16cid:durableId="1012536665">
    <w:abstractNumId w:val="3"/>
  </w:num>
  <w:num w:numId="10" w16cid:durableId="1837452489">
    <w:abstractNumId w:val="37"/>
  </w:num>
  <w:num w:numId="11" w16cid:durableId="672149174">
    <w:abstractNumId w:val="39"/>
  </w:num>
  <w:num w:numId="12" w16cid:durableId="99878111">
    <w:abstractNumId w:val="12"/>
  </w:num>
  <w:num w:numId="13" w16cid:durableId="1326056290">
    <w:abstractNumId w:val="40"/>
  </w:num>
  <w:num w:numId="14" w16cid:durableId="1900168767">
    <w:abstractNumId w:val="8"/>
  </w:num>
  <w:num w:numId="15" w16cid:durableId="1133988316">
    <w:abstractNumId w:val="11"/>
  </w:num>
  <w:num w:numId="16" w16cid:durableId="1933202770">
    <w:abstractNumId w:val="18"/>
  </w:num>
  <w:num w:numId="17" w16cid:durableId="757478802">
    <w:abstractNumId w:val="16"/>
  </w:num>
  <w:num w:numId="18" w16cid:durableId="130556503">
    <w:abstractNumId w:val="21"/>
  </w:num>
  <w:num w:numId="19" w16cid:durableId="1678382566">
    <w:abstractNumId w:val="9"/>
  </w:num>
  <w:num w:numId="20" w16cid:durableId="220210383">
    <w:abstractNumId w:val="17"/>
  </w:num>
  <w:num w:numId="21" w16cid:durableId="758528816">
    <w:abstractNumId w:val="2"/>
  </w:num>
  <w:num w:numId="22" w16cid:durableId="1542552571">
    <w:abstractNumId w:val="29"/>
  </w:num>
  <w:num w:numId="23" w16cid:durableId="387606277">
    <w:abstractNumId w:val="6"/>
  </w:num>
  <w:num w:numId="24" w16cid:durableId="1113284973">
    <w:abstractNumId w:val="34"/>
  </w:num>
  <w:num w:numId="25" w16cid:durableId="2084834076">
    <w:abstractNumId w:val="35"/>
  </w:num>
  <w:num w:numId="26" w16cid:durableId="1539468938">
    <w:abstractNumId w:val="5"/>
  </w:num>
  <w:num w:numId="27" w16cid:durableId="301425112">
    <w:abstractNumId w:val="24"/>
  </w:num>
  <w:num w:numId="28" w16cid:durableId="919411257">
    <w:abstractNumId w:val="10"/>
  </w:num>
  <w:num w:numId="29" w16cid:durableId="7102938">
    <w:abstractNumId w:val="25"/>
  </w:num>
  <w:num w:numId="30" w16cid:durableId="1422333755">
    <w:abstractNumId w:val="33"/>
  </w:num>
  <w:num w:numId="31" w16cid:durableId="586378972">
    <w:abstractNumId w:val="27"/>
  </w:num>
  <w:num w:numId="32" w16cid:durableId="476999828">
    <w:abstractNumId w:val="1"/>
  </w:num>
  <w:num w:numId="33" w16cid:durableId="884755332">
    <w:abstractNumId w:val="26"/>
  </w:num>
  <w:num w:numId="34" w16cid:durableId="200149592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548640261">
    <w:abstractNumId w:val="38"/>
  </w:num>
  <w:num w:numId="36" w16cid:durableId="902837687">
    <w:abstractNumId w:val="28"/>
  </w:num>
  <w:num w:numId="37" w16cid:durableId="1624462776">
    <w:abstractNumId w:val="19"/>
  </w:num>
  <w:num w:numId="38" w16cid:durableId="1923638798">
    <w:abstractNumId w:val="31"/>
  </w:num>
  <w:num w:numId="39" w16cid:durableId="1133135987">
    <w:abstractNumId w:val="4"/>
  </w:num>
  <w:num w:numId="40" w16cid:durableId="775708216">
    <w:abstractNumId w:val="32"/>
  </w:num>
  <w:num w:numId="41" w16cid:durableId="13152534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6E1"/>
    <w:rsid w:val="00000AE9"/>
    <w:rsid w:val="00007F08"/>
    <w:rsid w:val="00015BA2"/>
    <w:rsid w:val="000176D5"/>
    <w:rsid w:val="00025584"/>
    <w:rsid w:val="000679D9"/>
    <w:rsid w:val="00077763"/>
    <w:rsid w:val="000A622B"/>
    <w:rsid w:val="000B1E9E"/>
    <w:rsid w:val="000B493F"/>
    <w:rsid w:val="000C512E"/>
    <w:rsid w:val="000C7672"/>
    <w:rsid w:val="000E719F"/>
    <w:rsid w:val="00106A1C"/>
    <w:rsid w:val="00113844"/>
    <w:rsid w:val="00115AE3"/>
    <w:rsid w:val="00124620"/>
    <w:rsid w:val="001479C1"/>
    <w:rsid w:val="00175E25"/>
    <w:rsid w:val="00180D42"/>
    <w:rsid w:val="00194482"/>
    <w:rsid w:val="001974BE"/>
    <w:rsid w:val="001A5169"/>
    <w:rsid w:val="001B5949"/>
    <w:rsid w:val="00213F16"/>
    <w:rsid w:val="002173D0"/>
    <w:rsid w:val="00271956"/>
    <w:rsid w:val="00280C6B"/>
    <w:rsid w:val="002A0C3A"/>
    <w:rsid w:val="002B4589"/>
    <w:rsid w:val="002B7F32"/>
    <w:rsid w:val="002C7A36"/>
    <w:rsid w:val="002E403B"/>
    <w:rsid w:val="0031344C"/>
    <w:rsid w:val="00317FA8"/>
    <w:rsid w:val="0033481F"/>
    <w:rsid w:val="0034050E"/>
    <w:rsid w:val="003470C2"/>
    <w:rsid w:val="00350477"/>
    <w:rsid w:val="00355A8F"/>
    <w:rsid w:val="00362038"/>
    <w:rsid w:val="00364852"/>
    <w:rsid w:val="003770F8"/>
    <w:rsid w:val="00383FC2"/>
    <w:rsid w:val="00387F32"/>
    <w:rsid w:val="00394C96"/>
    <w:rsid w:val="003C4BA7"/>
    <w:rsid w:val="003D500E"/>
    <w:rsid w:val="004021AE"/>
    <w:rsid w:val="00411796"/>
    <w:rsid w:val="004406EC"/>
    <w:rsid w:val="00443A9F"/>
    <w:rsid w:val="00455589"/>
    <w:rsid w:val="00467927"/>
    <w:rsid w:val="004965BD"/>
    <w:rsid w:val="004D4E7D"/>
    <w:rsid w:val="00506C5A"/>
    <w:rsid w:val="00515B2A"/>
    <w:rsid w:val="00534BF6"/>
    <w:rsid w:val="00555D20"/>
    <w:rsid w:val="00570B17"/>
    <w:rsid w:val="00580798"/>
    <w:rsid w:val="005B2FCB"/>
    <w:rsid w:val="005C0868"/>
    <w:rsid w:val="005C731E"/>
    <w:rsid w:val="005C7DD6"/>
    <w:rsid w:val="005D4913"/>
    <w:rsid w:val="005D6135"/>
    <w:rsid w:val="005F0E56"/>
    <w:rsid w:val="00607A9F"/>
    <w:rsid w:val="00617080"/>
    <w:rsid w:val="0064358D"/>
    <w:rsid w:val="00670784"/>
    <w:rsid w:val="006A6A25"/>
    <w:rsid w:val="006B3810"/>
    <w:rsid w:val="006C2A2B"/>
    <w:rsid w:val="006C2A65"/>
    <w:rsid w:val="006C642B"/>
    <w:rsid w:val="006D2484"/>
    <w:rsid w:val="007061A7"/>
    <w:rsid w:val="007845A5"/>
    <w:rsid w:val="007856E1"/>
    <w:rsid w:val="007941E9"/>
    <w:rsid w:val="007A4753"/>
    <w:rsid w:val="007A7598"/>
    <w:rsid w:val="007D22D2"/>
    <w:rsid w:val="007E1695"/>
    <w:rsid w:val="007E1EAF"/>
    <w:rsid w:val="007E60E0"/>
    <w:rsid w:val="007F3583"/>
    <w:rsid w:val="00815688"/>
    <w:rsid w:val="00832B4F"/>
    <w:rsid w:val="00844D72"/>
    <w:rsid w:val="00852486"/>
    <w:rsid w:val="00857740"/>
    <w:rsid w:val="0089641F"/>
    <w:rsid w:val="008C43D3"/>
    <w:rsid w:val="008D09BA"/>
    <w:rsid w:val="008E1F29"/>
    <w:rsid w:val="00912501"/>
    <w:rsid w:val="009152F2"/>
    <w:rsid w:val="00930B1F"/>
    <w:rsid w:val="00953993"/>
    <w:rsid w:val="009549EC"/>
    <w:rsid w:val="00971B44"/>
    <w:rsid w:val="00974F18"/>
    <w:rsid w:val="00974F37"/>
    <w:rsid w:val="00981E40"/>
    <w:rsid w:val="00997495"/>
    <w:rsid w:val="009979EA"/>
    <w:rsid w:val="009B3B03"/>
    <w:rsid w:val="00A03862"/>
    <w:rsid w:val="00A126AB"/>
    <w:rsid w:val="00A1645E"/>
    <w:rsid w:val="00A217E9"/>
    <w:rsid w:val="00A30ADA"/>
    <w:rsid w:val="00A340B9"/>
    <w:rsid w:val="00A529EF"/>
    <w:rsid w:val="00A5602D"/>
    <w:rsid w:val="00A72F49"/>
    <w:rsid w:val="00A81F8F"/>
    <w:rsid w:val="00A87D41"/>
    <w:rsid w:val="00AA1DED"/>
    <w:rsid w:val="00AB3F47"/>
    <w:rsid w:val="00AF4048"/>
    <w:rsid w:val="00B13684"/>
    <w:rsid w:val="00B21230"/>
    <w:rsid w:val="00B4039A"/>
    <w:rsid w:val="00B7346D"/>
    <w:rsid w:val="00B955ED"/>
    <w:rsid w:val="00BE3D76"/>
    <w:rsid w:val="00C20FA1"/>
    <w:rsid w:val="00C3543D"/>
    <w:rsid w:val="00C434EB"/>
    <w:rsid w:val="00C44088"/>
    <w:rsid w:val="00C808CE"/>
    <w:rsid w:val="00C964EE"/>
    <w:rsid w:val="00CC020C"/>
    <w:rsid w:val="00CC31BF"/>
    <w:rsid w:val="00CE4C99"/>
    <w:rsid w:val="00D038FF"/>
    <w:rsid w:val="00D23F57"/>
    <w:rsid w:val="00D46FAE"/>
    <w:rsid w:val="00D56FEB"/>
    <w:rsid w:val="00DA709E"/>
    <w:rsid w:val="00DC3156"/>
    <w:rsid w:val="00DC77E6"/>
    <w:rsid w:val="00DE1F76"/>
    <w:rsid w:val="00DE5435"/>
    <w:rsid w:val="00DF2986"/>
    <w:rsid w:val="00E008B6"/>
    <w:rsid w:val="00E01647"/>
    <w:rsid w:val="00E04892"/>
    <w:rsid w:val="00E13587"/>
    <w:rsid w:val="00E16CE7"/>
    <w:rsid w:val="00E46BC8"/>
    <w:rsid w:val="00E76262"/>
    <w:rsid w:val="00E816F7"/>
    <w:rsid w:val="00E96580"/>
    <w:rsid w:val="00EA32F6"/>
    <w:rsid w:val="00EC7FBC"/>
    <w:rsid w:val="00EE0A9E"/>
    <w:rsid w:val="00F03730"/>
    <w:rsid w:val="00F05E79"/>
    <w:rsid w:val="00F116F1"/>
    <w:rsid w:val="00F301A2"/>
    <w:rsid w:val="00F30669"/>
    <w:rsid w:val="00F31958"/>
    <w:rsid w:val="00F56D91"/>
    <w:rsid w:val="00F6047C"/>
    <w:rsid w:val="00F77EF5"/>
    <w:rsid w:val="00F852C1"/>
    <w:rsid w:val="00FA1454"/>
    <w:rsid w:val="00FD4787"/>
    <w:rsid w:val="00FE0AA1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A18D6"/>
  <w15:chartTrackingRefBased/>
  <w15:docId w15:val="{EE5CDC6B-387A-471F-9BDD-2C1B7FC2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Akapitzlist"/>
    <w:next w:val="Normalny"/>
    <w:link w:val="Nagwek1Znak"/>
    <w:uiPriority w:val="9"/>
    <w:qFormat/>
    <w:rsid w:val="00515B2A"/>
    <w:pPr>
      <w:numPr>
        <w:numId w:val="20"/>
      </w:numPr>
      <w:tabs>
        <w:tab w:val="num" w:pos="360"/>
      </w:tabs>
      <w:spacing w:before="360"/>
      <w:ind w:firstLine="0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Akapit z listą5,Nagłowek 3,Akapit z listą BS,Kolorowa lista — akcent 11,Dot pt,F5 List Paragraph,Recommendation,List Paragraph11,lp1"/>
    <w:basedOn w:val="Normalny"/>
    <w:link w:val="AkapitzlistZnak"/>
    <w:uiPriority w:val="34"/>
    <w:qFormat/>
    <w:rsid w:val="007F35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0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798"/>
  </w:style>
  <w:style w:type="paragraph" w:styleId="Stopka">
    <w:name w:val="footer"/>
    <w:basedOn w:val="Normalny"/>
    <w:link w:val="StopkaZnak"/>
    <w:uiPriority w:val="99"/>
    <w:unhideWhenUsed/>
    <w:rsid w:val="00580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798"/>
  </w:style>
  <w:style w:type="paragraph" w:styleId="Tekstdymka">
    <w:name w:val="Balloon Text"/>
    <w:basedOn w:val="Normalny"/>
    <w:link w:val="TekstdymkaZnak"/>
    <w:uiPriority w:val="99"/>
    <w:semiHidden/>
    <w:unhideWhenUsed/>
    <w:rsid w:val="00355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A8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77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7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77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7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7763"/>
    <w:rPr>
      <w:b/>
      <w:bCs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Akapit z listą5 Znak,Nagłowek 3 Znak,Akapit z listą BS Znak,Dot pt Znak,lp1 Znak"/>
    <w:link w:val="Akapitzlist"/>
    <w:uiPriority w:val="34"/>
    <w:locked/>
    <w:rsid w:val="00997495"/>
  </w:style>
  <w:style w:type="paragraph" w:customStyle="1" w:styleId="Default">
    <w:name w:val="Default"/>
    <w:rsid w:val="00DF29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15B2A"/>
    <w:rPr>
      <w:b/>
    </w:rPr>
  </w:style>
  <w:style w:type="character" w:styleId="Hipercze">
    <w:name w:val="Hyperlink"/>
    <w:basedOn w:val="Domylnaczcionkaakapitu"/>
    <w:uiPriority w:val="99"/>
    <w:unhideWhenUsed/>
    <w:rsid w:val="007061A7"/>
    <w:rPr>
      <w:color w:val="0000FF"/>
      <w:u w:val="single"/>
    </w:rPr>
  </w:style>
  <w:style w:type="paragraph" w:customStyle="1" w:styleId="gmail-m7337042865320026028bezodstpw1">
    <w:name w:val="gmail-m_7337042865320026028bezodstpw1"/>
    <w:basedOn w:val="Normalny"/>
    <w:rsid w:val="007061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gmail-m7337042865320026028msolistparagraph">
    <w:name w:val="gmail-m_7337042865320026028msolistparagraph"/>
    <w:basedOn w:val="Normalny"/>
    <w:rsid w:val="007061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D4E7D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4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.bip.gov.pl/wstepne-konsultacje-rynkowe/wstepne-konsultacje-rynkowe-kampania-promujaca-e-uslugi-publiczne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premier/pn-2622-realizacja-kampanii-edukacyjno-informacyjnych-na-rzecz-upowszechniania-korzysci-z-technologii-cyfr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8E0A5-DB0F-455B-9D78-C7E2FFA48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1152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Lewandowska Elżbieta</dc:creator>
  <cp:keywords/>
  <dc:description/>
  <cp:lastModifiedBy>Nowak Małgorzata</cp:lastModifiedBy>
  <cp:revision>11</cp:revision>
  <dcterms:created xsi:type="dcterms:W3CDTF">2024-03-22T14:39:00Z</dcterms:created>
  <dcterms:modified xsi:type="dcterms:W3CDTF">2024-03-28T13:41:00Z</dcterms:modified>
</cp:coreProperties>
</file>