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54C22" w14:textId="40482021" w:rsidR="005C262D" w:rsidRPr="00FE4258" w:rsidRDefault="00FD6A5D" w:rsidP="00A91C75">
      <w:pPr>
        <w:pStyle w:val="Standard"/>
        <w:spacing w:after="57" w:line="360" w:lineRule="auto"/>
        <w:jc w:val="center"/>
        <w:rPr>
          <w:rFonts w:asciiTheme="minorHAnsi" w:eastAsia="Calibri" w:hAnsiTheme="minorHAnsi" w:cs="Calibri"/>
          <w:b/>
          <w:color w:val="auto"/>
          <w:sz w:val="40"/>
        </w:rPr>
      </w:pPr>
      <w:r>
        <w:rPr>
          <w:rFonts w:asciiTheme="minorHAnsi" w:eastAsia="Calibri" w:hAnsiTheme="minorHAnsi" w:cs="Calibri"/>
          <w:b/>
          <w:color w:val="auto"/>
          <w:sz w:val="40"/>
        </w:rPr>
        <w:t xml:space="preserve">Inquiry </w:t>
      </w:r>
    </w:p>
    <w:p w14:paraId="5E57D3C0" w14:textId="77777777" w:rsidR="00C0611E" w:rsidRPr="00FE4258" w:rsidRDefault="00FD6A5D" w:rsidP="00A91C75">
      <w:pPr>
        <w:pStyle w:val="Standard"/>
        <w:tabs>
          <w:tab w:val="left" w:pos="1418"/>
        </w:tabs>
        <w:spacing w:after="57" w:line="360" w:lineRule="auto"/>
        <w:jc w:val="center"/>
        <w:rPr>
          <w:rFonts w:asciiTheme="minorHAnsi" w:eastAsia="Calibri" w:hAnsiTheme="minorHAnsi" w:cs="Calibri"/>
          <w:b/>
          <w:color w:val="auto"/>
          <w:sz w:val="28"/>
        </w:rPr>
      </w:pPr>
      <w:r>
        <w:rPr>
          <w:rFonts w:asciiTheme="minorHAnsi" w:eastAsia="Calibri" w:hAnsiTheme="minorHAnsi" w:cs="Calibri"/>
          <w:b/>
          <w:color w:val="auto"/>
          <w:sz w:val="28"/>
        </w:rPr>
        <w:t xml:space="preserve">under the mode of the principle of competitiveness </w:t>
      </w:r>
      <w:bookmarkStart w:id="0" w:name="_Hlk68610280"/>
      <w:bookmarkEnd w:id="0"/>
    </w:p>
    <w:p w14:paraId="133DD0FA" w14:textId="32C58AEE" w:rsidR="00C0611E" w:rsidRPr="00FE4258" w:rsidRDefault="00C0611E" w:rsidP="00A91C75">
      <w:pPr>
        <w:pStyle w:val="Standard"/>
        <w:tabs>
          <w:tab w:val="left" w:pos="1418"/>
        </w:tabs>
        <w:spacing w:after="57" w:line="360" w:lineRule="auto"/>
        <w:jc w:val="center"/>
        <w:rPr>
          <w:rFonts w:asciiTheme="minorHAnsi" w:eastAsia="Calibri" w:hAnsiTheme="minorHAnsi" w:cs="Calibri"/>
          <w:bCs/>
          <w:color w:val="auto"/>
          <w:sz w:val="28"/>
          <w:szCs w:val="28"/>
        </w:rPr>
      </w:pPr>
      <w:r w:rsidRPr="00ED20F1">
        <w:rPr>
          <w:rFonts w:asciiTheme="minorHAnsi" w:eastAsia="Calibri" w:hAnsiTheme="minorHAnsi" w:cs="Calibri"/>
          <w:b/>
          <w:color w:val="auto"/>
          <w:sz w:val="28"/>
        </w:rPr>
        <w:t>for the provision of advisory/consulting services in the field of verification of Intendend Use and Study Synopsis documentation for the purpose of registration of a medical device on the EU, UK and US markets</w:t>
      </w:r>
    </w:p>
    <w:p w14:paraId="20ADA8A8" w14:textId="77777777" w:rsidR="005C262D" w:rsidRPr="00FE4258" w:rsidRDefault="005C262D" w:rsidP="00A91C75">
      <w:pPr>
        <w:pStyle w:val="Standard"/>
        <w:spacing w:after="57" w:line="360" w:lineRule="auto"/>
        <w:jc w:val="both"/>
        <w:rPr>
          <w:rFonts w:asciiTheme="minorHAnsi" w:eastAsia="Calibri" w:hAnsiTheme="minorHAnsi" w:cs="Calibri"/>
          <w:color w:val="auto"/>
        </w:rPr>
      </w:pPr>
    </w:p>
    <w:p w14:paraId="412C001C" w14:textId="77777777" w:rsidR="005C262D" w:rsidRPr="00B04E25" w:rsidRDefault="00FD6A5D" w:rsidP="008008DC">
      <w:pPr>
        <w:pStyle w:val="StylSIWZv3"/>
        <w:numPr>
          <w:ilvl w:val="0"/>
          <w:numId w:val="6"/>
        </w:numPr>
        <w:spacing w:before="0" w:after="57" w:line="360" w:lineRule="auto"/>
        <w:jc w:val="left"/>
        <w:rPr>
          <w:rFonts w:asciiTheme="minorHAnsi" w:hAnsiTheme="minorHAnsi"/>
          <w:color w:val="auto"/>
          <w:lang w:val="pl-PL"/>
        </w:rPr>
      </w:pPr>
      <w:bookmarkStart w:id="1" w:name="_Ref303592567"/>
      <w:bookmarkStart w:id="2" w:name="_Ref302979981"/>
      <w:bookmarkStart w:id="3" w:name="_Toc176243899"/>
      <w:bookmarkStart w:id="4" w:name="_Toc108499774"/>
      <w:bookmarkEnd w:id="1"/>
      <w:bookmarkEnd w:id="2"/>
      <w:bookmarkEnd w:id="3"/>
      <w:bookmarkEnd w:id="4"/>
      <w:r w:rsidRPr="00B04E25">
        <w:rPr>
          <w:rFonts w:asciiTheme="minorHAnsi" w:hAnsiTheme="minorHAnsi"/>
          <w:color w:val="auto"/>
        </w:rPr>
        <w:t>Contracting authority</w:t>
      </w:r>
    </w:p>
    <w:p w14:paraId="500D0C29" w14:textId="77777777" w:rsidR="005C262D" w:rsidRPr="00B04E25" w:rsidRDefault="00FD6A5D" w:rsidP="00A91C75">
      <w:pPr>
        <w:pStyle w:val="Akapitzlist"/>
        <w:numPr>
          <w:ilvl w:val="1"/>
          <w:numId w:val="1"/>
        </w:numPr>
        <w:spacing w:after="57" w:line="360" w:lineRule="auto"/>
        <w:ind w:left="680"/>
        <w:rPr>
          <w:rFonts w:asciiTheme="minorHAnsi" w:hAnsiTheme="minorHAnsi"/>
          <w:color w:val="auto"/>
          <w:sz w:val="24"/>
          <w:szCs w:val="24"/>
          <w:lang w:val="pl-PL"/>
        </w:rPr>
      </w:pPr>
      <w:r w:rsidRPr="00B04E25">
        <w:rPr>
          <w:rFonts w:asciiTheme="minorHAnsi" w:hAnsiTheme="minorHAnsi"/>
          <w:color w:val="auto"/>
          <w:sz w:val="24"/>
          <w:szCs w:val="24"/>
        </w:rPr>
        <w:t>Contracting authority:</w:t>
      </w:r>
    </w:p>
    <w:p w14:paraId="417ED1A2" w14:textId="7B549233" w:rsidR="00D345DD" w:rsidRPr="00B04E25" w:rsidRDefault="002A439D" w:rsidP="00A91C75">
      <w:pPr>
        <w:pStyle w:val="Akapitzlist"/>
        <w:spacing w:after="57" w:line="360" w:lineRule="auto"/>
        <w:ind w:left="680"/>
        <w:rPr>
          <w:color w:val="auto"/>
          <w:sz w:val="24"/>
          <w:szCs w:val="24"/>
          <w:lang w:val="pl-PL"/>
        </w:rPr>
      </w:pPr>
      <w:bookmarkStart w:id="5" w:name="_Hlk518891079"/>
      <w:r w:rsidRPr="00B04E25">
        <w:rPr>
          <w:color w:val="auto"/>
          <w:sz w:val="24"/>
          <w:szCs w:val="24"/>
        </w:rPr>
        <w:t>Urteste S.A.</w:t>
      </w:r>
    </w:p>
    <w:p w14:paraId="1F986081" w14:textId="6E325A8B" w:rsidR="005C262D" w:rsidRPr="00B04E25" w:rsidRDefault="00FD6A5D" w:rsidP="00A91C75">
      <w:pPr>
        <w:pStyle w:val="Akapitzlist"/>
        <w:spacing w:after="57" w:line="360" w:lineRule="auto"/>
        <w:ind w:left="680"/>
        <w:rPr>
          <w:rFonts w:asciiTheme="minorHAnsi" w:hAnsiTheme="minorHAnsi"/>
          <w:color w:val="auto"/>
          <w:sz w:val="24"/>
          <w:szCs w:val="24"/>
          <w:lang w:val="pl-PL"/>
        </w:rPr>
      </w:pPr>
      <w:r w:rsidRPr="00B04E25">
        <w:rPr>
          <w:color w:val="auto"/>
          <w:sz w:val="24"/>
          <w:szCs w:val="24"/>
        </w:rPr>
        <w:t>Starodworska 1</w:t>
      </w:r>
      <w:bookmarkEnd w:id="5"/>
      <w:r w:rsidRPr="00B04E25">
        <w:rPr>
          <w:color w:val="auto"/>
          <w:sz w:val="24"/>
          <w:szCs w:val="24"/>
        </w:rPr>
        <w:br/>
      </w:r>
      <w:r w:rsidR="002A439D" w:rsidRPr="00B04E25">
        <w:rPr>
          <w:color w:val="auto"/>
          <w:sz w:val="24"/>
          <w:szCs w:val="24"/>
        </w:rPr>
        <w:t xml:space="preserve">80-137 Gdansk </w:t>
      </w:r>
    </w:p>
    <w:p w14:paraId="33BB0603" w14:textId="77777777" w:rsidR="005C262D" w:rsidRPr="00FE4258" w:rsidRDefault="00FD6A5D" w:rsidP="00A91C75">
      <w:pPr>
        <w:pStyle w:val="Akapitzlist"/>
        <w:numPr>
          <w:ilvl w:val="1"/>
          <w:numId w:val="1"/>
        </w:numPr>
        <w:spacing w:after="57" w:line="360" w:lineRule="auto"/>
        <w:ind w:left="680"/>
        <w:rPr>
          <w:rFonts w:asciiTheme="minorHAnsi" w:hAnsiTheme="minorHAnsi"/>
          <w:color w:val="auto"/>
          <w:sz w:val="24"/>
          <w:szCs w:val="24"/>
        </w:rPr>
      </w:pPr>
      <w:r w:rsidRPr="00B04E25">
        <w:rPr>
          <w:rFonts w:asciiTheme="minorHAnsi" w:hAnsiTheme="minorHAnsi"/>
          <w:color w:val="auto"/>
          <w:sz w:val="24"/>
          <w:szCs w:val="24"/>
        </w:rPr>
        <w:t>E-mail address for enquiries:</w:t>
      </w:r>
    </w:p>
    <w:p w14:paraId="28E27011" w14:textId="0714DFDC" w:rsidR="005C262D" w:rsidRPr="00FE4258" w:rsidRDefault="00EB290B" w:rsidP="00A91C75">
      <w:pPr>
        <w:pStyle w:val="Akapitzlist"/>
        <w:tabs>
          <w:tab w:val="left" w:pos="5985"/>
        </w:tabs>
        <w:spacing w:after="57" w:line="360" w:lineRule="auto"/>
        <w:ind w:left="680"/>
        <w:rPr>
          <w:rFonts w:asciiTheme="minorHAnsi" w:hAnsiTheme="minorHAnsi"/>
          <w:color w:val="auto"/>
          <w:sz w:val="24"/>
          <w:szCs w:val="24"/>
        </w:rPr>
      </w:pPr>
      <w:r>
        <w:rPr>
          <w:rFonts w:asciiTheme="minorHAnsi" w:hAnsiTheme="minorHAnsi"/>
          <w:color w:val="auto"/>
          <w:sz w:val="24"/>
          <w:szCs w:val="24"/>
        </w:rPr>
        <w:t>All questions regarding the request for proposal should be directed through the Competitiveness Database, i.e. the platform on which the inquiry was published.</w:t>
      </w:r>
      <w:r w:rsidR="00FD6A5D" w:rsidRPr="00B04E25">
        <w:rPr>
          <w:rFonts w:asciiTheme="minorHAnsi" w:hAnsiTheme="minorHAnsi"/>
          <w:color w:val="auto"/>
          <w:sz w:val="24"/>
          <w:szCs w:val="24"/>
        </w:rPr>
        <w:tab/>
      </w:r>
    </w:p>
    <w:p w14:paraId="5621F424" w14:textId="61F0E5AE" w:rsidR="00D345DD" w:rsidRPr="00FE4258" w:rsidRDefault="00FD6A5D" w:rsidP="00A91C75">
      <w:pPr>
        <w:pStyle w:val="Akapitzlist"/>
        <w:numPr>
          <w:ilvl w:val="1"/>
          <w:numId w:val="1"/>
        </w:numPr>
        <w:spacing w:after="57" w:line="360" w:lineRule="auto"/>
        <w:ind w:left="680"/>
        <w:rPr>
          <w:rFonts w:asciiTheme="minorHAnsi" w:hAnsiTheme="minorHAnsi"/>
          <w:color w:val="auto"/>
          <w:sz w:val="24"/>
          <w:szCs w:val="24"/>
        </w:rPr>
      </w:pPr>
      <w:r w:rsidRPr="00B04E25">
        <w:rPr>
          <w:rFonts w:asciiTheme="minorHAnsi" w:hAnsiTheme="minorHAnsi"/>
          <w:color w:val="auto"/>
          <w:sz w:val="24"/>
          <w:szCs w:val="24"/>
        </w:rPr>
        <w:t xml:space="preserve">The contact person for enquiries is Diana Dalka, </w:t>
      </w:r>
    </w:p>
    <w:p w14:paraId="11F200E3" w14:textId="41084DD2" w:rsidR="005C262D" w:rsidRPr="00331E00" w:rsidRDefault="0076616F" w:rsidP="00A91C75">
      <w:pPr>
        <w:pStyle w:val="Akapitzlist"/>
        <w:spacing w:after="57" w:line="360" w:lineRule="auto"/>
        <w:ind w:left="680"/>
        <w:rPr>
          <w:rFonts w:asciiTheme="minorHAnsi" w:hAnsiTheme="minorHAnsi"/>
          <w:color w:val="auto"/>
          <w:sz w:val="24"/>
          <w:szCs w:val="24"/>
        </w:rPr>
      </w:pPr>
      <w:r>
        <w:rPr>
          <w:rFonts w:asciiTheme="minorHAnsi" w:hAnsiTheme="minorHAnsi"/>
          <w:color w:val="auto"/>
          <w:sz w:val="24"/>
          <w:szCs w:val="24"/>
        </w:rPr>
        <w:t>Mobile</w:t>
      </w:r>
      <w:r w:rsidR="00FD6A5D" w:rsidRPr="00331E00">
        <w:rPr>
          <w:rFonts w:asciiTheme="minorHAnsi" w:hAnsiTheme="minorHAnsi"/>
          <w:color w:val="auto"/>
          <w:sz w:val="24"/>
          <w:szCs w:val="24"/>
        </w:rPr>
        <w:t xml:space="preserve"> +48 780-710-676, Diana.Dalka@</w:t>
      </w:r>
      <w:r w:rsidR="005108B2">
        <w:rPr>
          <w:rFonts w:asciiTheme="minorHAnsi" w:hAnsiTheme="minorHAnsi"/>
          <w:color w:val="auto"/>
          <w:sz w:val="24"/>
          <w:szCs w:val="24"/>
        </w:rPr>
        <w:t>urteste.eu</w:t>
      </w:r>
      <w:r w:rsidR="00FD6A5D" w:rsidRPr="00331E00">
        <w:rPr>
          <w:rFonts w:asciiTheme="minorHAnsi" w:hAnsiTheme="minorHAnsi"/>
          <w:color w:val="auto"/>
          <w:sz w:val="24"/>
          <w:szCs w:val="24"/>
        </w:rPr>
        <w:t>.</w:t>
      </w:r>
    </w:p>
    <w:p w14:paraId="0C18CD99" w14:textId="77777777" w:rsidR="005C262D" w:rsidRPr="00331E00" w:rsidRDefault="005C262D" w:rsidP="00A91C75">
      <w:pPr>
        <w:pStyle w:val="Standard"/>
        <w:spacing w:after="57" w:line="360" w:lineRule="auto"/>
        <w:rPr>
          <w:rFonts w:asciiTheme="minorHAnsi" w:eastAsia="Calibri" w:hAnsiTheme="minorHAnsi" w:cs="Calibri"/>
          <w:color w:val="auto"/>
          <w:highlight w:val="yellow"/>
        </w:rPr>
      </w:pPr>
    </w:p>
    <w:p w14:paraId="2F64DA50" w14:textId="6A442F6C" w:rsidR="0080607F" w:rsidRPr="00FE4258" w:rsidRDefault="00FD6A5D" w:rsidP="008008DC">
      <w:pPr>
        <w:pStyle w:val="StylSIWZv3"/>
        <w:numPr>
          <w:ilvl w:val="0"/>
          <w:numId w:val="6"/>
        </w:numPr>
        <w:spacing w:before="0" w:after="57" w:line="360" w:lineRule="auto"/>
        <w:jc w:val="left"/>
        <w:rPr>
          <w:rFonts w:asciiTheme="minorHAnsi" w:hAnsiTheme="minorHAnsi"/>
          <w:color w:val="auto"/>
        </w:rPr>
      </w:pPr>
      <w:r w:rsidRPr="008A7B0A">
        <w:rPr>
          <w:rFonts w:asciiTheme="minorHAnsi" w:hAnsiTheme="minorHAnsi"/>
          <w:color w:val="auto"/>
        </w:rPr>
        <w:t>Subject and deadline of the order</w:t>
      </w:r>
    </w:p>
    <w:p w14:paraId="6A7F4779" w14:textId="7CF630B8" w:rsidR="0080607F" w:rsidRPr="00FE4258" w:rsidRDefault="00FD6A5D" w:rsidP="008008DC">
      <w:pPr>
        <w:pStyle w:val="StylSIWZv3"/>
        <w:numPr>
          <w:ilvl w:val="1"/>
          <w:numId w:val="6"/>
        </w:numPr>
        <w:spacing w:before="0" w:after="57" w:line="360" w:lineRule="auto"/>
        <w:jc w:val="left"/>
        <w:rPr>
          <w:rFonts w:asciiTheme="minorHAnsi" w:hAnsiTheme="minorHAnsi"/>
          <w:b w:val="0"/>
          <w:bCs/>
          <w:color w:val="auto"/>
        </w:rPr>
      </w:pPr>
      <w:r w:rsidRPr="00670DF4">
        <w:rPr>
          <w:rFonts w:asciiTheme="minorHAnsi" w:hAnsiTheme="minorHAnsi"/>
          <w:b w:val="0"/>
          <w:bCs/>
          <w:color w:val="auto"/>
        </w:rPr>
        <w:t xml:space="preserve">The subject of the contract is an advisory / consulting service in the field of substantive and regulatory verification of two medical writing documents: </w:t>
      </w:r>
    </w:p>
    <w:p w14:paraId="041D3FD7" w14:textId="77777777" w:rsidR="00670DF4" w:rsidRPr="00FE4258" w:rsidRDefault="00325215" w:rsidP="008008DC">
      <w:pPr>
        <w:pStyle w:val="Akapitzlist"/>
        <w:numPr>
          <w:ilvl w:val="0"/>
          <w:numId w:val="10"/>
        </w:numPr>
        <w:spacing w:afterLines="57" w:after="136" w:line="360" w:lineRule="auto"/>
        <w:rPr>
          <w:rFonts w:asciiTheme="minorHAnsi" w:hAnsiTheme="minorHAnsi"/>
          <w:color w:val="auto"/>
          <w:sz w:val="24"/>
          <w:szCs w:val="24"/>
        </w:rPr>
      </w:pPr>
      <w:r w:rsidRPr="008E50D4">
        <w:rPr>
          <w:rFonts w:asciiTheme="minorHAnsi" w:hAnsiTheme="minorHAnsi"/>
          <w:color w:val="auto"/>
        </w:rPr>
        <w:t>"</w:t>
      </w:r>
      <w:r w:rsidR="00144CD7" w:rsidRPr="00331E00">
        <w:rPr>
          <w:rFonts w:asciiTheme="minorHAnsi" w:hAnsiTheme="minorHAnsi"/>
          <w:color w:val="auto"/>
          <w:sz w:val="24"/>
          <w:szCs w:val="24"/>
        </w:rPr>
        <w:t>Intendend Use" for a medical device - in vitro diagnostic test for pancreatic cancer, the purpose of which is to start the process of certification and registration of the device on the US, UK and EU markets.</w:t>
      </w:r>
    </w:p>
    <w:p w14:paraId="1EADEBB2" w14:textId="37294422" w:rsidR="00144CD7" w:rsidRPr="00FE4258" w:rsidRDefault="00144CD7" w:rsidP="008008DC">
      <w:pPr>
        <w:pStyle w:val="Akapitzlist"/>
        <w:numPr>
          <w:ilvl w:val="0"/>
          <w:numId w:val="10"/>
        </w:numPr>
        <w:spacing w:afterLines="57" w:after="136" w:line="360" w:lineRule="auto"/>
        <w:rPr>
          <w:rFonts w:asciiTheme="minorHAnsi" w:hAnsiTheme="minorHAnsi"/>
          <w:color w:val="auto"/>
          <w:sz w:val="24"/>
          <w:szCs w:val="24"/>
        </w:rPr>
      </w:pPr>
      <w:r w:rsidRPr="00CB68E1">
        <w:rPr>
          <w:rFonts w:asciiTheme="minorHAnsi" w:hAnsiTheme="minorHAnsi"/>
          <w:color w:val="auto"/>
          <w:sz w:val="24"/>
          <w:szCs w:val="24"/>
        </w:rPr>
        <w:t>"Study Synopsis" for a clinical performance study for an in vitro pancreatic cancer assay conducted multisite in the US, UK and EU. The clinical trial referred to above is a</w:t>
      </w:r>
      <w:r w:rsidR="00D17BF1">
        <w:rPr>
          <w:rFonts w:asciiTheme="minorHAnsi" w:hAnsiTheme="minorHAnsi"/>
          <w:color w:val="auto"/>
          <w:sz w:val="24"/>
          <w:szCs w:val="24"/>
        </w:rPr>
        <w:t xml:space="preserve"> </w:t>
      </w:r>
      <w:r w:rsidRPr="00CB68E1">
        <w:rPr>
          <w:rFonts w:asciiTheme="minorHAnsi" w:hAnsiTheme="minorHAnsi"/>
          <w:color w:val="auto"/>
          <w:sz w:val="24"/>
          <w:szCs w:val="24"/>
        </w:rPr>
        <w:t>registration study.</w:t>
      </w:r>
    </w:p>
    <w:p w14:paraId="540240AF" w14:textId="07EBCDBF" w:rsidR="00C576DA" w:rsidRPr="00FE4258" w:rsidRDefault="004B51D9" w:rsidP="00C576DA">
      <w:pPr>
        <w:spacing w:afterLines="57" w:after="136" w:line="360" w:lineRule="auto"/>
        <w:ind w:left="851"/>
        <w:rPr>
          <w:rFonts w:asciiTheme="minorHAnsi" w:eastAsia="Calibri" w:hAnsiTheme="minorHAnsi" w:cs="Calibri"/>
          <w:b/>
          <w:bCs/>
          <w:color w:val="auto"/>
        </w:rPr>
      </w:pPr>
      <w:r w:rsidRPr="00CB68E1">
        <w:rPr>
          <w:rFonts w:asciiTheme="minorHAnsi" w:hAnsiTheme="minorHAnsi"/>
          <w:b/>
          <w:bCs/>
          <w:color w:val="auto"/>
        </w:rPr>
        <w:t>The direct effect of the service is to be the creation of the final version of the above-</w:t>
      </w:r>
      <w:r w:rsidRPr="00CB68E1">
        <w:rPr>
          <w:rFonts w:asciiTheme="minorHAnsi" w:hAnsiTheme="minorHAnsi"/>
          <w:b/>
          <w:bCs/>
          <w:color w:val="auto"/>
        </w:rPr>
        <w:lastRenderedPageBreak/>
        <w:t xml:space="preserve">mentioned documents, enabling </w:t>
      </w:r>
      <w:r w:rsidR="00C576DA" w:rsidRPr="00CB68E1">
        <w:rPr>
          <w:rFonts w:asciiTheme="minorHAnsi" w:eastAsia="Calibri" w:hAnsiTheme="minorHAnsi" w:cs="Calibri"/>
          <w:b/>
          <w:bCs/>
          <w:color w:val="auto"/>
        </w:rPr>
        <w:t>the Ordering Party to carry out the correct and effective certification and registration of a medical device for in vitro diagnostics of pancreatic cancer on the American (USA), English (UK) and European (EU) markets.</w:t>
      </w:r>
    </w:p>
    <w:p w14:paraId="797987F4" w14:textId="70108BBA" w:rsidR="00FA667E" w:rsidRPr="00FE4258" w:rsidRDefault="006660A9" w:rsidP="00CB68E1">
      <w:pPr>
        <w:widowControl/>
        <w:suppressAutoHyphens w:val="0"/>
        <w:autoSpaceDN/>
        <w:spacing w:afterLines="57" w:after="136" w:line="360" w:lineRule="auto"/>
        <w:ind w:left="851"/>
        <w:jc w:val="both"/>
        <w:textAlignment w:val="auto"/>
        <w:rPr>
          <w:rFonts w:asciiTheme="minorHAnsi" w:hAnsiTheme="minorHAnsi"/>
          <w:color w:val="auto"/>
        </w:rPr>
      </w:pPr>
      <w:r w:rsidRPr="00117799">
        <w:rPr>
          <w:rFonts w:asciiTheme="minorHAnsi" w:eastAsia="Calibri" w:hAnsiTheme="minorHAnsi" w:cs="Calibri"/>
          <w:color w:val="auto"/>
        </w:rPr>
        <w:t>The selected Contractor, i.e. after signing a contract for the provision of the service with the Contracting Authority, will be obliged to familiarize itself with the results of the research to date, plan, verify, develop and deliver two documents: "Intendend Use" and "Study Synopsis" along with statistical analysis (calculations of the sample size), expert assessment in terms of content, regulatory and clinical aspects.</w:t>
      </w:r>
    </w:p>
    <w:p w14:paraId="104E8A7A" w14:textId="189F44A6" w:rsidR="00730F7B" w:rsidRPr="00FE4258" w:rsidRDefault="00FA667E" w:rsidP="00CB68E1">
      <w:pPr>
        <w:spacing w:afterLines="57" w:after="136" w:line="360" w:lineRule="auto"/>
        <w:ind w:left="851"/>
        <w:jc w:val="both"/>
        <w:rPr>
          <w:rFonts w:asciiTheme="minorHAnsi" w:eastAsia="Calibri" w:hAnsiTheme="minorHAnsi" w:cs="Calibri"/>
          <w:color w:val="auto"/>
        </w:rPr>
      </w:pPr>
      <w:r w:rsidRPr="00117799">
        <w:rPr>
          <w:rFonts w:asciiTheme="minorHAnsi" w:eastAsia="Calibri" w:hAnsiTheme="minorHAnsi" w:cs="Calibri"/>
          <w:color w:val="auto"/>
        </w:rPr>
        <w:t>The execution of the order should take into account all legal and regulatory standards in the USA, UK and EU.</w:t>
      </w:r>
    </w:p>
    <w:p w14:paraId="3E53D82F" w14:textId="16831C3D" w:rsidR="00FA667E" w:rsidRPr="00FE4258" w:rsidRDefault="007A782E" w:rsidP="00CB68E1">
      <w:pPr>
        <w:widowControl/>
        <w:suppressAutoHyphens w:val="0"/>
        <w:autoSpaceDN/>
        <w:spacing w:afterLines="57" w:after="136" w:line="360" w:lineRule="auto"/>
        <w:ind w:left="851"/>
        <w:jc w:val="both"/>
        <w:textAlignment w:val="auto"/>
        <w:rPr>
          <w:rFonts w:asciiTheme="minorHAnsi" w:eastAsia="Calibri" w:hAnsiTheme="minorHAnsi" w:cs="Calibri"/>
          <w:color w:val="auto"/>
        </w:rPr>
      </w:pPr>
      <w:r w:rsidRPr="00FA667E">
        <w:rPr>
          <w:rFonts w:asciiTheme="minorHAnsi" w:eastAsia="Calibri" w:hAnsiTheme="minorHAnsi" w:cs="Calibri"/>
          <w:b/>
          <w:bCs/>
          <w:color w:val="auto"/>
        </w:rPr>
        <w:t>Due to the need to protect trade secrets, a detailed description of the project under which the above-mentioned service is provided will be made available to the potential Tenderer after handing over the signed NDA to the Contracting Authority</w:t>
      </w:r>
      <w:r w:rsidRPr="007A782E">
        <w:rPr>
          <w:rFonts w:asciiTheme="minorHAnsi" w:eastAsia="Calibri" w:hAnsiTheme="minorHAnsi" w:cs="Calibri"/>
          <w:color w:val="auto"/>
        </w:rPr>
        <w:t xml:space="preserve"> (Appendix No. 3 to the announcement). A potential Bidder who undertakes confidentiality will be provided with documents necessary for the estimation of remuneration m.in test results, regulatory issues or feedback from the FDA.</w:t>
      </w:r>
    </w:p>
    <w:p w14:paraId="7E52D26B" w14:textId="30438027" w:rsidR="005C262D" w:rsidRPr="00FE4258" w:rsidRDefault="00FD6A5D" w:rsidP="008008DC">
      <w:pPr>
        <w:pStyle w:val="Akapitzlist"/>
        <w:numPr>
          <w:ilvl w:val="1"/>
          <w:numId w:val="6"/>
        </w:numPr>
        <w:spacing w:after="57" w:line="360" w:lineRule="auto"/>
        <w:rPr>
          <w:rFonts w:asciiTheme="minorHAnsi" w:hAnsiTheme="minorHAnsi"/>
          <w:color w:val="auto"/>
          <w:sz w:val="24"/>
          <w:szCs w:val="24"/>
        </w:rPr>
      </w:pPr>
      <w:r w:rsidRPr="00443CE7">
        <w:rPr>
          <w:rFonts w:asciiTheme="minorHAnsi" w:hAnsiTheme="minorHAnsi"/>
          <w:color w:val="auto"/>
          <w:sz w:val="24"/>
          <w:szCs w:val="24"/>
        </w:rPr>
        <w:t>Place of performance of the contract: the place of business of the tenderer. The result of the service will be forwarded to the Ordering Party in Gdańsk.</w:t>
      </w:r>
    </w:p>
    <w:p w14:paraId="138DF381" w14:textId="77777777" w:rsidR="00325E6A" w:rsidRDefault="00F404D5" w:rsidP="00325E6A">
      <w:pPr>
        <w:pStyle w:val="Akapitzlist"/>
        <w:numPr>
          <w:ilvl w:val="1"/>
          <w:numId w:val="6"/>
        </w:numPr>
        <w:spacing w:after="57" w:line="360" w:lineRule="auto"/>
        <w:rPr>
          <w:rFonts w:asciiTheme="minorHAnsi" w:hAnsiTheme="minorHAnsi"/>
          <w:color w:val="auto"/>
          <w:sz w:val="24"/>
          <w:szCs w:val="24"/>
        </w:rPr>
      </w:pPr>
      <w:r>
        <w:rPr>
          <w:rFonts w:asciiTheme="minorHAnsi" w:hAnsiTheme="minorHAnsi"/>
          <w:color w:val="auto"/>
          <w:sz w:val="24"/>
          <w:szCs w:val="24"/>
        </w:rPr>
        <w:t xml:space="preserve">Order completion date: </w:t>
      </w:r>
      <w:r w:rsidRPr="00357138">
        <w:rPr>
          <w:rFonts w:asciiTheme="minorHAnsi" w:hAnsiTheme="minorHAnsi"/>
          <w:b/>
          <w:bCs/>
          <w:color w:val="auto"/>
          <w:sz w:val="24"/>
          <w:szCs w:val="24"/>
        </w:rPr>
        <w:t>by 31.05.2024 at the latest</w:t>
      </w:r>
      <w:r>
        <w:rPr>
          <w:rFonts w:asciiTheme="minorHAnsi" w:hAnsiTheme="minorHAnsi"/>
          <w:color w:val="auto"/>
          <w:sz w:val="24"/>
          <w:szCs w:val="24"/>
        </w:rPr>
        <w:t>. Within the specified period, the contractor is obliged to provide the Contracting Authority with the subject matter of the contract, i.e. the final versions of both documents listed in point II.1.</w:t>
      </w:r>
    </w:p>
    <w:p w14:paraId="225D00D4" w14:textId="6FFD1E6F" w:rsidR="000E4EC0" w:rsidRPr="00325E6A" w:rsidRDefault="00FD6A5D" w:rsidP="00325E6A">
      <w:pPr>
        <w:pStyle w:val="Akapitzlist"/>
        <w:numPr>
          <w:ilvl w:val="1"/>
          <w:numId w:val="6"/>
        </w:numPr>
        <w:spacing w:after="57" w:line="360" w:lineRule="auto"/>
        <w:rPr>
          <w:rFonts w:asciiTheme="minorHAnsi" w:hAnsiTheme="minorHAnsi"/>
          <w:color w:val="auto"/>
          <w:sz w:val="24"/>
          <w:szCs w:val="24"/>
        </w:rPr>
      </w:pPr>
      <w:r w:rsidRPr="00325E6A">
        <w:rPr>
          <w:rFonts w:asciiTheme="minorHAnsi" w:hAnsiTheme="minorHAnsi"/>
          <w:color w:val="auto"/>
        </w:rPr>
        <w:t xml:space="preserve">Name and code describing the subject matter of the contract as defined in the Common Procurement Vocabulary </w:t>
      </w:r>
      <w:r w:rsidR="000E4EC0" w:rsidRPr="00331E00">
        <w:t>(CPV): 73000000 – Research and experimental development services and related advisory services</w:t>
      </w:r>
      <w:r w:rsidR="00633F06">
        <w:t>, 73</w:t>
      </w:r>
      <w:r w:rsidR="00A51269">
        <w:t xml:space="preserve">210000-7 </w:t>
      </w:r>
      <w:r w:rsidR="008003BD">
        <w:t xml:space="preserve">- </w:t>
      </w:r>
      <w:r w:rsidR="008003BD" w:rsidRPr="00325E6A">
        <w:rPr>
          <w:rFonts w:ascii="Segoe UI" w:eastAsia="Times New Roman" w:hAnsi="Segoe UI" w:cs="Segoe UI"/>
          <w:kern w:val="0"/>
          <w:sz w:val="21"/>
          <w:szCs w:val="21"/>
          <w:lang w:val="en" w:eastAsia="pl-PL"/>
        </w:rPr>
        <w:t xml:space="preserve">Research </w:t>
      </w:r>
      <w:r w:rsidR="008003BD" w:rsidRPr="00325E6A">
        <w:rPr>
          <w:rFonts w:asciiTheme="minorHAnsi" w:hAnsiTheme="minorHAnsi"/>
          <w:color w:val="auto"/>
        </w:rPr>
        <w:t>Consulting Services</w:t>
      </w:r>
      <w:r w:rsidR="00325E6A">
        <w:rPr>
          <w:rFonts w:ascii="Segoe UI" w:eastAsia="Times New Roman" w:hAnsi="Segoe UI" w:cs="Segoe UI"/>
          <w:kern w:val="0"/>
          <w:sz w:val="21"/>
          <w:szCs w:val="21"/>
          <w:lang w:val="en" w:eastAsia="pl-PL"/>
        </w:rPr>
        <w:t>.</w:t>
      </w:r>
    </w:p>
    <w:p w14:paraId="5E10F9DB" w14:textId="77777777" w:rsidR="003B33DF" w:rsidRPr="00FE4258" w:rsidRDefault="00FD6A5D" w:rsidP="003B33DF">
      <w:pPr>
        <w:pStyle w:val="Akapitzlist"/>
        <w:numPr>
          <w:ilvl w:val="1"/>
          <w:numId w:val="6"/>
        </w:numPr>
        <w:spacing w:after="57" w:line="360" w:lineRule="auto"/>
        <w:rPr>
          <w:rFonts w:asciiTheme="minorHAnsi" w:hAnsiTheme="minorHAnsi"/>
          <w:color w:val="auto"/>
          <w:sz w:val="24"/>
          <w:szCs w:val="24"/>
        </w:rPr>
      </w:pPr>
      <w:r w:rsidRPr="003B33DF">
        <w:rPr>
          <w:rFonts w:asciiTheme="minorHAnsi" w:hAnsiTheme="minorHAnsi"/>
          <w:color w:val="auto"/>
          <w:sz w:val="24"/>
          <w:szCs w:val="24"/>
        </w:rPr>
        <w:t>The tenderer is obliged to perform all services resulting from the request for proposal, including its attachments.</w:t>
      </w:r>
    </w:p>
    <w:p w14:paraId="128A5F0A" w14:textId="7F91C2B4" w:rsidR="00A91C75" w:rsidRPr="00D17BF1" w:rsidRDefault="00FD6A5D" w:rsidP="003B33DF">
      <w:pPr>
        <w:pStyle w:val="Akapitzlist"/>
        <w:numPr>
          <w:ilvl w:val="1"/>
          <w:numId w:val="6"/>
        </w:numPr>
        <w:spacing w:after="57" w:line="360" w:lineRule="auto"/>
        <w:rPr>
          <w:rFonts w:asciiTheme="minorHAnsi" w:hAnsiTheme="minorHAnsi"/>
          <w:color w:val="auto"/>
          <w:sz w:val="24"/>
          <w:szCs w:val="24"/>
        </w:rPr>
      </w:pPr>
      <w:r w:rsidRPr="00D17BF1">
        <w:rPr>
          <w:rFonts w:asciiTheme="minorHAnsi" w:hAnsiTheme="minorHAnsi"/>
          <w:color w:val="auto"/>
          <w:sz w:val="24"/>
          <w:szCs w:val="24"/>
        </w:rPr>
        <w:t>The Agreement shall be concluded immediately after the selection of the most advantageous offer, within the time limit set by the Contracting Authority.</w:t>
      </w:r>
    </w:p>
    <w:p w14:paraId="6E74013F" w14:textId="77777777" w:rsidR="003B33DF" w:rsidRPr="00FE4258" w:rsidRDefault="003B33DF" w:rsidP="003B33DF">
      <w:pPr>
        <w:spacing w:after="57" w:line="360" w:lineRule="auto"/>
        <w:ind w:left="567"/>
        <w:rPr>
          <w:rFonts w:asciiTheme="minorHAnsi" w:hAnsiTheme="minorHAnsi"/>
          <w:color w:val="auto"/>
        </w:rPr>
      </w:pPr>
    </w:p>
    <w:p w14:paraId="6622F19F" w14:textId="77777777" w:rsidR="005C262D" w:rsidRPr="00FE4258" w:rsidRDefault="00FD6A5D" w:rsidP="008008DC">
      <w:pPr>
        <w:pStyle w:val="StylSIWZv3"/>
        <w:numPr>
          <w:ilvl w:val="0"/>
          <w:numId w:val="6"/>
        </w:numPr>
        <w:spacing w:before="0" w:after="57" w:line="360" w:lineRule="auto"/>
        <w:jc w:val="left"/>
        <w:rPr>
          <w:rFonts w:asciiTheme="minorHAnsi" w:hAnsiTheme="minorHAnsi"/>
          <w:color w:val="auto"/>
        </w:rPr>
      </w:pPr>
      <w:r w:rsidRPr="00CF4164">
        <w:rPr>
          <w:rFonts w:asciiTheme="minorHAnsi" w:hAnsiTheme="minorHAnsi"/>
          <w:color w:val="auto"/>
        </w:rPr>
        <w:lastRenderedPageBreak/>
        <w:t>Basis of the inquiry and the possibility of change</w:t>
      </w:r>
    </w:p>
    <w:p w14:paraId="659C5366" w14:textId="14780DDB" w:rsidR="005C262D" w:rsidRPr="00FE4258" w:rsidRDefault="00FD6A5D" w:rsidP="008008DC">
      <w:pPr>
        <w:pStyle w:val="Standard"/>
        <w:numPr>
          <w:ilvl w:val="1"/>
          <w:numId w:val="6"/>
        </w:numPr>
        <w:spacing w:after="57" w:line="360" w:lineRule="auto"/>
        <w:rPr>
          <w:rFonts w:asciiTheme="minorHAnsi" w:eastAsia="Calibri" w:hAnsiTheme="minorHAnsi" w:cs="Calibri"/>
          <w:color w:val="auto"/>
        </w:rPr>
      </w:pPr>
      <w:r w:rsidRPr="00CF4164">
        <w:rPr>
          <w:rFonts w:asciiTheme="minorHAnsi" w:eastAsia="Calibri" w:hAnsiTheme="minorHAnsi" w:cs="Calibri"/>
          <w:color w:val="auto"/>
        </w:rPr>
        <w:t>The request for proposal is carried out in accordance with the principle of competitiveness in accordance with the Guidelines on the eligibility of expenditure for the years 2021-2027.</w:t>
      </w:r>
    </w:p>
    <w:p w14:paraId="39386CD0" w14:textId="77777777" w:rsidR="005C262D" w:rsidRPr="00FE4258" w:rsidRDefault="00FD6A5D" w:rsidP="008008DC">
      <w:pPr>
        <w:pStyle w:val="Standard"/>
        <w:numPr>
          <w:ilvl w:val="1"/>
          <w:numId w:val="6"/>
        </w:numPr>
        <w:spacing w:after="57" w:line="360" w:lineRule="auto"/>
        <w:rPr>
          <w:rFonts w:asciiTheme="minorHAnsi" w:eastAsia="Calibri" w:hAnsiTheme="minorHAnsi" w:cs="Calibri"/>
          <w:color w:val="auto"/>
        </w:rPr>
      </w:pPr>
      <w:r w:rsidRPr="00CF4164">
        <w:rPr>
          <w:rFonts w:asciiTheme="minorHAnsi" w:eastAsia="Calibri" w:hAnsiTheme="minorHAnsi" w:cs="Calibri"/>
          <w:color w:val="auto"/>
        </w:rPr>
        <w:t>The provisions of the Public Procurement Law do not apply to the inquiry.</w:t>
      </w:r>
    </w:p>
    <w:p w14:paraId="44B32B99" w14:textId="77777777" w:rsidR="005C262D" w:rsidRPr="00FE4258" w:rsidRDefault="00FD6A5D" w:rsidP="008008DC">
      <w:pPr>
        <w:pStyle w:val="Standard"/>
        <w:numPr>
          <w:ilvl w:val="1"/>
          <w:numId w:val="6"/>
        </w:numPr>
        <w:spacing w:after="57" w:line="360" w:lineRule="auto"/>
        <w:rPr>
          <w:color w:val="auto"/>
        </w:rPr>
      </w:pPr>
      <w:r w:rsidRPr="00CF4164">
        <w:rPr>
          <w:rFonts w:eastAsia="Calibri" w:cs="Calibri"/>
          <w:color w:val="auto"/>
        </w:rPr>
        <w:t xml:space="preserve">The request for proposal has been published in the Competitiveness Database: </w:t>
      </w:r>
      <w:r w:rsidRPr="00CF4164">
        <w:t>https://bazakonkurencyjnosci.funduszeeuropejskie.gov.pl/</w:t>
      </w:r>
    </w:p>
    <w:p w14:paraId="289C63BA" w14:textId="67FAFABF" w:rsidR="005C262D" w:rsidRPr="00FE4258" w:rsidRDefault="00FD6A5D" w:rsidP="008008DC">
      <w:pPr>
        <w:pStyle w:val="Standard"/>
        <w:numPr>
          <w:ilvl w:val="1"/>
          <w:numId w:val="6"/>
        </w:numPr>
        <w:spacing w:after="57" w:line="360" w:lineRule="auto"/>
        <w:rPr>
          <w:rFonts w:asciiTheme="minorHAnsi" w:eastAsia="Calibri" w:hAnsiTheme="minorHAnsi" w:cs="Calibri"/>
          <w:color w:val="auto"/>
        </w:rPr>
      </w:pPr>
      <w:r w:rsidRPr="00CF4164">
        <w:rPr>
          <w:rFonts w:asciiTheme="minorHAnsi" w:eastAsia="Calibri" w:hAnsiTheme="minorHAnsi" w:cs="Calibri"/>
          <w:color w:val="auto"/>
        </w:rPr>
        <w:t xml:space="preserve">In case of doubt, the tenderer may ask the contracting authority a question in order to clarify the content of the request for proposal by sending it via the inquiry page in the Competitiveness Database. </w:t>
      </w:r>
      <w:r w:rsidR="006C09E8" w:rsidRPr="00F404D5">
        <w:t>The Contracting Authority will answer all questions no later than 48 hours before the deadline for submission of tenders. The Contracting Authority reserves that questions sent less than 48 hours before the deadline for submission of offers may remain unanswered.</w:t>
      </w:r>
    </w:p>
    <w:p w14:paraId="12AA9391" w14:textId="77777777" w:rsidR="005C262D" w:rsidRPr="00FE4258" w:rsidRDefault="00FD6A5D" w:rsidP="008008DC">
      <w:pPr>
        <w:pStyle w:val="Standard"/>
        <w:numPr>
          <w:ilvl w:val="1"/>
          <w:numId w:val="6"/>
        </w:numPr>
        <w:spacing w:after="57" w:line="360" w:lineRule="auto"/>
        <w:rPr>
          <w:rFonts w:asciiTheme="minorHAnsi" w:eastAsia="Calibri" w:hAnsiTheme="minorHAnsi" w:cs="Calibri"/>
          <w:color w:val="auto"/>
        </w:rPr>
      </w:pPr>
      <w:r w:rsidRPr="00CF4164">
        <w:rPr>
          <w:rFonts w:asciiTheme="minorHAnsi" w:eastAsia="Calibri" w:hAnsiTheme="minorHAnsi" w:cs="Calibri"/>
          <w:color w:val="auto"/>
        </w:rPr>
        <w:t>The Contracting Authority may modify the content of the request for proposal, in particular due to the need to remove defects in the inquiry, adapt the request to the requirements of generally applicable law or other regulations binding on the Contracting Authority, and if it turns out to be necessary for the proper implementation of the project or the subject of the inquiry (in particular, due to the appropriate quality of the performance of the subject of the inquiry and its compliance with the objectives of the project).</w:t>
      </w:r>
    </w:p>
    <w:p w14:paraId="34EBCF9C" w14:textId="77777777" w:rsidR="005C262D" w:rsidRPr="00FE4258" w:rsidRDefault="00FD6A5D" w:rsidP="008008DC">
      <w:pPr>
        <w:pStyle w:val="Standard"/>
        <w:numPr>
          <w:ilvl w:val="1"/>
          <w:numId w:val="6"/>
        </w:numPr>
        <w:spacing w:after="57" w:line="360" w:lineRule="auto"/>
        <w:rPr>
          <w:rFonts w:asciiTheme="minorHAnsi" w:eastAsia="Calibri" w:hAnsiTheme="minorHAnsi" w:cs="Calibri"/>
          <w:color w:val="auto"/>
        </w:rPr>
      </w:pPr>
      <w:r w:rsidRPr="00CF4164">
        <w:rPr>
          <w:rFonts w:asciiTheme="minorHAnsi" w:eastAsia="Calibri" w:hAnsiTheme="minorHAnsi" w:cs="Calibri"/>
          <w:color w:val="auto"/>
        </w:rPr>
        <w:t>In the event of modifications to the content of the inquiry, the deadline for submission of offers will be extended, if it is necessary due to the scope or timing of the changes to be introduced.</w:t>
      </w:r>
    </w:p>
    <w:p w14:paraId="55885469" w14:textId="77777777" w:rsidR="005C262D" w:rsidRPr="00FE4258" w:rsidRDefault="00FD6A5D" w:rsidP="008008DC">
      <w:pPr>
        <w:pStyle w:val="Standard"/>
        <w:numPr>
          <w:ilvl w:val="1"/>
          <w:numId w:val="6"/>
        </w:numPr>
        <w:spacing w:after="57" w:line="360" w:lineRule="auto"/>
        <w:ind w:left="720"/>
        <w:rPr>
          <w:rFonts w:asciiTheme="minorHAnsi" w:eastAsia="Calibri" w:hAnsiTheme="minorHAnsi" w:cs="Calibri"/>
          <w:color w:val="auto"/>
        </w:rPr>
      </w:pPr>
      <w:r w:rsidRPr="00CF4164">
        <w:rPr>
          <w:rFonts w:asciiTheme="minorHAnsi" w:eastAsia="Calibri" w:hAnsiTheme="minorHAnsi" w:cs="Calibri"/>
          <w:color w:val="auto"/>
        </w:rPr>
        <w:t>Information about the content of the questions and explanations provided, as well as about the modification of the content of the inquiry will be published in the same way as the inquiry itself.</w:t>
      </w:r>
    </w:p>
    <w:p w14:paraId="6A1B1795" w14:textId="77777777" w:rsidR="005C262D" w:rsidRPr="00FE4258" w:rsidRDefault="005C262D" w:rsidP="00A91C75">
      <w:pPr>
        <w:pStyle w:val="Standard"/>
        <w:spacing w:after="57" w:line="360" w:lineRule="auto"/>
        <w:ind w:left="720"/>
        <w:rPr>
          <w:rFonts w:asciiTheme="minorHAnsi" w:eastAsia="Calibri" w:hAnsiTheme="minorHAnsi" w:cs="Calibri"/>
          <w:color w:val="auto"/>
          <w:highlight w:val="yellow"/>
        </w:rPr>
      </w:pPr>
    </w:p>
    <w:p w14:paraId="2C64AE5C" w14:textId="77777777" w:rsidR="005C262D" w:rsidRPr="00FE4258" w:rsidRDefault="00FD6A5D" w:rsidP="008008DC">
      <w:pPr>
        <w:pStyle w:val="StylSIWZv3"/>
        <w:numPr>
          <w:ilvl w:val="0"/>
          <w:numId w:val="6"/>
        </w:numPr>
        <w:spacing w:before="0" w:after="57" w:line="360" w:lineRule="auto"/>
        <w:jc w:val="left"/>
        <w:rPr>
          <w:rFonts w:asciiTheme="minorHAnsi" w:hAnsiTheme="minorHAnsi"/>
          <w:color w:val="auto"/>
        </w:rPr>
      </w:pPr>
      <w:r w:rsidRPr="00CF4164">
        <w:rPr>
          <w:rFonts w:asciiTheme="minorHAnsi" w:hAnsiTheme="minorHAnsi"/>
          <w:color w:val="auto"/>
        </w:rPr>
        <w:t>Requirements for the tenderer and demonstration of their fulfilment</w:t>
      </w:r>
    </w:p>
    <w:p w14:paraId="32FC4F9A" w14:textId="093495DB" w:rsidR="005C262D" w:rsidRPr="00FE4258" w:rsidRDefault="00FD6A5D" w:rsidP="008008DC">
      <w:pPr>
        <w:pStyle w:val="Standard"/>
        <w:numPr>
          <w:ilvl w:val="1"/>
          <w:numId w:val="6"/>
        </w:numPr>
        <w:spacing w:after="57" w:line="360" w:lineRule="auto"/>
        <w:rPr>
          <w:rFonts w:asciiTheme="minorHAnsi" w:eastAsia="Calibri" w:hAnsiTheme="minorHAnsi" w:cs="Calibri"/>
          <w:color w:val="auto"/>
        </w:rPr>
      </w:pPr>
      <w:bookmarkStart w:id="6" w:name="_Hlk66705267"/>
      <w:r w:rsidRPr="00CF4164">
        <w:rPr>
          <w:rFonts w:asciiTheme="minorHAnsi" w:eastAsia="Calibri" w:hAnsiTheme="minorHAnsi" w:cs="Calibri"/>
          <w:color w:val="auto"/>
        </w:rPr>
        <w:t xml:space="preserve"> Bidders who are personally or financially related to the contracting authority in the manner specified in Appendix 2 to the request</w:t>
      </w:r>
      <w:r w:rsidRPr="00F404D5">
        <w:rPr>
          <w:rFonts w:asciiTheme="minorHAnsi" w:eastAsia="Calibri" w:hAnsiTheme="minorHAnsi" w:cs="Calibri"/>
          <w:b/>
          <w:bCs/>
          <w:color w:val="auto"/>
          <w:u w:val="single"/>
        </w:rPr>
        <w:t xml:space="preserve"> for proposal </w:t>
      </w:r>
      <w:r w:rsidRPr="00CF4164">
        <w:rPr>
          <w:rFonts w:asciiTheme="minorHAnsi" w:eastAsia="Calibri" w:hAnsiTheme="minorHAnsi" w:cs="Calibri"/>
          <w:color w:val="auto"/>
        </w:rPr>
        <w:t>may not participate in the request for proposal.</w:t>
      </w:r>
    </w:p>
    <w:p w14:paraId="148682D1" w14:textId="533DF079" w:rsidR="005C262D" w:rsidRPr="00FE4258" w:rsidRDefault="00FD6A5D" w:rsidP="008008DC">
      <w:pPr>
        <w:pStyle w:val="Standard"/>
        <w:numPr>
          <w:ilvl w:val="1"/>
          <w:numId w:val="6"/>
        </w:numPr>
        <w:spacing w:after="57" w:line="360" w:lineRule="auto"/>
        <w:rPr>
          <w:rFonts w:asciiTheme="minorHAnsi" w:eastAsia="Calibri" w:hAnsiTheme="minorHAnsi" w:cs="Calibri"/>
          <w:color w:val="auto"/>
        </w:rPr>
      </w:pPr>
      <w:r w:rsidRPr="00CF4164">
        <w:rPr>
          <w:rFonts w:asciiTheme="minorHAnsi" w:eastAsia="Calibri" w:hAnsiTheme="minorHAnsi" w:cs="Calibri"/>
          <w:color w:val="auto"/>
        </w:rPr>
        <w:lastRenderedPageBreak/>
        <w:t>In order to demonstrate compliance with the requirement for the tenderer specified in point IV.1, a statement of lack of relations with the contracting authority should be submitted together with the tender according to Appendix 2 to the request for proposal.</w:t>
      </w:r>
    </w:p>
    <w:p w14:paraId="54D259AC" w14:textId="057B237C" w:rsidR="00D63E07" w:rsidRPr="00FE4258" w:rsidRDefault="00D63E07" w:rsidP="008008DC">
      <w:pPr>
        <w:pStyle w:val="Standard"/>
        <w:numPr>
          <w:ilvl w:val="1"/>
          <w:numId w:val="6"/>
        </w:numPr>
        <w:spacing w:after="57" w:line="360" w:lineRule="auto"/>
        <w:rPr>
          <w:rFonts w:asciiTheme="minorHAnsi" w:eastAsia="Calibri" w:hAnsiTheme="minorHAnsi" w:cs="Calibri"/>
          <w:color w:val="auto"/>
        </w:rPr>
      </w:pPr>
      <w:r>
        <w:rPr>
          <w:rFonts w:asciiTheme="minorHAnsi" w:eastAsia="Calibri" w:hAnsiTheme="minorHAnsi" w:cs="Calibri"/>
          <w:color w:val="auto"/>
        </w:rPr>
        <w:t>Tenderers who have the technical capacity and appropriate professional qualifications can participate</w:t>
      </w:r>
      <w:r w:rsidRPr="00D63E07">
        <w:rPr>
          <w:rFonts w:asciiTheme="minorHAnsi" w:eastAsia="Calibri" w:hAnsiTheme="minorHAnsi" w:cs="Calibri"/>
          <w:b/>
          <w:bCs/>
          <w:color w:val="auto"/>
        </w:rPr>
        <w:t xml:space="preserve"> in the RFP </w:t>
      </w:r>
      <w:r>
        <w:rPr>
          <w:rFonts w:asciiTheme="minorHAnsi" w:eastAsia="Calibri" w:hAnsiTheme="minorHAnsi" w:cs="Calibri"/>
          <w:color w:val="auto"/>
        </w:rPr>
        <w:t>. The Contracting Authority will consider this condition to be met if the tenderer meets all of the following conditions jointly:</w:t>
      </w:r>
    </w:p>
    <w:p w14:paraId="7E1C70D3" w14:textId="2819C0E8" w:rsidR="001241AE" w:rsidRPr="00FE4258" w:rsidRDefault="005108B2" w:rsidP="008008DC">
      <w:pPr>
        <w:pStyle w:val="Standard"/>
        <w:numPr>
          <w:ilvl w:val="0"/>
          <w:numId w:val="8"/>
        </w:numPr>
        <w:spacing w:after="57" w:line="360" w:lineRule="auto"/>
        <w:rPr>
          <w:rFonts w:asciiTheme="minorHAnsi" w:eastAsia="Calibri" w:hAnsiTheme="minorHAnsi" w:cs="Calibri"/>
          <w:color w:val="auto"/>
        </w:rPr>
      </w:pPr>
      <w:r>
        <w:rPr>
          <w:rFonts w:asciiTheme="minorHAnsi" w:eastAsia="Calibri" w:hAnsiTheme="minorHAnsi" w:cs="Calibri"/>
          <w:color w:val="auto"/>
        </w:rPr>
        <w:t xml:space="preserve">Company </w:t>
      </w:r>
      <w:r w:rsidR="00677EAD">
        <w:rPr>
          <w:rFonts w:asciiTheme="minorHAnsi" w:eastAsia="Calibri" w:hAnsiTheme="minorHAnsi" w:cs="Calibri"/>
          <w:color w:val="auto"/>
        </w:rPr>
        <w:t>has at least 5 years of experience in running a business as a CRO consulting services in the USA;</w:t>
      </w:r>
    </w:p>
    <w:p w14:paraId="7E182F58" w14:textId="5FF3E09A" w:rsidR="005B2479" w:rsidRPr="00FE4258" w:rsidRDefault="005108B2" w:rsidP="008008DC">
      <w:pPr>
        <w:pStyle w:val="Standard"/>
        <w:numPr>
          <w:ilvl w:val="0"/>
          <w:numId w:val="8"/>
        </w:numPr>
        <w:spacing w:after="57" w:line="360" w:lineRule="auto"/>
        <w:rPr>
          <w:rFonts w:asciiTheme="minorHAnsi" w:eastAsia="Calibri" w:hAnsiTheme="minorHAnsi" w:cs="Calibri"/>
          <w:color w:val="auto"/>
        </w:rPr>
      </w:pPr>
      <w:r>
        <w:rPr>
          <w:rFonts w:asciiTheme="minorHAnsi" w:eastAsia="Calibri" w:hAnsiTheme="minorHAnsi" w:cs="Calibri"/>
          <w:color w:val="auto"/>
        </w:rPr>
        <w:t xml:space="preserve">Company </w:t>
      </w:r>
      <w:r w:rsidR="001241AE">
        <w:rPr>
          <w:rFonts w:asciiTheme="minorHAnsi" w:eastAsia="Calibri" w:hAnsiTheme="minorHAnsi" w:cs="Calibri"/>
          <w:color w:val="auto"/>
        </w:rPr>
        <w:t>has at least 3 years of experience in running a business as a CRO consulting services in in vitro diagnostic medical devices;</w:t>
      </w:r>
    </w:p>
    <w:p w14:paraId="24C6FC1B" w14:textId="0B8550DA" w:rsidR="00D63E07" w:rsidRPr="00FE4258" w:rsidRDefault="005B2479" w:rsidP="008008DC">
      <w:pPr>
        <w:pStyle w:val="Standard"/>
        <w:numPr>
          <w:ilvl w:val="0"/>
          <w:numId w:val="8"/>
        </w:numPr>
        <w:spacing w:after="57" w:line="360" w:lineRule="auto"/>
        <w:rPr>
          <w:rFonts w:asciiTheme="minorHAnsi" w:eastAsia="Calibri" w:hAnsiTheme="minorHAnsi" w:cs="Calibri"/>
          <w:color w:val="auto"/>
        </w:rPr>
      </w:pPr>
      <w:r>
        <w:rPr>
          <w:rFonts w:asciiTheme="minorHAnsi" w:eastAsia="Calibri" w:hAnsiTheme="minorHAnsi" w:cs="Calibri"/>
          <w:color w:val="auto"/>
        </w:rPr>
        <w:t xml:space="preserve">In the last 10 years before the deadline for submission of tenders (and if the entity operates for a shorter period of time, then during the period of its activity):  </w:t>
      </w:r>
    </w:p>
    <w:p w14:paraId="00C26716" w14:textId="74B69AE0" w:rsidR="00D63E07" w:rsidRPr="00FE4258" w:rsidRDefault="00D63E07" w:rsidP="00D63E07">
      <w:pPr>
        <w:pStyle w:val="Standard"/>
        <w:spacing w:after="57" w:line="360" w:lineRule="auto"/>
        <w:ind w:left="1097"/>
        <w:rPr>
          <w:rFonts w:asciiTheme="minorHAnsi" w:eastAsia="Calibri" w:hAnsiTheme="minorHAnsi" w:cs="Calibri"/>
          <w:color w:val="auto"/>
        </w:rPr>
      </w:pPr>
      <w:r w:rsidRPr="00C65130">
        <w:rPr>
          <w:rFonts w:asciiTheme="minorHAnsi" w:eastAsia="Calibri" w:hAnsiTheme="minorHAnsi" w:cs="Calibri"/>
          <w:color w:val="auto"/>
        </w:rPr>
        <w:t>- provided at least 15 services involving the development of a Study Synopsis for a medical device, including at least 5 for in vitro diagnostic medical devices;</w:t>
      </w:r>
    </w:p>
    <w:p w14:paraId="3CF97136" w14:textId="603EF35D" w:rsidR="00D63E07" w:rsidRPr="00FE4258" w:rsidRDefault="00D63E07" w:rsidP="00D63E07">
      <w:pPr>
        <w:pStyle w:val="Standard"/>
        <w:spacing w:after="57" w:line="360" w:lineRule="auto"/>
        <w:ind w:left="1097"/>
        <w:rPr>
          <w:rFonts w:asciiTheme="minorHAnsi" w:eastAsia="Calibri" w:hAnsiTheme="minorHAnsi" w:cs="Calibri"/>
          <w:color w:val="auto"/>
        </w:rPr>
      </w:pPr>
      <w:r>
        <w:rPr>
          <w:rFonts w:asciiTheme="minorHAnsi" w:eastAsia="Calibri" w:hAnsiTheme="minorHAnsi" w:cs="Calibri"/>
          <w:color w:val="auto"/>
        </w:rPr>
        <w:t>- has provided at least 25 services involving the development of an Intendend Use for a medical device, including at least 3 for an in vitro diagnostic medical device;</w:t>
      </w:r>
    </w:p>
    <w:p w14:paraId="7DD6C489" w14:textId="40E47B5C" w:rsidR="003323FB" w:rsidRPr="00FE4258" w:rsidRDefault="003323FB" w:rsidP="00D63E07">
      <w:pPr>
        <w:pStyle w:val="Standard"/>
        <w:spacing w:after="57" w:line="360" w:lineRule="auto"/>
        <w:ind w:left="1097"/>
        <w:rPr>
          <w:rFonts w:asciiTheme="minorHAnsi" w:eastAsia="Calibri" w:hAnsiTheme="minorHAnsi" w:cs="Calibri"/>
          <w:color w:val="auto"/>
        </w:rPr>
      </w:pPr>
      <w:r>
        <w:rPr>
          <w:rFonts w:asciiTheme="minorHAnsi" w:eastAsia="Calibri" w:hAnsiTheme="minorHAnsi" w:cs="Calibri"/>
          <w:color w:val="auto"/>
        </w:rPr>
        <w:t>- provided at least 15 services involving the writing of a Study Synopsis for a clinical trial carried out in the USA;</w:t>
      </w:r>
    </w:p>
    <w:p w14:paraId="1F5810A6" w14:textId="58145BBA" w:rsidR="00B816FB" w:rsidRPr="00FE4258" w:rsidRDefault="00B816FB" w:rsidP="00D63E07">
      <w:pPr>
        <w:pStyle w:val="Standard"/>
        <w:spacing w:after="57" w:line="360" w:lineRule="auto"/>
        <w:ind w:left="1097"/>
        <w:rPr>
          <w:rFonts w:asciiTheme="minorHAnsi" w:eastAsia="Calibri" w:hAnsiTheme="minorHAnsi" w:cs="Calibri"/>
          <w:color w:val="auto"/>
        </w:rPr>
      </w:pPr>
      <w:r>
        <w:rPr>
          <w:rFonts w:asciiTheme="minorHAnsi" w:eastAsia="Calibri" w:hAnsiTheme="minorHAnsi" w:cs="Calibri"/>
          <w:color w:val="auto"/>
        </w:rPr>
        <w:t>- has completed and received at least 3 positive approvals for the registration of an IVD product according to PMA or de Novo procedures;</w:t>
      </w:r>
    </w:p>
    <w:p w14:paraId="658D02B7" w14:textId="21318CCC" w:rsidR="00D63E07" w:rsidRPr="00FE4258" w:rsidRDefault="00D63E07" w:rsidP="008008DC">
      <w:pPr>
        <w:pStyle w:val="Standard"/>
        <w:numPr>
          <w:ilvl w:val="0"/>
          <w:numId w:val="8"/>
        </w:numPr>
        <w:spacing w:after="57" w:line="360" w:lineRule="auto"/>
        <w:rPr>
          <w:rFonts w:asciiTheme="minorHAnsi" w:eastAsia="Calibri" w:hAnsiTheme="minorHAnsi" w:cs="Calibri"/>
          <w:color w:val="auto"/>
        </w:rPr>
      </w:pPr>
      <w:r>
        <w:rPr>
          <w:rFonts w:asciiTheme="minorHAnsi" w:eastAsia="Calibri" w:hAnsiTheme="minorHAnsi" w:cs="Calibri"/>
          <w:color w:val="auto"/>
        </w:rPr>
        <w:t>It has or will have a team of people who will be directed by the tenderer to perform the contract and will be responsible for the provision of the service, which will include:</w:t>
      </w:r>
    </w:p>
    <w:p w14:paraId="65954DD2" w14:textId="510D6567" w:rsidR="00B70538" w:rsidRPr="00FE4258" w:rsidRDefault="00D63E07" w:rsidP="00B70538">
      <w:pPr>
        <w:pStyle w:val="Standard"/>
        <w:spacing w:after="57" w:line="360" w:lineRule="auto"/>
        <w:ind w:left="1097"/>
        <w:rPr>
          <w:rFonts w:asciiTheme="minorHAnsi" w:eastAsia="Calibri" w:hAnsiTheme="minorHAnsi" w:cs="Calibri"/>
          <w:color w:val="auto"/>
        </w:rPr>
      </w:pPr>
      <w:r w:rsidRPr="00FC78C0">
        <w:rPr>
          <w:rFonts w:asciiTheme="minorHAnsi" w:eastAsia="Calibri" w:hAnsiTheme="minorHAnsi" w:cs="Calibri"/>
          <w:color w:val="auto"/>
        </w:rPr>
        <w:t>- 1 person with min. 5 years of professional experience in creating medical content (medical writer) and participated in at least 10 research projects for medical devices, including at least 3 related to in vitro diagnostic medical devices;</w:t>
      </w:r>
    </w:p>
    <w:p w14:paraId="64CB7492" w14:textId="63615BB6" w:rsidR="00A3554E" w:rsidRPr="00FE4258" w:rsidRDefault="00A3554E" w:rsidP="00B70538">
      <w:pPr>
        <w:pStyle w:val="Standard"/>
        <w:spacing w:after="57" w:line="360" w:lineRule="auto"/>
        <w:ind w:left="1097"/>
        <w:rPr>
          <w:rFonts w:asciiTheme="minorHAnsi" w:eastAsia="Calibri" w:hAnsiTheme="minorHAnsi" w:cs="Calibri"/>
          <w:color w:val="auto"/>
        </w:rPr>
      </w:pPr>
      <w:r>
        <w:rPr>
          <w:rFonts w:asciiTheme="minorHAnsi" w:eastAsia="Calibri" w:hAnsiTheme="minorHAnsi" w:cs="Calibri"/>
          <w:color w:val="auto"/>
        </w:rPr>
        <w:t>- 1 person with a minimum of 3 years of professional experience, acting as a Regulatory Medical Device Specialist in the USA;</w:t>
      </w:r>
    </w:p>
    <w:p w14:paraId="3D22C5DC" w14:textId="7C193CE7" w:rsidR="00676B0C" w:rsidRPr="00FE4258" w:rsidRDefault="00676B0C" w:rsidP="00676B0C">
      <w:pPr>
        <w:pStyle w:val="Standard"/>
        <w:spacing w:after="57" w:line="360" w:lineRule="auto"/>
        <w:ind w:left="1097"/>
        <w:rPr>
          <w:rFonts w:asciiTheme="minorHAnsi" w:eastAsia="Calibri" w:hAnsiTheme="minorHAnsi" w:cs="Calibri"/>
          <w:color w:val="auto"/>
        </w:rPr>
      </w:pPr>
      <w:r>
        <w:rPr>
          <w:rFonts w:asciiTheme="minorHAnsi" w:eastAsia="Calibri" w:hAnsiTheme="minorHAnsi" w:cs="Calibri"/>
          <w:color w:val="auto"/>
        </w:rPr>
        <w:t>- 1 person with a minimum of 3 years of professional experience, acting as a specialist for regulatory medical devices in the UK;</w:t>
      </w:r>
    </w:p>
    <w:p w14:paraId="2EAC1447" w14:textId="0A4DCC32" w:rsidR="00676B0C" w:rsidRPr="00FE4258" w:rsidRDefault="00676B0C" w:rsidP="00676B0C">
      <w:pPr>
        <w:pStyle w:val="Standard"/>
        <w:spacing w:after="57" w:line="360" w:lineRule="auto"/>
        <w:ind w:left="1097"/>
        <w:rPr>
          <w:rFonts w:asciiTheme="minorHAnsi" w:eastAsia="Calibri" w:hAnsiTheme="minorHAnsi" w:cs="Calibri"/>
          <w:color w:val="auto"/>
        </w:rPr>
      </w:pPr>
      <w:r>
        <w:rPr>
          <w:rFonts w:asciiTheme="minorHAnsi" w:eastAsia="Calibri" w:hAnsiTheme="minorHAnsi" w:cs="Calibri"/>
          <w:color w:val="auto"/>
        </w:rPr>
        <w:lastRenderedPageBreak/>
        <w:t>- 1 person with a minimum of 3 years of professional experience, acting as a specialist for regulatory medical devices in the EU;</w:t>
      </w:r>
    </w:p>
    <w:p w14:paraId="05899AD9" w14:textId="0A7BCF66" w:rsidR="00D63E07" w:rsidRPr="00FE4258" w:rsidRDefault="00F258E1" w:rsidP="00CB5814">
      <w:pPr>
        <w:pStyle w:val="Standard"/>
        <w:spacing w:after="57" w:line="360" w:lineRule="auto"/>
        <w:ind w:left="1097"/>
        <w:rPr>
          <w:rFonts w:asciiTheme="minorHAnsi" w:eastAsia="Calibri" w:hAnsiTheme="minorHAnsi" w:cs="Calibri"/>
          <w:color w:val="auto"/>
        </w:rPr>
      </w:pPr>
      <w:r>
        <w:rPr>
          <w:rFonts w:asciiTheme="minorHAnsi" w:eastAsia="Calibri" w:hAnsiTheme="minorHAnsi" w:cs="Calibri"/>
          <w:color w:val="auto"/>
        </w:rPr>
        <w:t>- 1 person performing the duties of a medical statistician who has at least 5 years of professional experience in medical statistics and has worked on at least 10 clinical trials.</w:t>
      </w:r>
    </w:p>
    <w:p w14:paraId="11F840FB" w14:textId="403913CB" w:rsidR="00CB5814" w:rsidRDefault="00CB5814" w:rsidP="008008DC">
      <w:pPr>
        <w:pStyle w:val="Standard"/>
        <w:numPr>
          <w:ilvl w:val="1"/>
          <w:numId w:val="6"/>
        </w:numPr>
        <w:spacing w:after="57" w:line="360" w:lineRule="auto"/>
        <w:rPr>
          <w:rFonts w:asciiTheme="minorHAnsi" w:eastAsia="Calibri" w:hAnsiTheme="minorHAnsi" w:cs="Calibri"/>
          <w:color w:val="auto"/>
        </w:rPr>
      </w:pPr>
      <w:r w:rsidRPr="00CF4164">
        <w:rPr>
          <w:rFonts w:asciiTheme="minorHAnsi" w:eastAsia="Calibri" w:hAnsiTheme="minorHAnsi" w:cs="Calibri"/>
          <w:color w:val="auto"/>
        </w:rPr>
        <w:t>In order to demonstrate compliance with the requirement for the bidder specified in section IV.3(a)-(c), a statement and a list of services described in the terms and conditions must be submitted (they are an integral part of the offer form – Appendix 1). The Ordering Party reserves the right to verify the data included in the list.</w:t>
      </w:r>
    </w:p>
    <w:p w14:paraId="57F359B1" w14:textId="5034BB0A" w:rsidR="00D63E07" w:rsidRPr="00FE4258" w:rsidRDefault="00D63E07" w:rsidP="008008DC">
      <w:pPr>
        <w:pStyle w:val="Standard"/>
        <w:numPr>
          <w:ilvl w:val="1"/>
          <w:numId w:val="6"/>
        </w:numPr>
        <w:spacing w:after="57" w:line="360" w:lineRule="auto"/>
        <w:rPr>
          <w:rFonts w:asciiTheme="minorHAnsi" w:eastAsia="Calibri" w:hAnsiTheme="minorHAnsi" w:cs="Calibri"/>
          <w:color w:val="auto"/>
        </w:rPr>
      </w:pPr>
      <w:r w:rsidRPr="00CF4164">
        <w:rPr>
          <w:rFonts w:asciiTheme="minorHAnsi" w:eastAsia="Calibri" w:hAnsiTheme="minorHAnsi" w:cs="Calibri"/>
          <w:color w:val="auto"/>
        </w:rPr>
        <w:t>In order to demonstrate compliance with the requirement for the tenderer specified in point IV.3(d), the offer should be accompanied by a CV of the delegated team (CV with a clause on the possibility of processing personal data), which will include a confirmation of the professional experience referred to in point (d). In case of doubt, the contracting authority will ask the tenderer for source documents, e.g. a diploma of graduation or specialization, etc.</w:t>
      </w:r>
    </w:p>
    <w:bookmarkEnd w:id="6"/>
    <w:p w14:paraId="0755446D" w14:textId="77777777" w:rsidR="005C262D" w:rsidRPr="00FE4258" w:rsidRDefault="005C262D" w:rsidP="00785C9A">
      <w:pPr>
        <w:pStyle w:val="Standard"/>
        <w:spacing w:after="57" w:line="360" w:lineRule="auto"/>
        <w:rPr>
          <w:rFonts w:asciiTheme="minorHAnsi" w:eastAsia="Calibri" w:hAnsiTheme="minorHAnsi" w:cs="Calibri"/>
          <w:color w:val="auto"/>
          <w:highlight w:val="yellow"/>
        </w:rPr>
      </w:pPr>
    </w:p>
    <w:p w14:paraId="6D2EBB6C" w14:textId="77777777" w:rsidR="005C262D" w:rsidRPr="00CF4164" w:rsidRDefault="00FD6A5D" w:rsidP="008008DC">
      <w:pPr>
        <w:pStyle w:val="Standard"/>
        <w:numPr>
          <w:ilvl w:val="0"/>
          <w:numId w:val="6"/>
        </w:numPr>
        <w:spacing w:after="57" w:line="360" w:lineRule="auto"/>
        <w:rPr>
          <w:rFonts w:asciiTheme="minorHAnsi" w:eastAsia="Calibri" w:hAnsiTheme="minorHAnsi" w:cs="Calibri"/>
          <w:b/>
          <w:color w:val="auto"/>
          <w:lang w:val="pl-PL"/>
        </w:rPr>
      </w:pPr>
      <w:r w:rsidRPr="00CF4164">
        <w:rPr>
          <w:rFonts w:asciiTheme="minorHAnsi" w:eastAsia="Calibri" w:hAnsiTheme="minorHAnsi" w:cs="Calibri"/>
          <w:b/>
          <w:color w:val="auto"/>
        </w:rPr>
        <w:t>Tender evaluation criteria</w:t>
      </w:r>
    </w:p>
    <w:p w14:paraId="2AFF9DC8" w14:textId="67A42CA9" w:rsidR="00814998" w:rsidRPr="00FE4258" w:rsidRDefault="00814998" w:rsidP="008008DC">
      <w:pPr>
        <w:pStyle w:val="Standard"/>
        <w:numPr>
          <w:ilvl w:val="1"/>
          <w:numId w:val="6"/>
        </w:numPr>
        <w:spacing w:after="57" w:line="360" w:lineRule="auto"/>
        <w:rPr>
          <w:rFonts w:asciiTheme="minorHAnsi" w:eastAsia="Calibri" w:hAnsiTheme="minorHAnsi" w:cs="Calibri"/>
          <w:color w:val="auto"/>
        </w:rPr>
      </w:pPr>
      <w:r w:rsidRPr="00CF4164">
        <w:rPr>
          <w:rFonts w:asciiTheme="minorHAnsi" w:eastAsia="Calibri" w:hAnsiTheme="minorHAnsi" w:cs="Calibri"/>
          <w:color w:val="auto"/>
        </w:rPr>
        <w:t>The Contracting Authority will evaluate the unrejected tenders on the basis of the following tender evaluation criteria:</w:t>
      </w:r>
    </w:p>
    <w:tbl>
      <w:tblPr>
        <w:tblW w:w="8568" w:type="dxa"/>
        <w:tblInd w:w="766" w:type="dxa"/>
        <w:tblLayout w:type="fixed"/>
        <w:tblCellMar>
          <w:left w:w="10" w:type="dxa"/>
          <w:right w:w="10" w:type="dxa"/>
        </w:tblCellMar>
        <w:tblLook w:val="0000" w:firstRow="0" w:lastRow="0" w:firstColumn="0" w:lastColumn="0" w:noHBand="0" w:noVBand="0"/>
      </w:tblPr>
      <w:tblGrid>
        <w:gridCol w:w="2770"/>
        <w:gridCol w:w="992"/>
        <w:gridCol w:w="4806"/>
      </w:tblGrid>
      <w:tr w:rsidR="005C262D" w:rsidRPr="00483518" w14:paraId="619B33BA" w14:textId="77777777">
        <w:trPr>
          <w:cantSplit/>
        </w:trPr>
        <w:tc>
          <w:tcPr>
            <w:tcW w:w="2770" w:type="dxa"/>
            <w:tcBorders>
              <w:top w:val="single" w:sz="6" w:space="0" w:color="000001"/>
              <w:left w:val="single" w:sz="6" w:space="0" w:color="000001"/>
              <w:bottom w:val="single" w:sz="4" w:space="0" w:color="auto"/>
            </w:tcBorders>
            <w:shd w:val="clear" w:color="auto" w:fill="auto"/>
            <w:tcMar>
              <w:top w:w="170" w:type="dxa"/>
              <w:left w:w="57" w:type="dxa"/>
              <w:bottom w:w="170" w:type="dxa"/>
              <w:right w:w="57" w:type="dxa"/>
            </w:tcMar>
            <w:vAlign w:val="center"/>
          </w:tcPr>
          <w:p w14:paraId="073DEE33" w14:textId="77777777" w:rsidR="005C262D" w:rsidRPr="00CF4164" w:rsidRDefault="00FD6A5D" w:rsidP="00A91C75">
            <w:pPr>
              <w:pStyle w:val="Standard"/>
              <w:spacing w:after="57" w:line="360" w:lineRule="auto"/>
              <w:rPr>
                <w:rFonts w:asciiTheme="minorHAnsi" w:eastAsia="Calibri" w:hAnsiTheme="minorHAnsi" w:cs="Calibri"/>
                <w:b/>
                <w:color w:val="auto"/>
                <w:lang w:val="pl-PL"/>
              </w:rPr>
            </w:pPr>
            <w:r w:rsidRPr="00CF4164">
              <w:rPr>
                <w:rFonts w:asciiTheme="minorHAnsi" w:eastAsia="Calibri" w:hAnsiTheme="minorHAnsi" w:cs="Calibri"/>
                <w:b/>
                <w:color w:val="auto"/>
              </w:rPr>
              <w:t>Criterion</w:t>
            </w:r>
          </w:p>
        </w:tc>
        <w:tc>
          <w:tcPr>
            <w:tcW w:w="992" w:type="dxa"/>
            <w:tcBorders>
              <w:top w:val="single" w:sz="6" w:space="0" w:color="000001"/>
              <w:left w:val="single" w:sz="4" w:space="0" w:color="000001"/>
              <w:bottom w:val="single" w:sz="4" w:space="0" w:color="auto"/>
            </w:tcBorders>
            <w:shd w:val="clear" w:color="auto" w:fill="auto"/>
            <w:tcMar>
              <w:top w:w="170" w:type="dxa"/>
              <w:left w:w="57" w:type="dxa"/>
              <w:bottom w:w="170" w:type="dxa"/>
              <w:right w:w="57" w:type="dxa"/>
            </w:tcMar>
            <w:vAlign w:val="center"/>
          </w:tcPr>
          <w:p w14:paraId="6DE7E082" w14:textId="77777777" w:rsidR="005C262D" w:rsidRPr="00CF4164" w:rsidRDefault="00FD6A5D" w:rsidP="00A91C75">
            <w:pPr>
              <w:pStyle w:val="Standard"/>
              <w:spacing w:after="57" w:line="360" w:lineRule="auto"/>
              <w:rPr>
                <w:rFonts w:asciiTheme="minorHAnsi" w:eastAsia="Calibri" w:hAnsiTheme="minorHAnsi" w:cs="Calibri"/>
                <w:b/>
                <w:color w:val="auto"/>
                <w:lang w:val="pl-PL"/>
              </w:rPr>
            </w:pPr>
            <w:r w:rsidRPr="00CF4164">
              <w:rPr>
                <w:rFonts w:asciiTheme="minorHAnsi" w:eastAsia="Calibri" w:hAnsiTheme="minorHAnsi" w:cs="Calibri"/>
                <w:b/>
                <w:color w:val="auto"/>
              </w:rPr>
              <w:t>Scales</w:t>
            </w:r>
          </w:p>
        </w:tc>
        <w:tc>
          <w:tcPr>
            <w:tcW w:w="4806" w:type="dxa"/>
            <w:tcBorders>
              <w:top w:val="single" w:sz="6" w:space="0" w:color="000001"/>
              <w:left w:val="single" w:sz="4" w:space="0" w:color="000001"/>
              <w:bottom w:val="single" w:sz="4" w:space="0" w:color="auto"/>
              <w:right w:val="single" w:sz="6" w:space="0" w:color="000001"/>
            </w:tcBorders>
            <w:shd w:val="clear" w:color="auto" w:fill="auto"/>
            <w:tcMar>
              <w:top w:w="170" w:type="dxa"/>
              <w:left w:w="57" w:type="dxa"/>
              <w:bottom w:w="170" w:type="dxa"/>
              <w:right w:w="57" w:type="dxa"/>
            </w:tcMar>
            <w:vAlign w:val="center"/>
          </w:tcPr>
          <w:p w14:paraId="739CCE17" w14:textId="77777777" w:rsidR="005C262D" w:rsidRPr="00FE4258" w:rsidRDefault="00FD6A5D" w:rsidP="00A91C75">
            <w:pPr>
              <w:pStyle w:val="Standard"/>
              <w:spacing w:line="360" w:lineRule="auto"/>
              <w:ind w:left="403"/>
              <w:rPr>
                <w:rFonts w:asciiTheme="minorHAnsi" w:eastAsia="Calibri" w:hAnsiTheme="minorHAnsi" w:cs="Calibri"/>
                <w:b/>
                <w:color w:val="auto"/>
              </w:rPr>
            </w:pPr>
            <w:r w:rsidRPr="00CF4164">
              <w:rPr>
                <w:rFonts w:asciiTheme="minorHAnsi" w:eastAsia="Calibri" w:hAnsiTheme="minorHAnsi" w:cs="Calibri"/>
                <w:b/>
                <w:color w:val="auto"/>
              </w:rPr>
              <w:t>Description of the criterion and method of awarding points</w:t>
            </w:r>
          </w:p>
        </w:tc>
      </w:tr>
      <w:tr w:rsidR="005C262D" w:rsidRPr="00483518" w14:paraId="4B2D54C5" w14:textId="77777777">
        <w:trPr>
          <w:cantSplit/>
          <w:trHeight w:val="1376"/>
        </w:trPr>
        <w:tc>
          <w:tcPr>
            <w:tcW w:w="2770" w:type="dxa"/>
            <w:tcBorders>
              <w:top w:val="single" w:sz="4" w:space="0" w:color="auto"/>
              <w:left w:val="single" w:sz="4" w:space="0" w:color="auto"/>
              <w:bottom w:val="single" w:sz="4" w:space="0" w:color="auto"/>
              <w:right w:val="single" w:sz="4" w:space="0" w:color="auto"/>
            </w:tcBorders>
            <w:shd w:val="clear" w:color="auto" w:fill="auto"/>
            <w:tcMar>
              <w:top w:w="170" w:type="dxa"/>
              <w:left w:w="57" w:type="dxa"/>
              <w:bottom w:w="170" w:type="dxa"/>
              <w:right w:w="57" w:type="dxa"/>
            </w:tcMar>
            <w:vAlign w:val="center"/>
          </w:tcPr>
          <w:p w14:paraId="1A1C4BA7" w14:textId="12F141ED" w:rsidR="005C262D" w:rsidRPr="00CF4164" w:rsidRDefault="00FD6A5D" w:rsidP="008008DC">
            <w:pPr>
              <w:pStyle w:val="Standard"/>
              <w:numPr>
                <w:ilvl w:val="0"/>
                <w:numId w:val="9"/>
              </w:numPr>
              <w:spacing w:after="57" w:line="360" w:lineRule="auto"/>
              <w:rPr>
                <w:rFonts w:asciiTheme="minorHAnsi" w:eastAsia="Calibri" w:hAnsiTheme="minorHAnsi" w:cs="Calibri"/>
                <w:color w:val="auto"/>
                <w:lang w:val="pl-PL"/>
              </w:rPr>
            </w:pPr>
            <w:r w:rsidRPr="00CF4164">
              <w:rPr>
                <w:rFonts w:asciiTheme="minorHAnsi" w:eastAsia="Calibri" w:hAnsiTheme="minorHAnsi" w:cs="Calibri"/>
                <w:color w:val="auto"/>
              </w:rPr>
              <w:t>Net price</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70" w:type="dxa"/>
              <w:left w:w="57" w:type="dxa"/>
              <w:bottom w:w="170" w:type="dxa"/>
              <w:right w:w="57" w:type="dxa"/>
            </w:tcMar>
            <w:vAlign w:val="center"/>
          </w:tcPr>
          <w:p w14:paraId="4A8EFA6B" w14:textId="211C4ECD" w:rsidR="005C262D" w:rsidRPr="00CF4164" w:rsidRDefault="00211399" w:rsidP="00A91C75">
            <w:pPr>
              <w:pStyle w:val="Standard"/>
              <w:spacing w:after="57" w:line="360" w:lineRule="auto"/>
              <w:rPr>
                <w:rFonts w:asciiTheme="minorHAnsi" w:eastAsia="Calibri" w:hAnsiTheme="minorHAnsi" w:cs="Calibri"/>
                <w:color w:val="auto"/>
                <w:lang w:val="pl-PL"/>
              </w:rPr>
            </w:pPr>
            <w:r>
              <w:rPr>
                <w:rFonts w:asciiTheme="minorHAnsi" w:eastAsia="Calibri" w:hAnsiTheme="minorHAnsi" w:cs="Calibri"/>
                <w:color w:val="auto"/>
              </w:rPr>
              <w:t>40%</w:t>
            </w:r>
          </w:p>
        </w:tc>
        <w:tc>
          <w:tcPr>
            <w:tcW w:w="4806" w:type="dxa"/>
            <w:tcBorders>
              <w:top w:val="single" w:sz="4" w:space="0" w:color="auto"/>
              <w:left w:val="single" w:sz="4" w:space="0" w:color="auto"/>
              <w:bottom w:val="single" w:sz="4" w:space="0" w:color="auto"/>
              <w:right w:val="single" w:sz="4" w:space="0" w:color="auto"/>
            </w:tcBorders>
            <w:shd w:val="clear" w:color="auto" w:fill="auto"/>
            <w:tcMar>
              <w:top w:w="170" w:type="dxa"/>
              <w:left w:w="57" w:type="dxa"/>
              <w:bottom w:w="170" w:type="dxa"/>
              <w:right w:w="57" w:type="dxa"/>
            </w:tcMar>
            <w:vAlign w:val="center"/>
          </w:tcPr>
          <w:p w14:paraId="6A29AFEA" w14:textId="77777777" w:rsidR="005C262D" w:rsidRPr="00FE4258" w:rsidRDefault="00FD6A5D" w:rsidP="00A91C75">
            <w:pPr>
              <w:pStyle w:val="Standard"/>
              <w:spacing w:after="57" w:line="360" w:lineRule="auto"/>
              <w:ind w:left="113" w:right="113"/>
              <w:rPr>
                <w:rFonts w:asciiTheme="minorHAnsi" w:eastAsia="Calibri" w:hAnsiTheme="minorHAnsi" w:cs="Calibri"/>
                <w:color w:val="auto"/>
              </w:rPr>
            </w:pPr>
            <w:r w:rsidRPr="00CF4164">
              <w:rPr>
                <w:rFonts w:asciiTheme="minorHAnsi" w:eastAsia="Calibri" w:hAnsiTheme="minorHAnsi" w:cs="Calibri"/>
                <w:color w:val="auto"/>
              </w:rPr>
              <w:t>Evaluation of the criterion according to the formula:</w:t>
            </w:r>
          </w:p>
          <w:p w14:paraId="5C4E8411" w14:textId="4CE50C05" w:rsidR="005C262D" w:rsidRPr="00FE4258" w:rsidRDefault="00FD6A5D" w:rsidP="00A91C75">
            <w:pPr>
              <w:pStyle w:val="Standard"/>
              <w:spacing w:after="57" w:line="360" w:lineRule="auto"/>
              <w:ind w:left="113" w:right="113"/>
              <w:rPr>
                <w:rFonts w:asciiTheme="minorHAnsi" w:eastAsia="Calibri" w:hAnsiTheme="minorHAnsi" w:cs="Calibri"/>
                <w:color w:val="auto"/>
              </w:rPr>
            </w:pPr>
            <w:r w:rsidRPr="00CF4164">
              <w:rPr>
                <w:rFonts w:asciiTheme="minorHAnsi" w:eastAsia="Calibri" w:hAnsiTheme="minorHAnsi" w:cs="Calibri"/>
                <w:color w:val="auto"/>
              </w:rPr>
              <w:t>The lowest net price offered among the offers not subject to rejection / the net price offered in the examined offer x 100 points x 40%</w:t>
            </w:r>
          </w:p>
        </w:tc>
      </w:tr>
      <w:tr w:rsidR="00CF4164" w:rsidRPr="00483518" w14:paraId="23E7C43D" w14:textId="77777777" w:rsidTr="003B33DF">
        <w:trPr>
          <w:trHeight w:val="1376"/>
        </w:trPr>
        <w:tc>
          <w:tcPr>
            <w:tcW w:w="2770" w:type="dxa"/>
            <w:tcBorders>
              <w:top w:val="single" w:sz="4" w:space="0" w:color="auto"/>
              <w:left w:val="single" w:sz="4" w:space="0" w:color="auto"/>
              <w:bottom w:val="single" w:sz="4" w:space="0" w:color="auto"/>
              <w:right w:val="single" w:sz="4" w:space="0" w:color="auto"/>
            </w:tcBorders>
            <w:shd w:val="clear" w:color="auto" w:fill="auto"/>
            <w:tcMar>
              <w:top w:w="170" w:type="dxa"/>
              <w:left w:w="57" w:type="dxa"/>
              <w:bottom w:w="170" w:type="dxa"/>
              <w:right w:w="57" w:type="dxa"/>
            </w:tcMar>
            <w:vAlign w:val="center"/>
          </w:tcPr>
          <w:p w14:paraId="7588E870" w14:textId="4690DDC6" w:rsidR="00CF4164" w:rsidRPr="00FE4258" w:rsidRDefault="00DD51B6" w:rsidP="008008DC">
            <w:pPr>
              <w:pStyle w:val="Standard"/>
              <w:numPr>
                <w:ilvl w:val="0"/>
                <w:numId w:val="9"/>
              </w:numPr>
              <w:spacing w:after="57" w:line="360" w:lineRule="auto"/>
              <w:rPr>
                <w:rFonts w:asciiTheme="minorHAnsi" w:eastAsia="Calibri" w:hAnsiTheme="minorHAnsi" w:cs="Calibri"/>
                <w:color w:val="auto"/>
              </w:rPr>
            </w:pPr>
            <w:r>
              <w:rPr>
                <w:rFonts w:asciiTheme="minorHAnsi" w:eastAsia="Calibri" w:hAnsiTheme="minorHAnsi" w:cs="Calibri"/>
                <w:color w:val="auto"/>
              </w:rPr>
              <w:lastRenderedPageBreak/>
              <w:t>Work experience of the team</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70" w:type="dxa"/>
              <w:left w:w="57" w:type="dxa"/>
              <w:bottom w:w="170" w:type="dxa"/>
              <w:right w:w="57" w:type="dxa"/>
            </w:tcMar>
            <w:vAlign w:val="center"/>
          </w:tcPr>
          <w:p w14:paraId="204A09A0" w14:textId="53CD75F3" w:rsidR="00CF4164" w:rsidRPr="00CF4164" w:rsidRDefault="00211399" w:rsidP="00A91C75">
            <w:pPr>
              <w:pStyle w:val="Standard"/>
              <w:spacing w:after="57" w:line="360" w:lineRule="auto"/>
              <w:rPr>
                <w:rFonts w:asciiTheme="minorHAnsi" w:eastAsia="Calibri" w:hAnsiTheme="minorHAnsi" w:cs="Calibri"/>
                <w:color w:val="auto"/>
                <w:lang w:val="pl-PL"/>
              </w:rPr>
            </w:pPr>
            <w:r>
              <w:rPr>
                <w:rFonts w:asciiTheme="minorHAnsi" w:eastAsia="Calibri" w:hAnsiTheme="minorHAnsi" w:cs="Calibri"/>
                <w:color w:val="auto"/>
              </w:rPr>
              <w:t>60%</w:t>
            </w:r>
          </w:p>
        </w:tc>
        <w:tc>
          <w:tcPr>
            <w:tcW w:w="4806" w:type="dxa"/>
            <w:tcBorders>
              <w:top w:val="single" w:sz="4" w:space="0" w:color="auto"/>
              <w:left w:val="single" w:sz="4" w:space="0" w:color="auto"/>
              <w:bottom w:val="single" w:sz="4" w:space="0" w:color="auto"/>
              <w:right w:val="single" w:sz="4" w:space="0" w:color="auto"/>
            </w:tcBorders>
            <w:shd w:val="clear" w:color="auto" w:fill="auto"/>
            <w:tcMar>
              <w:top w:w="170" w:type="dxa"/>
              <w:left w:w="57" w:type="dxa"/>
              <w:bottom w:w="170" w:type="dxa"/>
              <w:right w:w="57" w:type="dxa"/>
            </w:tcMar>
            <w:vAlign w:val="center"/>
          </w:tcPr>
          <w:p w14:paraId="4A63E4C1" w14:textId="77777777" w:rsidR="00CF4164" w:rsidRPr="00FE4258" w:rsidRDefault="00CF4164" w:rsidP="00A91C75">
            <w:pPr>
              <w:pStyle w:val="Standard"/>
              <w:spacing w:after="57" w:line="360" w:lineRule="auto"/>
              <w:ind w:left="113" w:right="113"/>
              <w:rPr>
                <w:rFonts w:asciiTheme="minorHAnsi" w:eastAsia="Calibri" w:hAnsiTheme="minorHAnsi" w:cs="Calibri"/>
                <w:color w:val="auto"/>
              </w:rPr>
            </w:pPr>
            <w:r w:rsidRPr="00CF4164">
              <w:rPr>
                <w:rFonts w:asciiTheme="minorHAnsi" w:eastAsia="Calibri" w:hAnsiTheme="minorHAnsi" w:cs="Calibri"/>
                <w:color w:val="auto"/>
              </w:rPr>
              <w:t>Criterion Assessment:</w:t>
            </w:r>
          </w:p>
          <w:p w14:paraId="174264DE" w14:textId="2B30353F" w:rsidR="00DD51B6" w:rsidRPr="00FE4258" w:rsidRDefault="00DD51B6" w:rsidP="00A91C75">
            <w:pPr>
              <w:pStyle w:val="Standard"/>
              <w:spacing w:after="57" w:line="360" w:lineRule="auto"/>
              <w:ind w:left="113" w:right="113"/>
              <w:rPr>
                <w:rFonts w:asciiTheme="minorHAnsi" w:eastAsia="Calibri" w:hAnsiTheme="minorHAnsi" w:cs="Calibri"/>
                <w:color w:val="auto"/>
              </w:rPr>
            </w:pPr>
            <w:r w:rsidRPr="00DD51B6">
              <w:rPr>
                <w:rFonts w:asciiTheme="minorHAnsi" w:eastAsia="Calibri" w:hAnsiTheme="minorHAnsi" w:cs="Calibri"/>
                <w:color w:val="auto"/>
              </w:rPr>
              <w:t>In this criterion, points will be awarded for additional professional experience of persons delegated to perform the subject matter of the contract, in addition to that required to confirm the fulfilment of the condition of participation in the procedure (referred to in point IV).</w:t>
            </w:r>
          </w:p>
          <w:p w14:paraId="6E4E521A" w14:textId="77777777" w:rsidR="00CF4164" w:rsidRPr="00FE4258" w:rsidRDefault="00DD51B6" w:rsidP="00A91C75">
            <w:pPr>
              <w:pStyle w:val="Standard"/>
              <w:spacing w:after="57" w:line="360" w:lineRule="auto"/>
              <w:ind w:left="113" w:right="113"/>
              <w:rPr>
                <w:rFonts w:asciiTheme="minorHAnsi" w:eastAsia="Calibri" w:hAnsiTheme="minorHAnsi" w:cs="Calibri"/>
                <w:color w:val="auto"/>
              </w:rPr>
            </w:pPr>
            <w:r w:rsidRPr="00DD51B6">
              <w:rPr>
                <w:rFonts w:asciiTheme="minorHAnsi" w:eastAsia="Calibri" w:hAnsiTheme="minorHAnsi" w:cs="Calibri"/>
                <w:color w:val="auto"/>
              </w:rPr>
              <w:t>The calculation of the D-value will be used to compare the submitted bids among all submitted non-rejectable bids according to the following formula:</w:t>
            </w:r>
          </w:p>
          <w:p w14:paraId="76650C51" w14:textId="77777777" w:rsidR="00DD51B6" w:rsidRPr="00FE4258" w:rsidRDefault="00DD51B6" w:rsidP="00DD51B6">
            <w:pPr>
              <w:rPr>
                <w:rFonts w:asciiTheme="minorHAnsi" w:hAnsiTheme="minorHAnsi" w:cstheme="minorHAnsi"/>
                <w:b/>
                <w:bCs/>
                <w:sz w:val="22"/>
                <w:szCs w:val="22"/>
              </w:rPr>
            </w:pPr>
          </w:p>
          <w:p w14:paraId="1D967D9C" w14:textId="00041E31" w:rsidR="00DD51B6" w:rsidRPr="00FE4258" w:rsidRDefault="000F56FC" w:rsidP="000F56FC">
            <w:pPr>
              <w:rPr>
                <w:rFonts w:asciiTheme="minorHAnsi" w:hAnsiTheme="minorHAnsi" w:cstheme="minorHAnsi"/>
                <w:b/>
                <w:bCs/>
                <w:sz w:val="22"/>
                <w:szCs w:val="22"/>
              </w:rPr>
            </w:pPr>
            <w:r w:rsidRPr="00331E00">
              <w:rPr>
                <w:rFonts w:asciiTheme="minorHAnsi" w:hAnsiTheme="minorHAnsi" w:cstheme="minorHAnsi"/>
                <w:b/>
                <w:bCs/>
                <w:sz w:val="22"/>
                <w:szCs w:val="22"/>
              </w:rPr>
              <w:t xml:space="preserve">                       I+M+U</w:t>
            </w:r>
          </w:p>
          <w:p w14:paraId="315D78A7" w14:textId="10CE66EA" w:rsidR="00DD51B6" w:rsidRPr="00FE4258" w:rsidRDefault="00DD51B6" w:rsidP="00DD51B6">
            <w:pPr>
              <w:jc w:val="center"/>
              <w:rPr>
                <w:rFonts w:asciiTheme="minorHAnsi" w:hAnsiTheme="minorHAnsi" w:cstheme="minorHAnsi"/>
                <w:b/>
                <w:bCs/>
                <w:sz w:val="22"/>
                <w:szCs w:val="22"/>
              </w:rPr>
            </w:pPr>
            <w:r w:rsidRPr="00331E00">
              <w:rPr>
                <w:rFonts w:asciiTheme="minorHAnsi" w:hAnsiTheme="minorHAnsi" w:cstheme="minorHAnsi"/>
                <w:b/>
                <w:bCs/>
                <w:sz w:val="22"/>
                <w:szCs w:val="22"/>
              </w:rPr>
              <w:t>D=------------------------------- x 100 pkt x 60%</w:t>
            </w:r>
          </w:p>
          <w:p w14:paraId="69EA743C" w14:textId="3906DBD9" w:rsidR="00DD51B6" w:rsidRPr="00FE4258" w:rsidRDefault="000F56FC" w:rsidP="000F56FC">
            <w:pPr>
              <w:rPr>
                <w:rFonts w:asciiTheme="minorHAnsi" w:hAnsiTheme="minorHAnsi" w:cstheme="minorHAnsi"/>
                <w:b/>
                <w:bCs/>
                <w:sz w:val="22"/>
                <w:szCs w:val="22"/>
              </w:rPr>
            </w:pPr>
            <w:r w:rsidRPr="00331E00">
              <w:rPr>
                <w:rFonts w:asciiTheme="minorHAnsi" w:hAnsiTheme="minorHAnsi" w:cstheme="minorHAnsi"/>
                <w:b/>
                <w:bCs/>
                <w:sz w:val="22"/>
                <w:szCs w:val="22"/>
              </w:rPr>
              <w:t xml:space="preserve">                              60</w:t>
            </w:r>
          </w:p>
          <w:p w14:paraId="4EC0AA17" w14:textId="77777777" w:rsidR="00866D7B" w:rsidRPr="00FE4258" w:rsidRDefault="00866D7B" w:rsidP="000F56FC">
            <w:pPr>
              <w:spacing w:after="57"/>
              <w:ind w:left="567"/>
              <w:rPr>
                <w:rFonts w:asciiTheme="minorHAnsi" w:hAnsiTheme="minorHAnsi" w:cstheme="minorHAnsi"/>
              </w:rPr>
            </w:pPr>
          </w:p>
          <w:p w14:paraId="627A0C45" w14:textId="28265B1E" w:rsidR="00DD51B6" w:rsidRPr="00FE4258" w:rsidRDefault="00DD51B6" w:rsidP="00866D7B">
            <w:pPr>
              <w:spacing w:afterLines="57" w:after="136" w:line="360" w:lineRule="auto"/>
              <w:rPr>
                <w:rFonts w:asciiTheme="minorHAnsi" w:hAnsiTheme="minorHAnsi" w:cstheme="minorHAnsi"/>
                <w:b/>
                <w:bCs/>
              </w:rPr>
            </w:pPr>
            <w:r w:rsidRPr="00866D7B">
              <w:rPr>
                <w:rFonts w:asciiTheme="minorHAnsi" w:hAnsiTheme="minorHAnsi" w:cstheme="minorHAnsi"/>
              </w:rPr>
              <w:t xml:space="preserve">Where: </w:t>
            </w:r>
            <w:r w:rsidRPr="00866D7B">
              <w:rPr>
                <w:rFonts w:asciiTheme="minorHAnsi" w:hAnsiTheme="minorHAnsi" w:cstheme="minorHAnsi"/>
              </w:rPr>
              <w:br/>
            </w:r>
            <w:r w:rsidRPr="00866D7B">
              <w:rPr>
                <w:rFonts w:asciiTheme="minorHAnsi" w:hAnsiTheme="minorHAnsi" w:cstheme="minorHAnsi"/>
                <w:b/>
                <w:bCs/>
              </w:rPr>
              <w:t>I</w:t>
            </w:r>
            <w:r w:rsidRPr="00866D7B">
              <w:rPr>
                <w:rFonts w:asciiTheme="minorHAnsi" w:hAnsiTheme="minorHAnsi" w:cstheme="minorHAnsi"/>
              </w:rPr>
              <w:t xml:space="preserve"> stands for the professional experience of the person acting as a Regulatory Medical Device Officer in the U.S. Weight: 20%</w:t>
            </w:r>
          </w:p>
          <w:p w14:paraId="450F4A95" w14:textId="5E1FAAF2" w:rsidR="00DD51B6" w:rsidRPr="00FE4258" w:rsidRDefault="00DD51B6" w:rsidP="00866D7B">
            <w:pPr>
              <w:spacing w:afterLines="57" w:after="136" w:line="360" w:lineRule="auto"/>
              <w:rPr>
                <w:rFonts w:asciiTheme="minorHAnsi" w:hAnsiTheme="minorHAnsi" w:cstheme="minorHAnsi"/>
              </w:rPr>
            </w:pPr>
            <w:r w:rsidRPr="00866D7B">
              <w:rPr>
                <w:rFonts w:asciiTheme="minorHAnsi" w:hAnsiTheme="minorHAnsi" w:cstheme="minorHAnsi"/>
                <w:b/>
                <w:bCs/>
              </w:rPr>
              <w:t xml:space="preserve">M </w:t>
            </w:r>
            <w:r w:rsidRPr="00866D7B">
              <w:rPr>
                <w:rFonts w:asciiTheme="minorHAnsi" w:hAnsiTheme="minorHAnsi" w:cstheme="minorHAnsi"/>
              </w:rPr>
              <w:t>stands for - professional experience of the person in creating medical writing Weight: 20%</w:t>
            </w:r>
          </w:p>
          <w:p w14:paraId="13D37A3B" w14:textId="1BC7AD10" w:rsidR="000F56FC" w:rsidRPr="00FE4258" w:rsidRDefault="00DD51B6" w:rsidP="00866D7B">
            <w:pPr>
              <w:spacing w:afterLines="57" w:after="136" w:line="360" w:lineRule="auto"/>
              <w:rPr>
                <w:rFonts w:asciiTheme="minorHAnsi" w:hAnsiTheme="minorHAnsi" w:cstheme="minorHAnsi"/>
                <w:b/>
                <w:bCs/>
              </w:rPr>
            </w:pPr>
            <w:r w:rsidRPr="00866D7B">
              <w:rPr>
                <w:rFonts w:asciiTheme="minorHAnsi" w:hAnsiTheme="minorHAnsi" w:cstheme="minorHAnsi"/>
                <w:b/>
                <w:bCs/>
              </w:rPr>
              <w:t>U</w:t>
            </w:r>
            <w:r w:rsidRPr="00866D7B">
              <w:rPr>
                <w:rFonts w:asciiTheme="minorHAnsi" w:hAnsiTheme="minorHAnsi" w:cstheme="minorHAnsi"/>
              </w:rPr>
              <w:t xml:space="preserve"> means - professional experience of the person performing the duties of a medical statistician in clinical trials Weight: 20%</w:t>
            </w:r>
          </w:p>
          <w:p w14:paraId="12F349BF" w14:textId="48D9E9BE" w:rsidR="000F56FC" w:rsidRPr="00FE4258" w:rsidRDefault="000F56FC" w:rsidP="00866D7B">
            <w:pPr>
              <w:spacing w:after="57" w:line="360" w:lineRule="auto"/>
              <w:rPr>
                <w:rFonts w:asciiTheme="minorHAnsi" w:hAnsiTheme="minorHAnsi" w:cstheme="minorHAnsi"/>
              </w:rPr>
            </w:pPr>
            <w:r w:rsidRPr="0056439D">
              <w:rPr>
                <w:rFonts w:asciiTheme="minorHAnsi" w:hAnsiTheme="minorHAnsi" w:cstheme="minorHAnsi"/>
              </w:rPr>
              <w:t xml:space="preserve">If the tenderer appoints several persons with different levels of experience to provide services, they will receive a score based on the experience of the most experienced person </w:t>
            </w:r>
            <w:r w:rsidRPr="0056439D">
              <w:rPr>
                <w:rFonts w:asciiTheme="minorHAnsi" w:hAnsiTheme="minorHAnsi" w:cstheme="minorHAnsi"/>
              </w:rPr>
              <w:lastRenderedPageBreak/>
              <w:t>who meets all the qualification requirements.</w:t>
            </w:r>
          </w:p>
          <w:p w14:paraId="535FF932" w14:textId="6F007BA8" w:rsidR="00DD51B6" w:rsidRPr="00FE4258" w:rsidRDefault="000F56FC" w:rsidP="00866D7B">
            <w:pPr>
              <w:spacing w:after="57" w:line="360" w:lineRule="auto"/>
              <w:rPr>
                <w:rFonts w:asciiTheme="minorHAnsi" w:hAnsiTheme="minorHAnsi" w:cstheme="minorHAnsi"/>
                <w:sz w:val="22"/>
                <w:szCs w:val="22"/>
              </w:rPr>
            </w:pPr>
            <w:r w:rsidRPr="00A04CA7">
              <w:rPr>
                <w:rFonts w:asciiTheme="minorHAnsi" w:hAnsiTheme="minorHAnsi" w:cstheme="minorHAnsi"/>
                <w:b/>
                <w:bCs/>
              </w:rPr>
              <w:t>In each of the above-mentioned criteria (I, M, U) the Contractor may obtain a maximum of 20 points as described below</w:t>
            </w:r>
            <w:r w:rsidRPr="0056439D">
              <w:rPr>
                <w:rFonts w:asciiTheme="minorHAnsi" w:hAnsiTheme="minorHAnsi" w:cstheme="minorHAnsi"/>
              </w:rPr>
              <w:t>.</w:t>
            </w:r>
          </w:p>
        </w:tc>
      </w:tr>
      <w:tr w:rsidR="000F56FC" w:rsidRPr="00CF4164" w14:paraId="0DFECAE3" w14:textId="77777777">
        <w:trPr>
          <w:cantSplit/>
          <w:trHeight w:val="1376"/>
        </w:trPr>
        <w:tc>
          <w:tcPr>
            <w:tcW w:w="2770" w:type="dxa"/>
            <w:tcBorders>
              <w:top w:val="single" w:sz="4" w:space="0" w:color="auto"/>
              <w:left w:val="single" w:sz="4" w:space="0" w:color="auto"/>
              <w:bottom w:val="single" w:sz="4" w:space="0" w:color="auto"/>
              <w:right w:val="single" w:sz="4" w:space="0" w:color="auto"/>
            </w:tcBorders>
            <w:shd w:val="clear" w:color="auto" w:fill="auto"/>
            <w:tcMar>
              <w:top w:w="170" w:type="dxa"/>
              <w:left w:w="57" w:type="dxa"/>
              <w:bottom w:w="170" w:type="dxa"/>
              <w:right w:w="57" w:type="dxa"/>
            </w:tcMar>
            <w:vAlign w:val="center"/>
          </w:tcPr>
          <w:p w14:paraId="310FF743" w14:textId="5AE0BDB2" w:rsidR="000F56FC" w:rsidRPr="00FE4258" w:rsidRDefault="000F56FC" w:rsidP="000F56FC">
            <w:pPr>
              <w:pStyle w:val="Standard"/>
              <w:spacing w:after="57" w:line="360" w:lineRule="auto"/>
              <w:ind w:left="720"/>
              <w:rPr>
                <w:rFonts w:asciiTheme="minorHAnsi" w:eastAsia="Calibri" w:hAnsiTheme="minorHAnsi" w:cs="Calibri"/>
                <w:color w:val="auto"/>
              </w:rPr>
            </w:pPr>
            <w:r>
              <w:rPr>
                <w:rFonts w:asciiTheme="minorHAnsi" w:eastAsia="Calibri" w:hAnsiTheme="minorHAnsi" w:cs="Calibri"/>
                <w:color w:val="auto"/>
              </w:rPr>
              <w:lastRenderedPageBreak/>
              <w:t xml:space="preserve">2A U.S. Medical Device Regulatory Specialist Work Experience - </w:t>
            </w:r>
            <w:r w:rsidRPr="000F56FC">
              <w:rPr>
                <w:rFonts w:asciiTheme="minorHAnsi" w:eastAsia="Calibri" w:hAnsiTheme="minorHAnsi" w:cs="Calibri"/>
                <w:b/>
                <w:bCs/>
                <w:color w:val="auto"/>
              </w:rPr>
              <w:t>(I)</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70" w:type="dxa"/>
              <w:left w:w="57" w:type="dxa"/>
              <w:bottom w:w="170" w:type="dxa"/>
              <w:right w:w="57" w:type="dxa"/>
            </w:tcMar>
            <w:vAlign w:val="center"/>
          </w:tcPr>
          <w:p w14:paraId="4C8D8328" w14:textId="77777777" w:rsidR="000F56FC" w:rsidRPr="00FE4258" w:rsidRDefault="000F56FC" w:rsidP="00A91C75">
            <w:pPr>
              <w:pStyle w:val="Standard"/>
              <w:spacing w:after="57" w:line="360" w:lineRule="auto"/>
              <w:rPr>
                <w:rFonts w:asciiTheme="minorHAnsi" w:eastAsia="Calibri" w:hAnsiTheme="minorHAnsi" w:cs="Calibri"/>
                <w:color w:val="auto"/>
              </w:rPr>
            </w:pPr>
          </w:p>
        </w:tc>
        <w:tc>
          <w:tcPr>
            <w:tcW w:w="4806" w:type="dxa"/>
            <w:tcBorders>
              <w:top w:val="single" w:sz="4" w:space="0" w:color="auto"/>
              <w:left w:val="single" w:sz="4" w:space="0" w:color="auto"/>
              <w:bottom w:val="single" w:sz="4" w:space="0" w:color="auto"/>
              <w:right w:val="single" w:sz="4" w:space="0" w:color="auto"/>
            </w:tcBorders>
            <w:shd w:val="clear" w:color="auto" w:fill="auto"/>
            <w:tcMar>
              <w:top w:w="170" w:type="dxa"/>
              <w:left w:w="57" w:type="dxa"/>
              <w:bottom w:w="170" w:type="dxa"/>
              <w:right w:w="57" w:type="dxa"/>
            </w:tcMar>
            <w:vAlign w:val="center"/>
          </w:tcPr>
          <w:p w14:paraId="6EE1FDC7" w14:textId="77777777" w:rsidR="000F56FC" w:rsidRPr="00FE4258" w:rsidRDefault="00157659" w:rsidP="00157659">
            <w:pPr>
              <w:pStyle w:val="Standard"/>
              <w:spacing w:after="57" w:line="360" w:lineRule="auto"/>
              <w:ind w:right="113"/>
              <w:rPr>
                <w:rFonts w:asciiTheme="minorHAnsi" w:eastAsia="Calibri" w:hAnsiTheme="minorHAnsi" w:cstheme="minorHAnsi"/>
                <w:color w:val="auto"/>
              </w:rPr>
            </w:pPr>
            <w:r w:rsidRPr="00157659">
              <w:rPr>
                <w:rFonts w:asciiTheme="minorHAnsi" w:eastAsia="Calibri" w:hAnsiTheme="minorHAnsi" w:cstheme="minorHAnsi"/>
                <w:color w:val="auto"/>
              </w:rPr>
              <w:t>Description of the criterion:</w:t>
            </w:r>
          </w:p>
          <w:p w14:paraId="21C27919" w14:textId="324F4378" w:rsidR="00157659" w:rsidRPr="00FE4258" w:rsidRDefault="00157659" w:rsidP="00A04CA7">
            <w:pPr>
              <w:pStyle w:val="Standard"/>
              <w:spacing w:after="57" w:line="360" w:lineRule="auto"/>
              <w:ind w:right="113"/>
              <w:rPr>
                <w:rFonts w:asciiTheme="minorHAnsi" w:hAnsiTheme="minorHAnsi" w:cstheme="minorHAnsi"/>
                <w:kern w:val="0"/>
              </w:rPr>
            </w:pPr>
            <w:r w:rsidRPr="00157659">
              <w:rPr>
                <w:rFonts w:asciiTheme="minorHAnsi" w:hAnsiTheme="minorHAnsi" w:cstheme="minorHAnsi"/>
                <w:kern w:val="0"/>
              </w:rPr>
              <w:t>The number of completed projects in medical devices in the U.S. in which the person participated.</w:t>
            </w:r>
          </w:p>
          <w:p w14:paraId="55A1B82A" w14:textId="77777777" w:rsidR="0056439D" w:rsidRPr="00FE4258" w:rsidRDefault="0056439D" w:rsidP="00A04CA7">
            <w:pPr>
              <w:pStyle w:val="Standard"/>
              <w:spacing w:after="57" w:line="360" w:lineRule="auto"/>
              <w:ind w:right="113"/>
              <w:rPr>
                <w:rFonts w:asciiTheme="minorHAnsi" w:hAnsiTheme="minorHAnsi" w:cstheme="minorHAnsi"/>
                <w:kern w:val="0"/>
              </w:rPr>
            </w:pPr>
          </w:p>
          <w:p w14:paraId="471175F7" w14:textId="77777777" w:rsidR="00157659" w:rsidRPr="00FE4258" w:rsidRDefault="00157659" w:rsidP="00A04CA7">
            <w:pPr>
              <w:spacing w:after="57" w:line="360" w:lineRule="auto"/>
              <w:rPr>
                <w:rFonts w:asciiTheme="minorHAnsi" w:hAnsiTheme="minorHAnsi" w:cstheme="minorHAnsi"/>
              </w:rPr>
            </w:pPr>
            <w:r w:rsidRPr="00157659">
              <w:rPr>
                <w:rFonts w:asciiTheme="minorHAnsi" w:hAnsiTheme="minorHAnsi" w:cstheme="minorHAnsi"/>
              </w:rPr>
              <w:t>Points awarded according to the scheme:</w:t>
            </w:r>
          </w:p>
          <w:p w14:paraId="03E756C8" w14:textId="77777777" w:rsidR="00157659" w:rsidRPr="00FE4258" w:rsidRDefault="00157659" w:rsidP="00A04CA7">
            <w:pPr>
              <w:spacing w:after="57" w:line="360" w:lineRule="auto"/>
              <w:rPr>
                <w:rFonts w:asciiTheme="minorHAnsi" w:hAnsiTheme="minorHAnsi" w:cstheme="minorHAnsi"/>
              </w:rPr>
            </w:pPr>
            <w:r w:rsidRPr="00157659">
              <w:rPr>
                <w:rFonts w:asciiTheme="minorHAnsi" w:hAnsiTheme="minorHAnsi" w:cstheme="minorHAnsi"/>
              </w:rPr>
              <w:t>From 1 to 2 – 5 points</w:t>
            </w:r>
          </w:p>
          <w:p w14:paraId="5CF8E629" w14:textId="617120A8" w:rsidR="00157659" w:rsidRPr="00FE4258" w:rsidRDefault="00157659" w:rsidP="00A04CA7">
            <w:pPr>
              <w:spacing w:after="57" w:line="360" w:lineRule="auto"/>
              <w:rPr>
                <w:rFonts w:asciiTheme="minorHAnsi" w:hAnsiTheme="minorHAnsi" w:cstheme="minorHAnsi"/>
              </w:rPr>
            </w:pPr>
            <w:r w:rsidRPr="00157659">
              <w:rPr>
                <w:rFonts w:asciiTheme="minorHAnsi" w:hAnsiTheme="minorHAnsi" w:cstheme="minorHAnsi"/>
              </w:rPr>
              <w:t>From 3 to 4 - 10 points</w:t>
            </w:r>
          </w:p>
          <w:p w14:paraId="53A292E0" w14:textId="77777777" w:rsidR="00157659" w:rsidRPr="00FE4258" w:rsidRDefault="00157659" w:rsidP="00A04CA7">
            <w:pPr>
              <w:spacing w:after="57" w:line="360" w:lineRule="auto"/>
              <w:rPr>
                <w:rFonts w:asciiTheme="minorHAnsi" w:hAnsiTheme="minorHAnsi" w:cstheme="minorHAnsi"/>
              </w:rPr>
            </w:pPr>
            <w:r w:rsidRPr="00157659">
              <w:rPr>
                <w:rFonts w:asciiTheme="minorHAnsi" w:hAnsiTheme="minorHAnsi" w:cstheme="minorHAnsi"/>
              </w:rPr>
              <w:t>From 5 to 9 – 15 points</w:t>
            </w:r>
          </w:p>
          <w:p w14:paraId="6BED69C0" w14:textId="4FAC5314" w:rsidR="00157659" w:rsidRPr="00157659" w:rsidRDefault="007C7599" w:rsidP="00A04CA7">
            <w:pPr>
              <w:pStyle w:val="Standard"/>
              <w:spacing w:after="57" w:line="360" w:lineRule="auto"/>
              <w:ind w:right="113"/>
              <w:rPr>
                <w:rFonts w:ascii="Arial" w:hAnsi="Arial" w:cs="Arial"/>
                <w:kern w:val="0"/>
                <w:sz w:val="20"/>
                <w:szCs w:val="20"/>
              </w:rPr>
            </w:pPr>
            <w:r>
              <w:rPr>
                <w:rFonts w:asciiTheme="minorHAnsi" w:hAnsiTheme="minorHAnsi" w:cstheme="minorHAnsi"/>
                <w:kern w:val="0"/>
              </w:rPr>
              <w:t>From 10 - 20 points</w:t>
            </w:r>
          </w:p>
        </w:tc>
      </w:tr>
      <w:tr w:rsidR="00157659" w:rsidRPr="006E602F" w14:paraId="58ABD32D" w14:textId="77777777" w:rsidTr="00A04CA7">
        <w:trPr>
          <w:trHeight w:val="1376"/>
        </w:trPr>
        <w:tc>
          <w:tcPr>
            <w:tcW w:w="2770" w:type="dxa"/>
            <w:tcBorders>
              <w:top w:val="single" w:sz="4" w:space="0" w:color="auto"/>
              <w:left w:val="single" w:sz="4" w:space="0" w:color="auto"/>
              <w:bottom w:val="single" w:sz="4" w:space="0" w:color="auto"/>
              <w:right w:val="single" w:sz="4" w:space="0" w:color="auto"/>
            </w:tcBorders>
            <w:shd w:val="clear" w:color="auto" w:fill="auto"/>
            <w:tcMar>
              <w:top w:w="170" w:type="dxa"/>
              <w:left w:w="57" w:type="dxa"/>
              <w:bottom w:w="170" w:type="dxa"/>
              <w:right w:w="57" w:type="dxa"/>
            </w:tcMar>
            <w:vAlign w:val="center"/>
          </w:tcPr>
          <w:p w14:paraId="7EC26AE2" w14:textId="4D95490D" w:rsidR="00157659" w:rsidRPr="00FE4258" w:rsidRDefault="0056439D" w:rsidP="000F56FC">
            <w:pPr>
              <w:pStyle w:val="Standard"/>
              <w:spacing w:after="57" w:line="360" w:lineRule="auto"/>
              <w:ind w:left="720"/>
              <w:rPr>
                <w:rFonts w:asciiTheme="minorHAnsi" w:eastAsia="Calibri" w:hAnsiTheme="minorHAnsi" w:cs="Calibri"/>
                <w:color w:val="auto"/>
              </w:rPr>
            </w:pPr>
            <w:r>
              <w:rPr>
                <w:rFonts w:asciiTheme="minorHAnsi" w:eastAsia="Calibri" w:hAnsiTheme="minorHAnsi" w:cs="Calibri"/>
                <w:color w:val="auto"/>
              </w:rPr>
              <w:t xml:space="preserve">2B Professional experience in medical writing </w:t>
            </w:r>
            <w:r w:rsidRPr="00331E00">
              <w:rPr>
                <w:rFonts w:ascii="Arial" w:hAnsi="Arial" w:cs="Arial"/>
                <w:kern w:val="0"/>
                <w:sz w:val="20"/>
                <w:szCs w:val="20"/>
              </w:rPr>
              <w:t xml:space="preserve">– </w:t>
            </w:r>
            <w:r w:rsidRPr="00331E00">
              <w:rPr>
                <w:rFonts w:asciiTheme="minorHAnsi" w:hAnsiTheme="minorHAnsi" w:cstheme="minorHAnsi"/>
                <w:b/>
                <w:bCs/>
                <w:kern w:val="0"/>
              </w:rPr>
              <w:t>(M)</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70" w:type="dxa"/>
              <w:left w:w="57" w:type="dxa"/>
              <w:bottom w:w="170" w:type="dxa"/>
              <w:right w:w="57" w:type="dxa"/>
            </w:tcMar>
            <w:vAlign w:val="center"/>
          </w:tcPr>
          <w:p w14:paraId="038B639B" w14:textId="77777777" w:rsidR="00157659" w:rsidRPr="00FE4258" w:rsidRDefault="00157659" w:rsidP="00A91C75">
            <w:pPr>
              <w:pStyle w:val="Standard"/>
              <w:spacing w:after="57" w:line="360" w:lineRule="auto"/>
              <w:rPr>
                <w:rFonts w:asciiTheme="minorHAnsi" w:eastAsia="Calibri" w:hAnsiTheme="minorHAnsi" w:cstheme="minorHAnsi"/>
                <w:color w:val="auto"/>
              </w:rPr>
            </w:pPr>
          </w:p>
        </w:tc>
        <w:tc>
          <w:tcPr>
            <w:tcW w:w="4806" w:type="dxa"/>
            <w:tcBorders>
              <w:top w:val="single" w:sz="4" w:space="0" w:color="auto"/>
              <w:left w:val="single" w:sz="4" w:space="0" w:color="auto"/>
              <w:bottom w:val="single" w:sz="4" w:space="0" w:color="auto"/>
              <w:right w:val="single" w:sz="4" w:space="0" w:color="auto"/>
            </w:tcBorders>
            <w:shd w:val="clear" w:color="auto" w:fill="auto"/>
            <w:tcMar>
              <w:top w:w="170" w:type="dxa"/>
              <w:left w:w="57" w:type="dxa"/>
              <w:bottom w:w="170" w:type="dxa"/>
              <w:right w:w="57" w:type="dxa"/>
            </w:tcMar>
            <w:vAlign w:val="center"/>
          </w:tcPr>
          <w:p w14:paraId="7EAB2DC0" w14:textId="77777777" w:rsidR="0056439D" w:rsidRPr="00FE4258" w:rsidRDefault="0056439D" w:rsidP="00A04CA7">
            <w:pPr>
              <w:pStyle w:val="Standard"/>
              <w:spacing w:after="57" w:line="360" w:lineRule="auto"/>
              <w:ind w:right="113"/>
              <w:rPr>
                <w:rFonts w:asciiTheme="minorHAnsi" w:hAnsiTheme="minorHAnsi" w:cstheme="minorHAnsi"/>
                <w:kern w:val="0"/>
              </w:rPr>
            </w:pPr>
            <w:r w:rsidRPr="000819F3">
              <w:rPr>
                <w:rFonts w:asciiTheme="minorHAnsi" w:hAnsiTheme="minorHAnsi" w:cstheme="minorHAnsi"/>
                <w:kern w:val="0"/>
              </w:rPr>
              <w:t>Description of the criterion:</w:t>
            </w:r>
          </w:p>
          <w:p w14:paraId="52EAB614" w14:textId="77777777" w:rsidR="0056439D" w:rsidRPr="00FE4258" w:rsidRDefault="0056439D" w:rsidP="00A04CA7">
            <w:pPr>
              <w:spacing w:after="57" w:line="360" w:lineRule="auto"/>
              <w:rPr>
                <w:rFonts w:asciiTheme="minorHAnsi" w:hAnsiTheme="minorHAnsi" w:cstheme="minorHAnsi"/>
                <w:kern w:val="0"/>
              </w:rPr>
            </w:pPr>
            <w:r w:rsidRPr="0056439D">
              <w:rPr>
                <w:rFonts w:asciiTheme="minorHAnsi" w:hAnsiTheme="minorHAnsi" w:cstheme="minorHAnsi"/>
                <w:kern w:val="0"/>
              </w:rPr>
              <w:t xml:space="preserve">Years (full 12 months) of professional experience in creating medical writing </w:t>
            </w:r>
          </w:p>
          <w:p w14:paraId="78E8D5E0" w14:textId="77777777" w:rsidR="0056439D" w:rsidRPr="00FE4258" w:rsidRDefault="0056439D" w:rsidP="00A04CA7">
            <w:pPr>
              <w:spacing w:after="57" w:line="360" w:lineRule="auto"/>
              <w:rPr>
                <w:rFonts w:asciiTheme="minorHAnsi" w:hAnsiTheme="minorHAnsi" w:cstheme="minorHAnsi"/>
                <w:kern w:val="0"/>
              </w:rPr>
            </w:pPr>
          </w:p>
          <w:p w14:paraId="164950CC" w14:textId="115805F2" w:rsidR="0056439D" w:rsidRPr="00FE4258" w:rsidRDefault="0056439D" w:rsidP="00A04CA7">
            <w:pPr>
              <w:spacing w:after="57" w:line="360" w:lineRule="auto"/>
              <w:rPr>
                <w:rFonts w:asciiTheme="minorHAnsi" w:hAnsiTheme="minorHAnsi" w:cstheme="minorHAnsi"/>
                <w:kern w:val="0"/>
              </w:rPr>
            </w:pPr>
            <w:r w:rsidRPr="000819F3">
              <w:rPr>
                <w:rFonts w:asciiTheme="minorHAnsi" w:hAnsiTheme="minorHAnsi" w:cstheme="minorHAnsi"/>
                <w:kern w:val="0"/>
              </w:rPr>
              <w:t>Points awarded according to the scheme:</w:t>
            </w:r>
          </w:p>
          <w:p w14:paraId="15AD7030" w14:textId="1856776F" w:rsidR="0056439D" w:rsidRPr="00FE4258" w:rsidRDefault="0056439D" w:rsidP="00A04CA7">
            <w:pPr>
              <w:spacing w:after="57" w:line="360" w:lineRule="auto"/>
              <w:rPr>
                <w:rFonts w:asciiTheme="minorHAnsi" w:hAnsiTheme="minorHAnsi" w:cstheme="minorHAnsi"/>
                <w:kern w:val="0"/>
              </w:rPr>
            </w:pPr>
            <w:r w:rsidRPr="000819F3">
              <w:rPr>
                <w:rFonts w:asciiTheme="minorHAnsi" w:hAnsiTheme="minorHAnsi" w:cstheme="minorHAnsi"/>
                <w:kern w:val="0"/>
              </w:rPr>
              <w:t>From 5 to 10 – 5 points</w:t>
            </w:r>
          </w:p>
          <w:p w14:paraId="39B59F41" w14:textId="6017325F" w:rsidR="0056439D" w:rsidRPr="00FE4258" w:rsidRDefault="0056439D" w:rsidP="00A04CA7">
            <w:pPr>
              <w:spacing w:after="57" w:line="360" w:lineRule="auto"/>
              <w:rPr>
                <w:rFonts w:asciiTheme="minorHAnsi" w:hAnsiTheme="minorHAnsi" w:cstheme="minorHAnsi"/>
                <w:kern w:val="0"/>
              </w:rPr>
            </w:pPr>
            <w:r w:rsidRPr="000819F3">
              <w:rPr>
                <w:rFonts w:asciiTheme="minorHAnsi" w:hAnsiTheme="minorHAnsi" w:cstheme="minorHAnsi"/>
                <w:kern w:val="0"/>
              </w:rPr>
              <w:t>From 11 to 16 - 10 points</w:t>
            </w:r>
          </w:p>
          <w:p w14:paraId="07AB54D6" w14:textId="759A9CB9" w:rsidR="0056439D" w:rsidRPr="00FE4258" w:rsidRDefault="0056439D" w:rsidP="00A04CA7">
            <w:pPr>
              <w:spacing w:after="57" w:line="360" w:lineRule="auto"/>
              <w:rPr>
                <w:rFonts w:asciiTheme="minorHAnsi" w:hAnsiTheme="minorHAnsi" w:cstheme="minorHAnsi"/>
                <w:kern w:val="0"/>
              </w:rPr>
            </w:pPr>
            <w:r w:rsidRPr="000819F3">
              <w:rPr>
                <w:rFonts w:asciiTheme="minorHAnsi" w:hAnsiTheme="minorHAnsi" w:cstheme="minorHAnsi"/>
                <w:kern w:val="0"/>
              </w:rPr>
              <w:t>From 17 to 24 – 15 points</w:t>
            </w:r>
          </w:p>
          <w:p w14:paraId="1578DC65" w14:textId="7D575E37" w:rsidR="00157659" w:rsidRPr="00FE4258" w:rsidRDefault="007C7599" w:rsidP="00A04CA7">
            <w:pPr>
              <w:pStyle w:val="Standard"/>
              <w:spacing w:after="57" w:line="360" w:lineRule="auto"/>
              <w:ind w:right="113"/>
              <w:rPr>
                <w:rFonts w:asciiTheme="minorHAnsi" w:eastAsia="Calibri" w:hAnsiTheme="minorHAnsi" w:cstheme="minorHAnsi"/>
                <w:color w:val="auto"/>
              </w:rPr>
            </w:pPr>
            <w:r>
              <w:rPr>
                <w:rFonts w:asciiTheme="minorHAnsi" w:hAnsiTheme="minorHAnsi" w:cstheme="minorHAnsi"/>
                <w:kern w:val="0"/>
              </w:rPr>
              <w:t>From 25 - 20 points</w:t>
            </w:r>
          </w:p>
        </w:tc>
      </w:tr>
      <w:tr w:rsidR="00157659" w:rsidRPr="00CF4164" w14:paraId="11020F58" w14:textId="77777777">
        <w:trPr>
          <w:cantSplit/>
          <w:trHeight w:val="1376"/>
        </w:trPr>
        <w:tc>
          <w:tcPr>
            <w:tcW w:w="2770" w:type="dxa"/>
            <w:tcBorders>
              <w:top w:val="single" w:sz="4" w:space="0" w:color="auto"/>
              <w:left w:val="single" w:sz="4" w:space="0" w:color="auto"/>
              <w:bottom w:val="single" w:sz="4" w:space="0" w:color="auto"/>
              <w:right w:val="single" w:sz="4" w:space="0" w:color="auto"/>
            </w:tcBorders>
            <w:shd w:val="clear" w:color="auto" w:fill="auto"/>
            <w:tcMar>
              <w:top w:w="170" w:type="dxa"/>
              <w:left w:w="57" w:type="dxa"/>
              <w:bottom w:w="170" w:type="dxa"/>
              <w:right w:w="57" w:type="dxa"/>
            </w:tcMar>
            <w:vAlign w:val="center"/>
          </w:tcPr>
          <w:p w14:paraId="7923DD41" w14:textId="69692A5E" w:rsidR="00157659" w:rsidRPr="00FE4258" w:rsidRDefault="0056439D" w:rsidP="000F56FC">
            <w:pPr>
              <w:pStyle w:val="Standard"/>
              <w:spacing w:after="57" w:line="360" w:lineRule="auto"/>
              <w:ind w:left="720"/>
              <w:rPr>
                <w:rFonts w:asciiTheme="minorHAnsi" w:eastAsia="Calibri" w:hAnsiTheme="minorHAnsi" w:cs="Calibri"/>
                <w:color w:val="auto"/>
              </w:rPr>
            </w:pPr>
            <w:r>
              <w:rPr>
                <w:rFonts w:asciiTheme="minorHAnsi" w:eastAsia="Calibri" w:hAnsiTheme="minorHAnsi" w:cs="Calibri"/>
                <w:color w:val="auto"/>
              </w:rPr>
              <w:lastRenderedPageBreak/>
              <w:t>2C</w:t>
            </w:r>
            <w:r w:rsidR="008E3077">
              <w:rPr>
                <w:rFonts w:asciiTheme="minorHAnsi" w:eastAsia="Calibri" w:hAnsiTheme="minorHAnsi" w:cs="Calibri"/>
                <w:color w:val="auto"/>
              </w:rPr>
              <w:t xml:space="preserve"> P</w:t>
            </w:r>
            <w:r>
              <w:rPr>
                <w:rFonts w:asciiTheme="minorHAnsi" w:eastAsia="Calibri" w:hAnsiTheme="minorHAnsi" w:cs="Calibri"/>
                <w:color w:val="auto"/>
              </w:rPr>
              <w:t xml:space="preserve">rofessional Statement of Medical Statistician in Clinical Trials </w:t>
            </w:r>
            <w:r w:rsidRPr="0056439D">
              <w:rPr>
                <w:rFonts w:asciiTheme="minorHAnsi" w:eastAsia="Calibri" w:hAnsiTheme="minorHAnsi" w:cs="Calibri"/>
                <w:b/>
                <w:bCs/>
                <w:color w:val="auto"/>
              </w:rPr>
              <w:t>(U)</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70" w:type="dxa"/>
              <w:left w:w="57" w:type="dxa"/>
              <w:bottom w:w="170" w:type="dxa"/>
              <w:right w:w="57" w:type="dxa"/>
            </w:tcMar>
            <w:vAlign w:val="center"/>
          </w:tcPr>
          <w:p w14:paraId="6FEBEE89" w14:textId="77777777" w:rsidR="00157659" w:rsidRPr="00FE4258" w:rsidRDefault="00157659" w:rsidP="00A91C75">
            <w:pPr>
              <w:pStyle w:val="Standard"/>
              <w:spacing w:after="57" w:line="360" w:lineRule="auto"/>
              <w:rPr>
                <w:rFonts w:asciiTheme="minorHAnsi" w:eastAsia="Calibri" w:hAnsiTheme="minorHAnsi" w:cstheme="minorHAnsi"/>
                <w:color w:val="auto"/>
              </w:rPr>
            </w:pPr>
          </w:p>
        </w:tc>
        <w:tc>
          <w:tcPr>
            <w:tcW w:w="4806" w:type="dxa"/>
            <w:tcBorders>
              <w:top w:val="single" w:sz="4" w:space="0" w:color="auto"/>
              <w:left w:val="single" w:sz="4" w:space="0" w:color="auto"/>
              <w:bottom w:val="single" w:sz="4" w:space="0" w:color="auto"/>
              <w:right w:val="single" w:sz="4" w:space="0" w:color="auto"/>
            </w:tcBorders>
            <w:shd w:val="clear" w:color="auto" w:fill="auto"/>
            <w:tcMar>
              <w:top w:w="170" w:type="dxa"/>
              <w:left w:w="57" w:type="dxa"/>
              <w:bottom w:w="170" w:type="dxa"/>
              <w:right w:w="57" w:type="dxa"/>
            </w:tcMar>
            <w:vAlign w:val="center"/>
          </w:tcPr>
          <w:p w14:paraId="064E486B" w14:textId="77777777" w:rsidR="0056439D" w:rsidRPr="00FE4258" w:rsidRDefault="0056439D" w:rsidP="00A04CA7">
            <w:pPr>
              <w:pStyle w:val="Standard"/>
              <w:spacing w:after="57" w:line="360" w:lineRule="auto"/>
              <w:ind w:right="113"/>
              <w:rPr>
                <w:rFonts w:asciiTheme="minorHAnsi" w:eastAsia="Calibri" w:hAnsiTheme="minorHAnsi" w:cstheme="minorHAnsi"/>
                <w:color w:val="auto"/>
              </w:rPr>
            </w:pPr>
            <w:r w:rsidRPr="0056439D">
              <w:rPr>
                <w:rFonts w:asciiTheme="minorHAnsi" w:eastAsia="Calibri" w:hAnsiTheme="minorHAnsi" w:cstheme="minorHAnsi"/>
                <w:color w:val="auto"/>
              </w:rPr>
              <w:t>Description of the criterion:</w:t>
            </w:r>
          </w:p>
          <w:p w14:paraId="0375BCCF" w14:textId="77777777" w:rsidR="0056439D" w:rsidRPr="00FE4258" w:rsidRDefault="0056439D" w:rsidP="00A04CA7">
            <w:pPr>
              <w:spacing w:after="57" w:line="360" w:lineRule="auto"/>
              <w:rPr>
                <w:rFonts w:asciiTheme="minorHAnsi" w:hAnsiTheme="minorHAnsi" w:cstheme="minorHAnsi"/>
                <w:kern w:val="0"/>
              </w:rPr>
            </w:pPr>
            <w:r w:rsidRPr="0056439D">
              <w:rPr>
                <w:rFonts w:asciiTheme="minorHAnsi" w:hAnsiTheme="minorHAnsi" w:cstheme="minorHAnsi"/>
                <w:kern w:val="0"/>
              </w:rPr>
              <w:t xml:space="preserve">Years (full 12 months) of professional experience in clinical trials conducted in the USA  </w:t>
            </w:r>
          </w:p>
          <w:p w14:paraId="5B9B74CA" w14:textId="77777777" w:rsidR="0056439D" w:rsidRPr="00FE4258" w:rsidRDefault="0056439D" w:rsidP="00A04CA7">
            <w:pPr>
              <w:spacing w:after="57" w:line="360" w:lineRule="auto"/>
              <w:rPr>
                <w:rFonts w:asciiTheme="minorHAnsi" w:hAnsiTheme="minorHAnsi" w:cstheme="minorHAnsi"/>
                <w:kern w:val="0"/>
              </w:rPr>
            </w:pPr>
          </w:p>
          <w:p w14:paraId="2C50BBB1" w14:textId="56D8F0D1" w:rsidR="0056439D" w:rsidRPr="00FE4258" w:rsidRDefault="0056439D" w:rsidP="00A04CA7">
            <w:pPr>
              <w:spacing w:after="57" w:line="360" w:lineRule="auto"/>
              <w:rPr>
                <w:rFonts w:asciiTheme="minorHAnsi" w:hAnsiTheme="minorHAnsi" w:cstheme="minorHAnsi"/>
              </w:rPr>
            </w:pPr>
            <w:r w:rsidRPr="0056439D">
              <w:rPr>
                <w:rFonts w:asciiTheme="minorHAnsi" w:hAnsiTheme="minorHAnsi" w:cstheme="minorHAnsi"/>
              </w:rPr>
              <w:t>Points awarded according to the scheme:</w:t>
            </w:r>
          </w:p>
          <w:p w14:paraId="303D348B" w14:textId="3E6F4544" w:rsidR="0056439D" w:rsidRPr="00FE4258" w:rsidRDefault="0056439D" w:rsidP="00A04CA7">
            <w:pPr>
              <w:spacing w:after="57" w:line="360" w:lineRule="auto"/>
              <w:rPr>
                <w:rFonts w:asciiTheme="minorHAnsi" w:hAnsiTheme="minorHAnsi" w:cstheme="minorHAnsi"/>
              </w:rPr>
            </w:pPr>
            <w:r w:rsidRPr="0056439D">
              <w:rPr>
                <w:rFonts w:asciiTheme="minorHAnsi" w:hAnsiTheme="minorHAnsi" w:cstheme="minorHAnsi"/>
              </w:rPr>
              <w:t>From 5 to 9 – 5 points</w:t>
            </w:r>
          </w:p>
          <w:p w14:paraId="371577A9" w14:textId="09C37EAD" w:rsidR="0056439D" w:rsidRPr="00FE4258" w:rsidRDefault="0056439D" w:rsidP="00A04CA7">
            <w:pPr>
              <w:spacing w:after="57" w:line="360" w:lineRule="auto"/>
              <w:rPr>
                <w:rFonts w:asciiTheme="minorHAnsi" w:hAnsiTheme="minorHAnsi" w:cstheme="minorHAnsi"/>
              </w:rPr>
            </w:pPr>
            <w:r w:rsidRPr="0056439D">
              <w:rPr>
                <w:rFonts w:asciiTheme="minorHAnsi" w:hAnsiTheme="minorHAnsi" w:cstheme="minorHAnsi"/>
              </w:rPr>
              <w:t>From 10 to 14 - 10 points</w:t>
            </w:r>
          </w:p>
          <w:p w14:paraId="4D9C6CF4" w14:textId="172C44C5" w:rsidR="0056439D" w:rsidRPr="00FE4258" w:rsidRDefault="0056439D" w:rsidP="00A04CA7">
            <w:pPr>
              <w:spacing w:after="57" w:line="360" w:lineRule="auto"/>
              <w:rPr>
                <w:rFonts w:asciiTheme="minorHAnsi" w:hAnsiTheme="minorHAnsi" w:cstheme="minorHAnsi"/>
              </w:rPr>
            </w:pPr>
            <w:r w:rsidRPr="0056439D">
              <w:rPr>
                <w:rFonts w:asciiTheme="minorHAnsi" w:hAnsiTheme="minorHAnsi" w:cstheme="minorHAnsi"/>
              </w:rPr>
              <w:t>From 15 to 20 – 15 points</w:t>
            </w:r>
          </w:p>
          <w:p w14:paraId="492AFB93" w14:textId="25F5F59C" w:rsidR="00157659" w:rsidRPr="00FE4258" w:rsidRDefault="007C7599" w:rsidP="00A04CA7">
            <w:pPr>
              <w:pStyle w:val="Standard"/>
              <w:spacing w:after="57" w:line="360" w:lineRule="auto"/>
              <w:ind w:right="113"/>
              <w:rPr>
                <w:rFonts w:asciiTheme="minorHAnsi" w:eastAsia="Calibri" w:hAnsiTheme="minorHAnsi" w:cstheme="minorHAnsi"/>
                <w:color w:val="auto"/>
              </w:rPr>
            </w:pPr>
            <w:r>
              <w:rPr>
                <w:rFonts w:asciiTheme="minorHAnsi" w:hAnsiTheme="minorHAnsi" w:cstheme="minorHAnsi"/>
                <w:kern w:val="0"/>
              </w:rPr>
              <w:t>From 20 - 20 points</w:t>
            </w:r>
          </w:p>
        </w:tc>
      </w:tr>
    </w:tbl>
    <w:p w14:paraId="286B0F53" w14:textId="24BB1F90" w:rsidR="00DD51B6" w:rsidRPr="00FE4258" w:rsidRDefault="00DD51B6" w:rsidP="00DD51B6">
      <w:pPr>
        <w:pStyle w:val="Standard"/>
        <w:spacing w:after="57" w:line="360" w:lineRule="auto"/>
        <w:rPr>
          <w:rFonts w:asciiTheme="minorHAnsi" w:eastAsia="Calibri" w:hAnsiTheme="minorHAnsi" w:cs="Calibri"/>
          <w:color w:val="auto"/>
        </w:rPr>
      </w:pPr>
    </w:p>
    <w:p w14:paraId="2B261839" w14:textId="31795844" w:rsidR="00204193" w:rsidRPr="008E3077" w:rsidRDefault="00DD51B6" w:rsidP="00204193">
      <w:pPr>
        <w:pStyle w:val="Standard"/>
        <w:numPr>
          <w:ilvl w:val="1"/>
          <w:numId w:val="6"/>
        </w:numPr>
        <w:spacing w:after="57" w:line="360" w:lineRule="auto"/>
        <w:rPr>
          <w:rFonts w:asciiTheme="minorHAnsi" w:eastAsia="Calibri" w:hAnsiTheme="minorHAnsi" w:cstheme="minorHAnsi"/>
          <w:color w:val="auto"/>
        </w:rPr>
      </w:pPr>
      <w:r w:rsidRPr="008E3077">
        <w:rPr>
          <w:rFonts w:asciiTheme="minorHAnsi" w:eastAsia="Calibri" w:hAnsiTheme="minorHAnsi" w:cstheme="minorHAnsi"/>
          <w:color w:val="auto"/>
        </w:rPr>
        <w:t>Prices must be: given and calculated rounded to two decimal places (rounding rule – below 5 the en</w:t>
      </w:r>
      <w:r w:rsidRPr="008E3077">
        <w:rPr>
          <w:rFonts w:asciiTheme="minorHAnsi" w:eastAsia="Times New Roman" w:hAnsiTheme="minorHAnsi" w:cstheme="minorHAnsi"/>
          <w:color w:val="auto"/>
          <w:kern w:val="0"/>
          <w:lang w:val="en" w:eastAsia="pl-PL" w:bidi="ar-SA"/>
        </w:rPr>
        <w:t xml:space="preserve">ding should be omitted, above and equal to 5 should be rounded up). </w:t>
      </w:r>
      <w:r w:rsidR="00204193" w:rsidRPr="008E3077">
        <w:rPr>
          <w:rFonts w:asciiTheme="minorHAnsi" w:eastAsia="Times New Roman" w:hAnsiTheme="minorHAnsi" w:cstheme="minorHAnsi"/>
          <w:color w:val="auto"/>
          <w:kern w:val="0"/>
          <w:lang w:val="en" w:eastAsia="pl-PL" w:bidi="ar-SA"/>
        </w:rPr>
        <w:t xml:space="preserve">The offer price can be expressed in a foreign currency. Then, for the purpose of evaluating the offer, the price will be converted into PLN at the average exchange rate quoted by the National Bank of Poland on the day of publication of the </w:t>
      </w:r>
      <w:r w:rsidR="002A0316" w:rsidRPr="008E3077">
        <w:rPr>
          <w:rFonts w:asciiTheme="minorHAnsi" w:eastAsia="Times New Roman" w:hAnsiTheme="minorHAnsi" w:cstheme="minorHAnsi"/>
          <w:color w:val="auto"/>
          <w:kern w:val="0"/>
          <w:lang w:val="en" w:eastAsia="pl-PL" w:bidi="ar-SA"/>
        </w:rPr>
        <w:t>ingiury.</w:t>
      </w:r>
    </w:p>
    <w:p w14:paraId="0001F00E" w14:textId="77777777" w:rsidR="00DD51B6" w:rsidRPr="00FE4258" w:rsidRDefault="00DD51B6" w:rsidP="008008DC">
      <w:pPr>
        <w:pStyle w:val="Standard"/>
        <w:numPr>
          <w:ilvl w:val="1"/>
          <w:numId w:val="6"/>
        </w:numPr>
        <w:spacing w:after="57" w:line="360" w:lineRule="auto"/>
        <w:rPr>
          <w:rFonts w:asciiTheme="minorHAnsi" w:eastAsia="Calibri" w:hAnsiTheme="minorHAnsi" w:cs="Calibri"/>
          <w:color w:val="auto"/>
        </w:rPr>
      </w:pPr>
      <w:r w:rsidRPr="00DD51B6">
        <w:rPr>
          <w:rFonts w:asciiTheme="minorHAnsi" w:eastAsia="Calibri" w:hAnsiTheme="minorHAnsi" w:cs="Calibri"/>
          <w:color w:val="auto"/>
        </w:rPr>
        <w:t>The price should be broken down: net worth; VAT rate %; gross value.</w:t>
      </w:r>
    </w:p>
    <w:p w14:paraId="0C701C24" w14:textId="43F43D96" w:rsidR="00DD51B6" w:rsidRPr="00FE4258" w:rsidRDefault="00DD51B6" w:rsidP="008008DC">
      <w:pPr>
        <w:pStyle w:val="Standard"/>
        <w:numPr>
          <w:ilvl w:val="1"/>
          <w:numId w:val="6"/>
        </w:numPr>
        <w:spacing w:after="57" w:line="360" w:lineRule="auto"/>
        <w:rPr>
          <w:rFonts w:asciiTheme="minorHAnsi" w:eastAsia="Calibri" w:hAnsiTheme="minorHAnsi" w:cs="Calibri"/>
          <w:color w:val="auto"/>
        </w:rPr>
      </w:pPr>
      <w:r w:rsidRPr="00DD51B6">
        <w:rPr>
          <w:rFonts w:asciiTheme="minorHAnsi" w:eastAsia="Calibri" w:hAnsiTheme="minorHAnsi" w:cs="Calibri"/>
          <w:color w:val="auto"/>
        </w:rPr>
        <w:t xml:space="preserve">The offer price must include all costs related to the performance of the subject of the contract in accordance with the description of the subject of the contract and the contract template (Appendix 1). The price should include, in particular, the costs of works related to the preparation for the implementation of the subject of the contract, securing the costs of materials necessary for the performance of the subject of the contract, equipment of workstations of persons performing the subject of the contract, costs related to insurance, assumed margins, the cost of risks arising during the performance of the contract that may be identified at the current stage of the procedure. </w:t>
      </w:r>
    </w:p>
    <w:p w14:paraId="14EAE30D" w14:textId="1FB6113B" w:rsidR="00C33C4A" w:rsidRPr="00FE4258" w:rsidRDefault="00C33C4A" w:rsidP="008008DC">
      <w:pPr>
        <w:pStyle w:val="Standard"/>
        <w:numPr>
          <w:ilvl w:val="1"/>
          <w:numId w:val="6"/>
        </w:numPr>
        <w:spacing w:after="57" w:line="360" w:lineRule="auto"/>
        <w:rPr>
          <w:rFonts w:asciiTheme="minorHAnsi" w:eastAsia="Calibri" w:hAnsiTheme="minorHAnsi" w:cs="Calibri"/>
          <w:color w:val="auto"/>
        </w:rPr>
      </w:pPr>
      <w:r>
        <w:rPr>
          <w:rFonts w:asciiTheme="minorHAnsi" w:eastAsia="Calibri" w:hAnsiTheme="minorHAnsi" w:cs="Calibri"/>
          <w:color w:val="auto"/>
        </w:rPr>
        <w:t xml:space="preserve">A tenderer who wants to obtain points in the criterion of professional experience of the team (2) is obliged to attach to the offer a list in the form of statements confirming the experience indicated in the list. The Contracting Authority reserves the right to verify the </w:t>
      </w:r>
      <w:r>
        <w:rPr>
          <w:rFonts w:asciiTheme="minorHAnsi" w:eastAsia="Calibri" w:hAnsiTheme="minorHAnsi" w:cs="Calibri"/>
          <w:color w:val="auto"/>
        </w:rPr>
        <w:lastRenderedPageBreak/>
        <w:t>data contained in the list with the actual state of affairs on the basis of source documents.</w:t>
      </w:r>
    </w:p>
    <w:p w14:paraId="2B892348" w14:textId="24592F16" w:rsidR="00CF4164" w:rsidRPr="00FE4258" w:rsidRDefault="00CF4164" w:rsidP="008008DC">
      <w:pPr>
        <w:pStyle w:val="Standard"/>
        <w:numPr>
          <w:ilvl w:val="1"/>
          <w:numId w:val="6"/>
        </w:numPr>
        <w:spacing w:after="57" w:line="360" w:lineRule="auto"/>
        <w:rPr>
          <w:rFonts w:asciiTheme="minorHAnsi" w:eastAsia="Calibri" w:hAnsiTheme="minorHAnsi" w:cs="Calibri"/>
          <w:color w:val="auto"/>
        </w:rPr>
      </w:pPr>
      <w:r w:rsidRPr="00DD51B6">
        <w:t>If the information necessary to evaluate the tender in a given criterion is not indicated, the contracting authority will consider that the tenderer does not declare more favourable conditions of performance than those specified in the inquiry, and the tenderer will receive 0 points in a given criterion.</w:t>
      </w:r>
    </w:p>
    <w:p w14:paraId="742C1A86" w14:textId="77777777" w:rsidR="0056439D" w:rsidRPr="00FE4258" w:rsidRDefault="0056439D" w:rsidP="0056439D">
      <w:pPr>
        <w:pStyle w:val="Standard"/>
        <w:spacing w:after="57" w:line="360" w:lineRule="auto"/>
        <w:ind w:left="737"/>
        <w:rPr>
          <w:rFonts w:asciiTheme="minorHAnsi" w:eastAsia="Calibri" w:hAnsiTheme="minorHAnsi" w:cs="Calibri"/>
          <w:color w:val="auto"/>
        </w:rPr>
      </w:pPr>
    </w:p>
    <w:p w14:paraId="2B3AAF00" w14:textId="40DE2D08" w:rsidR="005C262D" w:rsidRPr="00A640DC" w:rsidRDefault="00FD6A5D" w:rsidP="008008DC">
      <w:pPr>
        <w:pStyle w:val="Standard"/>
        <w:numPr>
          <w:ilvl w:val="0"/>
          <w:numId w:val="6"/>
        </w:numPr>
        <w:spacing w:after="57" w:line="360" w:lineRule="auto"/>
        <w:rPr>
          <w:rFonts w:asciiTheme="minorHAnsi" w:eastAsia="Calibri" w:hAnsiTheme="minorHAnsi" w:cs="Calibri"/>
          <w:b/>
          <w:color w:val="auto"/>
          <w:lang w:val="pl-PL"/>
        </w:rPr>
      </w:pPr>
      <w:r w:rsidRPr="00A640DC">
        <w:rPr>
          <w:rFonts w:asciiTheme="minorHAnsi" w:eastAsia="Calibri" w:hAnsiTheme="minorHAnsi" w:cs="Calibri"/>
          <w:b/>
          <w:color w:val="auto"/>
        </w:rPr>
        <w:t>Requirements for the offer</w:t>
      </w:r>
    </w:p>
    <w:p w14:paraId="58944529" w14:textId="21F06C91" w:rsidR="005C262D" w:rsidRPr="00FE4258" w:rsidRDefault="00FD6A5D" w:rsidP="008008DC">
      <w:pPr>
        <w:pStyle w:val="Standard"/>
        <w:numPr>
          <w:ilvl w:val="1"/>
          <w:numId w:val="6"/>
        </w:numPr>
        <w:spacing w:after="57" w:line="360" w:lineRule="auto"/>
        <w:textAlignment w:val="auto"/>
        <w:rPr>
          <w:rFonts w:asciiTheme="minorHAnsi" w:eastAsia="Calibri" w:hAnsiTheme="minorHAnsi" w:cs="Calibri"/>
          <w:color w:val="auto"/>
        </w:rPr>
      </w:pPr>
      <w:r w:rsidRPr="0056439D">
        <w:rPr>
          <w:rFonts w:asciiTheme="minorHAnsi" w:eastAsia="Calibri" w:hAnsiTheme="minorHAnsi" w:cs="Calibri"/>
          <w:color w:val="auto"/>
        </w:rPr>
        <w:t xml:space="preserve">The offer must be submitted </w:t>
      </w:r>
      <w:r w:rsidR="002F42F0" w:rsidRPr="0056439D">
        <w:t>in electronic form – as a scan of the signed original or a document with a qualified electronic signature – via the Competitiveness Database (https://bazakonkurencyjnosci.funduszeeuropejskie.gov.pl/). The offer</w:t>
      </w:r>
      <w:r w:rsidRPr="0056439D">
        <w:rPr>
          <w:rFonts w:asciiTheme="minorHAnsi" w:eastAsia="Calibri" w:hAnsiTheme="minorHAnsi" w:cs="Calibri"/>
          <w:color w:val="auto"/>
        </w:rPr>
        <w:t xml:space="preserve"> must be submitted in accordance with the requirements described in the inquiry using the offer form constituting Appendix 1.</w:t>
      </w:r>
    </w:p>
    <w:p w14:paraId="33F76C4D" w14:textId="3602964C" w:rsidR="00700B36" w:rsidRPr="00FE4258" w:rsidRDefault="00700B36" w:rsidP="008008DC">
      <w:pPr>
        <w:pStyle w:val="Standard"/>
        <w:numPr>
          <w:ilvl w:val="1"/>
          <w:numId w:val="6"/>
        </w:numPr>
        <w:spacing w:after="57" w:line="360" w:lineRule="auto"/>
        <w:rPr>
          <w:rFonts w:asciiTheme="minorHAnsi" w:eastAsia="Calibri" w:hAnsiTheme="minorHAnsi" w:cs="Calibri"/>
          <w:color w:val="auto"/>
        </w:rPr>
      </w:pPr>
      <w:r w:rsidRPr="0056439D">
        <w:t>The deadline for submission of tenders is the end of the day indicated in the announcement in the Competitiveness Database. What matters is the time of submitting the offer in the Competitiveness Database.</w:t>
      </w:r>
    </w:p>
    <w:p w14:paraId="45687F91" w14:textId="5BB11820" w:rsidR="005C262D" w:rsidRPr="00FE4258" w:rsidRDefault="00FD6A5D" w:rsidP="008008DC">
      <w:pPr>
        <w:pStyle w:val="Standard"/>
        <w:numPr>
          <w:ilvl w:val="1"/>
          <w:numId w:val="6"/>
        </w:numPr>
        <w:spacing w:after="57" w:line="360" w:lineRule="auto"/>
        <w:rPr>
          <w:rFonts w:asciiTheme="minorHAnsi" w:eastAsia="Calibri" w:hAnsiTheme="minorHAnsi" w:cs="Calibri"/>
          <w:color w:val="auto"/>
        </w:rPr>
      </w:pPr>
      <w:r w:rsidRPr="0056439D">
        <w:rPr>
          <w:rFonts w:asciiTheme="minorHAnsi" w:eastAsia="Calibri" w:hAnsiTheme="minorHAnsi" w:cs="Calibri"/>
          <w:color w:val="auto"/>
        </w:rPr>
        <w:t>The offer should be signed by a person authorized to make declarations of intent on behalf of the bidder, but the contracting authority does not require the offer to be accompanied by documents confirming the authority of the person signing the offer.</w:t>
      </w:r>
    </w:p>
    <w:p w14:paraId="54F2B5B7" w14:textId="5A5DC5CE" w:rsidR="005C262D" w:rsidRPr="00FE4258" w:rsidRDefault="00FD6A5D" w:rsidP="008008DC">
      <w:pPr>
        <w:pStyle w:val="Standard"/>
        <w:numPr>
          <w:ilvl w:val="1"/>
          <w:numId w:val="6"/>
        </w:numPr>
        <w:spacing w:after="57" w:line="360" w:lineRule="auto"/>
        <w:rPr>
          <w:rFonts w:asciiTheme="minorHAnsi" w:eastAsia="Calibri" w:hAnsiTheme="minorHAnsi" w:cs="Calibri"/>
          <w:color w:val="auto"/>
        </w:rPr>
      </w:pPr>
      <w:r w:rsidRPr="0056439D">
        <w:rPr>
          <w:rFonts w:asciiTheme="minorHAnsi" w:eastAsia="Calibri" w:hAnsiTheme="minorHAnsi" w:cs="Calibri"/>
          <w:color w:val="auto"/>
        </w:rPr>
        <w:t>The bidder is bound by the submitted offer for 30 calendar days from the deadline for submission of tenders. Within this period, a contract for the execution of the order should be signed. In the event that the selection of the most advantageous offer does not take place before the expiry of the deadline for binding the offer referred to in point above before the expiry of the deadline for binding the offer, the Contracting Authority shall apply once to the Contractors for consent to extend this period by the period indicated by the Contracting Authority, but not longer than 10 days.</w:t>
      </w:r>
    </w:p>
    <w:p w14:paraId="7E3217BA" w14:textId="77777777" w:rsidR="005C262D" w:rsidRPr="00FE4258" w:rsidRDefault="00FD6A5D" w:rsidP="008008DC">
      <w:pPr>
        <w:pStyle w:val="Standard"/>
        <w:numPr>
          <w:ilvl w:val="1"/>
          <w:numId w:val="6"/>
        </w:numPr>
        <w:spacing w:after="57" w:line="360" w:lineRule="auto"/>
        <w:rPr>
          <w:rFonts w:asciiTheme="minorHAnsi" w:eastAsia="Calibri" w:hAnsiTheme="minorHAnsi" w:cs="Calibri"/>
          <w:color w:val="auto"/>
        </w:rPr>
      </w:pPr>
      <w:r w:rsidRPr="0056439D">
        <w:rPr>
          <w:rFonts w:asciiTheme="minorHAnsi" w:eastAsia="Calibri" w:hAnsiTheme="minorHAnsi" w:cs="Calibri"/>
          <w:color w:val="auto"/>
        </w:rPr>
        <w:t>The offer must be complete, and the submitted documents and statements must include confirmation of compliance with the requirements set out in the inquiry.</w:t>
      </w:r>
    </w:p>
    <w:p w14:paraId="62C52A23" w14:textId="55A566F9" w:rsidR="005C262D" w:rsidRPr="00FE4258" w:rsidRDefault="00FD6A5D" w:rsidP="008008DC">
      <w:pPr>
        <w:pStyle w:val="Standard"/>
        <w:numPr>
          <w:ilvl w:val="1"/>
          <w:numId w:val="6"/>
        </w:numPr>
        <w:spacing w:after="57" w:line="360" w:lineRule="auto"/>
        <w:rPr>
          <w:rFonts w:asciiTheme="minorHAnsi" w:eastAsia="Calibri" w:hAnsiTheme="minorHAnsi" w:cs="Calibri"/>
          <w:color w:val="auto"/>
        </w:rPr>
      </w:pPr>
      <w:r w:rsidRPr="0056439D">
        <w:rPr>
          <w:rFonts w:asciiTheme="minorHAnsi" w:eastAsia="Calibri" w:hAnsiTheme="minorHAnsi" w:cs="Calibri"/>
          <w:color w:val="auto"/>
        </w:rPr>
        <w:t>The offer should be made in Polish</w:t>
      </w:r>
      <w:r w:rsidR="005F57B5">
        <w:rPr>
          <w:rFonts w:asciiTheme="minorHAnsi" w:eastAsia="Calibri" w:hAnsiTheme="minorHAnsi" w:cs="Calibri"/>
          <w:color w:val="auto"/>
        </w:rPr>
        <w:t xml:space="preserve"> or English</w:t>
      </w:r>
      <w:r w:rsidRPr="0056439D">
        <w:rPr>
          <w:rFonts w:asciiTheme="minorHAnsi" w:eastAsia="Calibri" w:hAnsiTheme="minorHAnsi" w:cs="Calibri"/>
          <w:color w:val="auto"/>
        </w:rPr>
        <w:t xml:space="preserve">. </w:t>
      </w:r>
    </w:p>
    <w:p w14:paraId="40EE6C63" w14:textId="05C72938" w:rsidR="005C262D" w:rsidRPr="00FE4258" w:rsidRDefault="00FD6A5D" w:rsidP="008008DC">
      <w:pPr>
        <w:pStyle w:val="Standard"/>
        <w:numPr>
          <w:ilvl w:val="1"/>
          <w:numId w:val="6"/>
        </w:numPr>
        <w:spacing w:after="57" w:line="360" w:lineRule="auto"/>
        <w:rPr>
          <w:rFonts w:asciiTheme="minorHAnsi" w:eastAsia="Calibri" w:hAnsiTheme="minorHAnsi" w:cs="Calibri"/>
          <w:color w:val="auto"/>
        </w:rPr>
      </w:pPr>
      <w:r w:rsidRPr="0056439D">
        <w:rPr>
          <w:rFonts w:asciiTheme="minorHAnsi" w:eastAsia="Calibri" w:hAnsiTheme="minorHAnsi" w:cs="Calibri"/>
          <w:color w:val="auto"/>
        </w:rPr>
        <w:t>A bidder may submit only one bid.</w:t>
      </w:r>
    </w:p>
    <w:p w14:paraId="6AA59351" w14:textId="77777777" w:rsidR="00A34DF8" w:rsidRPr="00FE4258" w:rsidRDefault="00FD6A5D" w:rsidP="008008DC">
      <w:pPr>
        <w:pStyle w:val="Standard"/>
        <w:numPr>
          <w:ilvl w:val="1"/>
          <w:numId w:val="6"/>
        </w:numPr>
        <w:spacing w:after="57" w:line="360" w:lineRule="auto"/>
        <w:rPr>
          <w:rFonts w:asciiTheme="minorHAnsi" w:eastAsia="Calibri" w:hAnsiTheme="minorHAnsi" w:cs="Calibri"/>
          <w:color w:val="auto"/>
        </w:rPr>
      </w:pPr>
      <w:r w:rsidRPr="0056439D">
        <w:rPr>
          <w:rFonts w:asciiTheme="minorHAnsi" w:eastAsia="Calibri" w:hAnsiTheme="minorHAnsi" w:cs="Calibri"/>
          <w:color w:val="auto"/>
        </w:rPr>
        <w:lastRenderedPageBreak/>
        <w:t>The tenderer may stipulate that information covered by trade secrets within the meaning of the provisions on combating unfair competition may not be made available to other bidders. This information should be appropriately marked with the inscription: "Information constituting trade secrets" and at the same time it should be shown that the proprietary information constitutes a trade secret. The tenderer may not reserve the information used as a criterion for the evaluation of tenders.</w:t>
      </w:r>
    </w:p>
    <w:p w14:paraId="07CC8A28" w14:textId="77777777" w:rsidR="00A34DF8" w:rsidRPr="00FE4258" w:rsidRDefault="00A34DF8" w:rsidP="008008DC">
      <w:pPr>
        <w:pStyle w:val="Standard"/>
        <w:numPr>
          <w:ilvl w:val="1"/>
          <w:numId w:val="6"/>
        </w:numPr>
        <w:spacing w:after="57" w:line="360" w:lineRule="auto"/>
        <w:rPr>
          <w:rFonts w:asciiTheme="minorHAnsi" w:eastAsia="Calibri" w:hAnsiTheme="minorHAnsi" w:cs="Calibri"/>
          <w:color w:val="auto"/>
        </w:rPr>
      </w:pPr>
      <w:r w:rsidRPr="00A34DF8">
        <w:rPr>
          <w:rFonts w:asciiTheme="minorHAnsi" w:eastAsia="Calibri" w:hAnsiTheme="minorHAnsi" w:cs="Calibri"/>
          <w:color w:val="auto"/>
        </w:rPr>
        <w:t xml:space="preserve">The Contracting Authority does not allow for the possibility of submitting partial bids. </w:t>
      </w:r>
    </w:p>
    <w:p w14:paraId="3D014303" w14:textId="3C8307E8" w:rsidR="008516C9" w:rsidRPr="00FE4258" w:rsidRDefault="00A34DF8" w:rsidP="008008DC">
      <w:pPr>
        <w:pStyle w:val="Standard"/>
        <w:numPr>
          <w:ilvl w:val="1"/>
          <w:numId w:val="6"/>
        </w:numPr>
        <w:spacing w:after="57" w:line="360" w:lineRule="auto"/>
        <w:rPr>
          <w:rFonts w:asciiTheme="minorHAnsi" w:eastAsia="Calibri" w:hAnsiTheme="minorHAnsi" w:cs="Calibri"/>
          <w:color w:val="auto"/>
        </w:rPr>
      </w:pPr>
      <w:r w:rsidRPr="00A34DF8">
        <w:rPr>
          <w:rFonts w:asciiTheme="minorHAnsi" w:hAnsiTheme="minorHAnsi"/>
          <w:color w:val="auto"/>
        </w:rPr>
        <w:t>The Contracting Authority does not divide the contract into parts due to the fact that for organizational, technical and economic reasons it forms an indivisible whole. The determination of the scope of the comprehensive service depended on the specific expectations and needs of the Ordering Party in relation to the need to conduct a specific, specific and specified clinical trial.</w:t>
      </w:r>
    </w:p>
    <w:p w14:paraId="7E4CDAE8" w14:textId="2D87598B" w:rsidR="00A34DF8" w:rsidRPr="00FE4258" w:rsidRDefault="00A34DF8" w:rsidP="008008DC">
      <w:pPr>
        <w:pStyle w:val="Standard"/>
        <w:numPr>
          <w:ilvl w:val="1"/>
          <w:numId w:val="6"/>
        </w:numPr>
        <w:spacing w:after="57" w:line="360" w:lineRule="auto"/>
        <w:rPr>
          <w:rFonts w:asciiTheme="minorHAnsi" w:eastAsia="Calibri" w:hAnsiTheme="minorHAnsi" w:cs="Calibri"/>
          <w:color w:val="auto"/>
        </w:rPr>
      </w:pPr>
      <w:r w:rsidRPr="008516C9">
        <w:rPr>
          <w:rFonts w:asciiTheme="minorHAnsi" w:hAnsiTheme="minorHAnsi"/>
          <w:color w:val="auto"/>
        </w:rPr>
        <w:t>Dividing the contract could generate additional costs related to the performance of the contract, because in such a case it would be necessary to coordinate the activities and work of several Contractors. The complexity of the structure could result in improper execution of the order and thus failure to achieve the required quality.</w:t>
      </w:r>
    </w:p>
    <w:p w14:paraId="253CEE59" w14:textId="77777777" w:rsidR="005C262D" w:rsidRPr="00FE4258" w:rsidRDefault="005C262D" w:rsidP="00A91C75">
      <w:pPr>
        <w:pStyle w:val="Standard"/>
        <w:spacing w:after="57" w:line="360" w:lineRule="auto"/>
        <w:ind w:left="720"/>
        <w:rPr>
          <w:rFonts w:asciiTheme="minorHAnsi" w:eastAsia="Calibri" w:hAnsiTheme="minorHAnsi" w:cs="Calibri"/>
          <w:color w:val="auto"/>
          <w:highlight w:val="yellow"/>
        </w:rPr>
      </w:pPr>
    </w:p>
    <w:p w14:paraId="2D9080A2" w14:textId="77777777" w:rsidR="005C262D" w:rsidRPr="00FE4258" w:rsidRDefault="00FD6A5D" w:rsidP="008008DC">
      <w:pPr>
        <w:pStyle w:val="Standard"/>
        <w:numPr>
          <w:ilvl w:val="0"/>
          <w:numId w:val="6"/>
        </w:numPr>
        <w:spacing w:after="57" w:line="360" w:lineRule="auto"/>
        <w:rPr>
          <w:rFonts w:asciiTheme="minorHAnsi" w:eastAsia="Calibri" w:hAnsiTheme="minorHAnsi" w:cs="Calibri"/>
          <w:b/>
          <w:color w:val="auto"/>
        </w:rPr>
      </w:pPr>
      <w:r w:rsidRPr="00A640DC">
        <w:rPr>
          <w:rFonts w:asciiTheme="minorHAnsi" w:eastAsia="Calibri" w:hAnsiTheme="minorHAnsi" w:cs="Calibri"/>
          <w:b/>
          <w:color w:val="auto"/>
        </w:rPr>
        <w:t>Researching offers and choosing the best offer</w:t>
      </w:r>
    </w:p>
    <w:p w14:paraId="1BA39873" w14:textId="49CE143E" w:rsidR="005C262D" w:rsidRPr="00FE4258" w:rsidRDefault="00FD6A5D" w:rsidP="008008DC">
      <w:pPr>
        <w:pStyle w:val="Standard"/>
        <w:numPr>
          <w:ilvl w:val="1"/>
          <w:numId w:val="6"/>
        </w:numPr>
        <w:spacing w:after="57" w:line="360" w:lineRule="auto"/>
        <w:rPr>
          <w:rFonts w:asciiTheme="minorHAnsi" w:eastAsia="Calibri" w:hAnsiTheme="minorHAnsi" w:cs="Calibri"/>
          <w:color w:val="auto"/>
        </w:rPr>
      </w:pPr>
      <w:r w:rsidRPr="00A640DC">
        <w:rPr>
          <w:rFonts w:asciiTheme="minorHAnsi" w:eastAsia="Calibri" w:hAnsiTheme="minorHAnsi" w:cs="Calibri"/>
          <w:color w:val="auto"/>
        </w:rPr>
        <w:t>An offer that does not meet the requirements of this RFP, in particular if it is incomplete or is not an offer within the meaning of civil law or otherwise inconsistent with the provisions of law, will be rejected subject to a clearly defined possibility of correcting formal errors and supplementing deficiencies.</w:t>
      </w:r>
    </w:p>
    <w:p w14:paraId="6E1C4632" w14:textId="65576619" w:rsidR="005C262D" w:rsidRPr="00FE4258" w:rsidRDefault="00DD1990" w:rsidP="008008DC">
      <w:pPr>
        <w:pStyle w:val="Standard"/>
        <w:numPr>
          <w:ilvl w:val="1"/>
          <w:numId w:val="6"/>
        </w:numPr>
        <w:spacing w:after="57" w:line="360" w:lineRule="auto"/>
        <w:rPr>
          <w:rFonts w:asciiTheme="minorHAnsi" w:eastAsia="Calibri" w:hAnsiTheme="minorHAnsi" w:cs="Calibri"/>
          <w:color w:val="auto"/>
        </w:rPr>
      </w:pPr>
      <w:r w:rsidRPr="00A640DC">
        <w:rPr>
          <w:rFonts w:asciiTheme="minorHAnsi" w:eastAsia="Calibri" w:hAnsiTheme="minorHAnsi" w:cs="Calibri"/>
          <w:color w:val="auto"/>
        </w:rPr>
        <w:t xml:space="preserve">The Contracting Authority shall require the tenderer to provide explanations within the specified period, including the submission of evidence regarding the calculation of the price or cost, if the price or cost offered seems abnormally low in relation to the subject matter of the contract, i.e. differs by more than 30% from the arithmetic average of the prices of all valid offers not subject to rejection, or raises doubts of the contracting authority as to the possibility of performing the subject matter of the contract in accordance with the requirements specified in the request for proposal or resulting from the separate provisions. The Contracting Authority will evaluate the explanations in </w:t>
      </w:r>
      <w:r w:rsidRPr="00A640DC">
        <w:rPr>
          <w:rFonts w:asciiTheme="minorHAnsi" w:eastAsia="Calibri" w:hAnsiTheme="minorHAnsi" w:cs="Calibri"/>
          <w:color w:val="auto"/>
        </w:rPr>
        <w:lastRenderedPageBreak/>
        <w:t>consultation with the contractor. The Contracting Authority will reject the tender if the submitted explanations and evidence do not justify the price or cost stated in the offer.</w:t>
      </w:r>
    </w:p>
    <w:p w14:paraId="4DBDE4DF" w14:textId="64F4CA5C" w:rsidR="005C262D" w:rsidRPr="00FE4258" w:rsidRDefault="00FD6A5D" w:rsidP="008008DC">
      <w:pPr>
        <w:pStyle w:val="Standard"/>
        <w:numPr>
          <w:ilvl w:val="1"/>
          <w:numId w:val="6"/>
        </w:numPr>
        <w:spacing w:after="57" w:line="360" w:lineRule="auto"/>
        <w:rPr>
          <w:rFonts w:asciiTheme="minorHAnsi" w:eastAsia="Calibri" w:hAnsiTheme="minorHAnsi" w:cs="Calibri"/>
          <w:color w:val="auto"/>
        </w:rPr>
      </w:pPr>
      <w:r w:rsidRPr="00A640DC">
        <w:rPr>
          <w:rFonts w:asciiTheme="minorHAnsi" w:eastAsia="Calibri" w:hAnsiTheme="minorHAnsi" w:cs="Calibri"/>
          <w:color w:val="auto"/>
        </w:rPr>
        <w:t xml:space="preserve">The Contracting Authority allows for the correction of formal errors and the completion of deficiencies in the submitted offer (this does not apply to the tender evaluation criteria or the wrong form of the offer or the lack of a signature on the offer). The contracting authority shall notify the tenderer of the necessity by contacting the tenderer via the competitiveness database, and if it is not possible </w:t>
      </w:r>
      <w:r w:rsidR="00D837C1" w:rsidRPr="00A640DC">
        <w:rPr>
          <w:rFonts w:asciiTheme="minorHAnsi" w:eastAsia="Calibri" w:hAnsiTheme="minorHAnsi" w:cs="Calibri"/>
          <w:color w:val="auto"/>
        </w:rPr>
        <w:br/>
      </w:r>
      <w:r w:rsidR="001050E4" w:rsidRPr="00A640DC">
        <w:rPr>
          <w:rFonts w:asciiTheme="minorHAnsi" w:eastAsia="Calibri" w:hAnsiTheme="minorHAnsi" w:cs="Calibri"/>
          <w:color w:val="auto"/>
        </w:rPr>
        <w:t xml:space="preserve">due to technical reasons, by e-mail in accordance with the contact details provided </w:t>
      </w:r>
      <w:r w:rsidR="001050E4" w:rsidRPr="00A640DC">
        <w:rPr>
          <w:rFonts w:asciiTheme="minorHAnsi" w:eastAsia="Calibri" w:hAnsiTheme="minorHAnsi" w:cs="Calibri"/>
          <w:color w:val="auto"/>
        </w:rPr>
        <w:br/>
      </w:r>
      <w:r w:rsidRPr="00A640DC">
        <w:rPr>
          <w:rFonts w:asciiTheme="minorHAnsi" w:eastAsia="Calibri" w:hAnsiTheme="minorHAnsi" w:cs="Calibri"/>
          <w:color w:val="auto"/>
        </w:rPr>
        <w:t>in the tender. In the notice referred to above, the contracting authority shall set a deadline for the tenderer to correct the errors or remedy the deficiencies. Failure to do so will result in the rejection of the offer by the contracting authority.</w:t>
      </w:r>
    </w:p>
    <w:p w14:paraId="090230D5" w14:textId="77777777" w:rsidR="005C262D" w:rsidRPr="00FE4258" w:rsidRDefault="00FD6A5D" w:rsidP="008008DC">
      <w:pPr>
        <w:pStyle w:val="Standard"/>
        <w:numPr>
          <w:ilvl w:val="1"/>
          <w:numId w:val="6"/>
        </w:numPr>
        <w:spacing w:after="57" w:line="360" w:lineRule="auto"/>
        <w:rPr>
          <w:rFonts w:asciiTheme="minorHAnsi" w:eastAsia="Calibri" w:hAnsiTheme="minorHAnsi" w:cs="Calibri"/>
          <w:color w:val="auto"/>
        </w:rPr>
      </w:pPr>
      <w:r w:rsidRPr="00A640DC">
        <w:rPr>
          <w:rFonts w:asciiTheme="minorHAnsi" w:eastAsia="Calibri" w:hAnsiTheme="minorHAnsi" w:cs="Calibri"/>
          <w:color w:val="auto"/>
        </w:rPr>
        <w:t>The Contracting Authority reserves the right to refrain from requesting the correction of formal errors and supplementing deficiencies in the submitted offer, if even their correction or supplementation does not result in the offer receiving the highest score among the evaluated offers.</w:t>
      </w:r>
    </w:p>
    <w:p w14:paraId="34180B7C" w14:textId="77777777" w:rsidR="005C262D" w:rsidRPr="00FE4258" w:rsidRDefault="00FD6A5D" w:rsidP="008008DC">
      <w:pPr>
        <w:pStyle w:val="Standard"/>
        <w:numPr>
          <w:ilvl w:val="1"/>
          <w:numId w:val="6"/>
        </w:numPr>
        <w:spacing w:after="57" w:line="360" w:lineRule="auto"/>
        <w:rPr>
          <w:rFonts w:asciiTheme="minorHAnsi" w:eastAsia="Calibri" w:hAnsiTheme="minorHAnsi" w:cs="Calibri"/>
          <w:color w:val="auto"/>
        </w:rPr>
      </w:pPr>
      <w:r w:rsidRPr="00A640DC">
        <w:rPr>
          <w:rFonts w:asciiTheme="minorHAnsi" w:eastAsia="Calibri" w:hAnsiTheme="minorHAnsi" w:cs="Calibri"/>
          <w:color w:val="auto"/>
        </w:rPr>
        <w:t>An offer supplemented or amended at the request of the contracting authority should meet all the requirements of the request for proposal.</w:t>
      </w:r>
    </w:p>
    <w:p w14:paraId="197D5F0E" w14:textId="1525BB22" w:rsidR="005C262D" w:rsidRPr="00FE4258" w:rsidRDefault="00FD6A5D" w:rsidP="008008DC">
      <w:pPr>
        <w:pStyle w:val="Standard"/>
        <w:numPr>
          <w:ilvl w:val="1"/>
          <w:numId w:val="6"/>
        </w:numPr>
        <w:spacing w:after="57" w:line="360" w:lineRule="auto"/>
        <w:rPr>
          <w:rFonts w:asciiTheme="minorHAnsi" w:eastAsia="Calibri" w:hAnsiTheme="minorHAnsi" w:cs="Calibri"/>
          <w:color w:val="auto"/>
        </w:rPr>
      </w:pPr>
      <w:bookmarkStart w:id="7" w:name="_Hlk69482389"/>
      <w:r w:rsidRPr="00A640DC">
        <w:rPr>
          <w:rFonts w:asciiTheme="minorHAnsi" w:eastAsia="Calibri" w:hAnsiTheme="minorHAnsi" w:cs="Calibri"/>
          <w:color w:val="auto"/>
        </w:rPr>
        <w:t>The Contracting Authority reserves the right to verify in detail the compliance of the submitted documents and statements with the facts, including by requesting the tenderer to explain the content of the documents or statements. This right includes checking and clarifying the compliance of the subject of the offer with the requirements of the request for proposal. The tenderer must be able to demonstrate compliance or the tender will be rejected.</w:t>
      </w:r>
      <w:bookmarkEnd w:id="7"/>
    </w:p>
    <w:p w14:paraId="79B448BD" w14:textId="77777777" w:rsidR="005C262D" w:rsidRPr="00FE4258" w:rsidRDefault="00FD6A5D" w:rsidP="008008DC">
      <w:pPr>
        <w:pStyle w:val="Standard"/>
        <w:numPr>
          <w:ilvl w:val="1"/>
          <w:numId w:val="6"/>
        </w:numPr>
        <w:spacing w:after="57" w:line="360" w:lineRule="auto"/>
        <w:rPr>
          <w:rFonts w:asciiTheme="minorHAnsi" w:eastAsia="Calibri" w:hAnsiTheme="minorHAnsi" w:cs="Calibri"/>
          <w:color w:val="auto"/>
        </w:rPr>
      </w:pPr>
      <w:r w:rsidRPr="00A640DC">
        <w:rPr>
          <w:rFonts w:asciiTheme="minorHAnsi" w:eastAsia="Calibri" w:hAnsiTheme="minorHAnsi" w:cs="Calibri"/>
          <w:color w:val="auto"/>
        </w:rPr>
        <w:t>The contracting authority will correct obvious errors in the offer, i.e. those as to which there is no doubt as to what the content of the offer should be corrected.</w:t>
      </w:r>
    </w:p>
    <w:p w14:paraId="145784C2" w14:textId="77777777" w:rsidR="005C262D" w:rsidRPr="00FE4258" w:rsidRDefault="00FD6A5D" w:rsidP="008008DC">
      <w:pPr>
        <w:pStyle w:val="Standard"/>
        <w:numPr>
          <w:ilvl w:val="1"/>
          <w:numId w:val="6"/>
        </w:numPr>
        <w:spacing w:after="57" w:line="360" w:lineRule="auto"/>
        <w:rPr>
          <w:rFonts w:asciiTheme="minorHAnsi" w:eastAsia="Calibri" w:hAnsiTheme="minorHAnsi" w:cs="Calibri"/>
          <w:color w:val="auto"/>
        </w:rPr>
      </w:pPr>
      <w:r w:rsidRPr="00A640DC">
        <w:rPr>
          <w:rFonts w:asciiTheme="minorHAnsi" w:eastAsia="Calibri" w:hAnsiTheme="minorHAnsi" w:cs="Calibri"/>
          <w:color w:val="auto"/>
        </w:rPr>
        <w:t>The Contracting Authority will examine the offers in accordance with the requirements of the RFP. Bids that meet these requirements will be evaluated according to the bid evaluation criteria set out in the RFP.</w:t>
      </w:r>
    </w:p>
    <w:p w14:paraId="7C8CB0F5" w14:textId="77777777" w:rsidR="005C262D" w:rsidRPr="00FE4258" w:rsidRDefault="00FD6A5D" w:rsidP="008008DC">
      <w:pPr>
        <w:pStyle w:val="Standard"/>
        <w:numPr>
          <w:ilvl w:val="1"/>
          <w:numId w:val="6"/>
        </w:numPr>
        <w:spacing w:after="57" w:line="360" w:lineRule="auto"/>
        <w:rPr>
          <w:rFonts w:asciiTheme="minorHAnsi" w:eastAsia="Calibri" w:hAnsiTheme="minorHAnsi" w:cs="Calibri"/>
          <w:color w:val="auto"/>
        </w:rPr>
      </w:pPr>
      <w:r w:rsidRPr="00A640DC">
        <w:rPr>
          <w:rFonts w:asciiTheme="minorHAnsi" w:eastAsia="Calibri" w:hAnsiTheme="minorHAnsi" w:cs="Calibri"/>
          <w:color w:val="auto"/>
        </w:rPr>
        <w:t>The offer that obtains the highest number of points in total within the tender evaluation criteria will be considered the most advantageous.</w:t>
      </w:r>
    </w:p>
    <w:p w14:paraId="3C6DA6D5" w14:textId="77777777" w:rsidR="005C262D" w:rsidRPr="00FE4258" w:rsidRDefault="00FD6A5D" w:rsidP="008008DC">
      <w:pPr>
        <w:pStyle w:val="Standard"/>
        <w:numPr>
          <w:ilvl w:val="1"/>
          <w:numId w:val="6"/>
        </w:numPr>
        <w:spacing w:after="57" w:line="360" w:lineRule="auto"/>
        <w:rPr>
          <w:rFonts w:asciiTheme="minorHAnsi" w:eastAsia="Calibri" w:hAnsiTheme="minorHAnsi" w:cs="Calibri"/>
          <w:color w:val="auto"/>
        </w:rPr>
      </w:pPr>
      <w:r w:rsidRPr="00A640DC">
        <w:rPr>
          <w:rFonts w:asciiTheme="minorHAnsi" w:eastAsia="Calibri" w:hAnsiTheme="minorHAnsi" w:cs="Calibri"/>
          <w:color w:val="auto"/>
        </w:rPr>
        <w:lastRenderedPageBreak/>
        <w:t>The Contracting Authority reserves the right to cancel the request for proposal in a justified case, in particular when the price of the most advantageous offer exceeds the price it is able to pay for the performance of the contract or in the event that the resolution of the procedure would entail the risk of reducing the value of the subsidy due to a defect in the procurement process.</w:t>
      </w:r>
    </w:p>
    <w:p w14:paraId="2DE10E1F" w14:textId="495BDA4F" w:rsidR="0056439D" w:rsidRPr="00FE4258" w:rsidRDefault="00FD6A5D" w:rsidP="008008DC">
      <w:pPr>
        <w:pStyle w:val="Standard"/>
        <w:numPr>
          <w:ilvl w:val="1"/>
          <w:numId w:val="6"/>
        </w:numPr>
        <w:spacing w:after="57" w:line="360" w:lineRule="auto"/>
        <w:ind w:left="720"/>
        <w:rPr>
          <w:rFonts w:asciiTheme="minorHAnsi" w:eastAsia="Calibri" w:hAnsiTheme="minorHAnsi" w:cs="Calibri"/>
          <w:color w:val="auto"/>
        </w:rPr>
      </w:pPr>
      <w:r w:rsidRPr="00A640DC">
        <w:rPr>
          <w:rFonts w:asciiTheme="minorHAnsi" w:eastAsia="Calibri" w:hAnsiTheme="minorHAnsi" w:cs="Calibri"/>
          <w:color w:val="auto"/>
        </w:rPr>
        <w:t>Information about the selection of the best offer or cancellation of the procedure will be published in the same way as the inquiry itself.</w:t>
      </w:r>
    </w:p>
    <w:p w14:paraId="5E8FA4C6" w14:textId="77777777" w:rsidR="005C262D" w:rsidRPr="00FE4258" w:rsidRDefault="005C262D" w:rsidP="00A91C75">
      <w:pPr>
        <w:pStyle w:val="Standard"/>
        <w:spacing w:after="57" w:line="360" w:lineRule="auto"/>
        <w:ind w:left="720"/>
        <w:rPr>
          <w:rFonts w:asciiTheme="minorHAnsi" w:eastAsia="Calibri" w:hAnsiTheme="minorHAnsi" w:cs="Calibri"/>
          <w:color w:val="auto"/>
          <w:highlight w:val="yellow"/>
        </w:rPr>
      </w:pPr>
    </w:p>
    <w:p w14:paraId="47B12A67" w14:textId="77777777" w:rsidR="005C262D" w:rsidRPr="00A640DC" w:rsidRDefault="00FD6A5D" w:rsidP="008008DC">
      <w:pPr>
        <w:pStyle w:val="Standard"/>
        <w:numPr>
          <w:ilvl w:val="0"/>
          <w:numId w:val="6"/>
        </w:numPr>
        <w:spacing w:after="57" w:line="360" w:lineRule="auto"/>
        <w:rPr>
          <w:rFonts w:asciiTheme="minorHAnsi" w:eastAsia="Calibri" w:hAnsiTheme="minorHAnsi" w:cs="Calibri"/>
          <w:b/>
          <w:color w:val="auto"/>
          <w:lang w:val="pl-PL"/>
        </w:rPr>
      </w:pPr>
      <w:r w:rsidRPr="00A640DC">
        <w:rPr>
          <w:rFonts w:asciiTheme="minorHAnsi" w:eastAsia="Calibri" w:hAnsiTheme="minorHAnsi" w:cs="Calibri"/>
          <w:b/>
          <w:color w:val="auto"/>
        </w:rPr>
        <w:t>Signing the contract</w:t>
      </w:r>
    </w:p>
    <w:p w14:paraId="72B48F86" w14:textId="4C921F7B" w:rsidR="005C262D" w:rsidRPr="00FE4258" w:rsidRDefault="00FD6A5D" w:rsidP="008008DC">
      <w:pPr>
        <w:pStyle w:val="Standard"/>
        <w:numPr>
          <w:ilvl w:val="1"/>
          <w:numId w:val="6"/>
        </w:numPr>
        <w:spacing w:after="57" w:line="360" w:lineRule="auto"/>
        <w:rPr>
          <w:rFonts w:asciiTheme="minorHAnsi" w:eastAsia="Calibri" w:hAnsiTheme="minorHAnsi" w:cs="Calibri"/>
          <w:color w:val="auto"/>
        </w:rPr>
      </w:pPr>
      <w:r w:rsidRPr="00A640DC">
        <w:rPr>
          <w:rFonts w:asciiTheme="minorHAnsi" w:eastAsia="Calibri" w:hAnsiTheme="minorHAnsi" w:cs="Calibri"/>
          <w:color w:val="auto"/>
        </w:rPr>
        <w:t xml:space="preserve">After selecting the most advantageous offer, a contract will be signed with the bidder whose offer has been deemed the most advantageous. </w:t>
      </w:r>
    </w:p>
    <w:p w14:paraId="7E06955C" w14:textId="53D396FC" w:rsidR="00150E8D" w:rsidRPr="00FE4258" w:rsidRDefault="000B488C" w:rsidP="008008DC">
      <w:pPr>
        <w:pStyle w:val="Standard"/>
        <w:numPr>
          <w:ilvl w:val="1"/>
          <w:numId w:val="6"/>
        </w:numPr>
        <w:spacing w:after="57" w:line="360" w:lineRule="auto"/>
        <w:rPr>
          <w:rFonts w:asciiTheme="minorHAnsi" w:eastAsia="Calibri" w:hAnsiTheme="minorHAnsi" w:cstheme="minorHAnsi"/>
          <w:color w:val="auto"/>
        </w:rPr>
      </w:pPr>
      <w:r w:rsidRPr="00A640DC">
        <w:rPr>
          <w:rFonts w:asciiTheme="minorHAnsi" w:eastAsia="Calibri" w:hAnsiTheme="minorHAnsi" w:cstheme="minorHAnsi"/>
          <w:color w:val="auto"/>
        </w:rPr>
        <w:t xml:space="preserve">The Contracting Authority provides for the possibility of making significant changes to </w:t>
      </w:r>
      <w:r w:rsidR="000A2B4A" w:rsidRPr="00A640DC">
        <w:rPr>
          <w:rFonts w:asciiTheme="minorHAnsi" w:eastAsia="Calibri" w:hAnsiTheme="minorHAnsi" w:cstheme="minorHAnsi"/>
          <w:color w:val="auto"/>
        </w:rPr>
        <w:br/>
      </w:r>
      <w:r w:rsidRPr="00A640DC">
        <w:rPr>
          <w:rFonts w:asciiTheme="minorHAnsi" w:eastAsia="Calibri" w:hAnsiTheme="minorHAnsi" w:cstheme="minorHAnsi"/>
          <w:color w:val="auto"/>
        </w:rPr>
        <w:t>the provisions of the contract in relation to the content of the offer of the selected Contractor, on the basis of which the selection was made, including the deadline for the completion of the contract in the case of:</w:t>
      </w:r>
    </w:p>
    <w:p w14:paraId="6A7A368F" w14:textId="46EF1327" w:rsidR="000A2B4A" w:rsidRPr="00FE4258" w:rsidRDefault="000A2B4A" w:rsidP="008008DC">
      <w:pPr>
        <w:pStyle w:val="Standard"/>
        <w:numPr>
          <w:ilvl w:val="0"/>
          <w:numId w:val="7"/>
        </w:numPr>
        <w:spacing w:after="57" w:line="360" w:lineRule="auto"/>
        <w:rPr>
          <w:rFonts w:asciiTheme="minorHAnsi" w:eastAsia="Calibri" w:hAnsiTheme="minorHAnsi" w:cs="Calibri"/>
          <w:color w:val="auto"/>
        </w:rPr>
      </w:pPr>
      <w:r w:rsidRPr="00A640DC">
        <w:rPr>
          <w:rFonts w:asciiTheme="minorHAnsi" w:eastAsia="Calibri" w:hAnsiTheme="minorHAnsi" w:cstheme="minorHAnsi"/>
          <w:color w:val="auto"/>
        </w:rPr>
        <w:t xml:space="preserve">occurrence of </w:t>
      </w:r>
      <w:r w:rsidR="000B488C" w:rsidRPr="003045D8">
        <w:rPr>
          <w:rFonts w:asciiTheme="minorHAnsi" w:hAnsiTheme="minorHAnsi" w:cstheme="minorHAnsi"/>
        </w:rPr>
        <w:t xml:space="preserve">force majeure having a direct impact on the performance of the subject matter of the contract. </w:t>
      </w:r>
      <w:r w:rsidRPr="00A640DC">
        <w:rPr>
          <w:rFonts w:asciiTheme="minorHAnsi" w:eastAsia="Calibri" w:hAnsiTheme="minorHAnsi" w:cstheme="minorHAnsi"/>
          <w:color w:val="auto"/>
        </w:rPr>
        <w:t xml:space="preserve">Force majeure is understood as extraordinary, unforeseeable events and circumstances, </w:t>
      </w:r>
      <w:r w:rsidRPr="00A640DC">
        <w:rPr>
          <w:rFonts w:asciiTheme="minorHAnsi" w:eastAsia="Calibri" w:hAnsiTheme="minorHAnsi" w:cs="Calibri"/>
          <w:color w:val="auto"/>
        </w:rPr>
        <w:t>independent of the good will and intentions of any of the parties to the contract.</w:t>
      </w:r>
    </w:p>
    <w:p w14:paraId="0AE7F9AB" w14:textId="77AE3B97" w:rsidR="000B488C" w:rsidRPr="00FE4258" w:rsidRDefault="000B488C" w:rsidP="008008DC">
      <w:pPr>
        <w:pStyle w:val="Standard"/>
        <w:numPr>
          <w:ilvl w:val="0"/>
          <w:numId w:val="7"/>
        </w:numPr>
        <w:spacing w:after="57" w:line="360" w:lineRule="auto"/>
        <w:rPr>
          <w:rFonts w:asciiTheme="minorHAnsi" w:eastAsia="Calibri" w:hAnsiTheme="minorHAnsi" w:cs="Calibri"/>
          <w:color w:val="auto"/>
        </w:rPr>
      </w:pPr>
      <w:r w:rsidRPr="00A640DC">
        <w:rPr>
          <w:rFonts w:asciiTheme="minorHAnsi" w:eastAsia="Calibri" w:hAnsiTheme="minorHAnsi" w:cs="Calibri"/>
          <w:color w:val="auto"/>
        </w:rPr>
        <w:t xml:space="preserve">changes in generally applicable provisions of law that affect the performance of the subject matter of the agreement; </w:t>
      </w:r>
    </w:p>
    <w:p w14:paraId="223E06F4" w14:textId="77777777" w:rsidR="000B488C" w:rsidRPr="00FE4258" w:rsidRDefault="000B488C" w:rsidP="008008DC">
      <w:pPr>
        <w:pStyle w:val="Standard"/>
        <w:numPr>
          <w:ilvl w:val="0"/>
          <w:numId w:val="7"/>
        </w:numPr>
        <w:spacing w:after="57" w:line="360" w:lineRule="auto"/>
        <w:rPr>
          <w:rFonts w:asciiTheme="minorHAnsi" w:eastAsia="Calibri" w:hAnsiTheme="minorHAnsi" w:cs="Calibri"/>
          <w:color w:val="auto"/>
        </w:rPr>
      </w:pPr>
      <w:r w:rsidRPr="00A640DC">
        <w:rPr>
          <w:rFonts w:asciiTheme="minorHAnsi" w:eastAsia="Calibri" w:hAnsiTheme="minorHAnsi" w:cs="Calibri"/>
          <w:color w:val="auto"/>
        </w:rPr>
        <w:t>other external events or situations which the Contracting Authority or the Contractor could not have foreseen or prevented, and which prevent the performance of the subject matter of the contract in accordance with the contract;</w:t>
      </w:r>
    </w:p>
    <w:p w14:paraId="64E7A826" w14:textId="6CCAC8B9" w:rsidR="00E4569C" w:rsidRPr="00FE4258" w:rsidRDefault="00E4569C" w:rsidP="008008DC">
      <w:pPr>
        <w:pStyle w:val="Standard"/>
        <w:numPr>
          <w:ilvl w:val="0"/>
          <w:numId w:val="7"/>
        </w:numPr>
        <w:spacing w:after="57" w:line="360" w:lineRule="auto"/>
        <w:textAlignment w:val="auto"/>
      </w:pPr>
      <w:r w:rsidRPr="00A640DC">
        <w:rPr>
          <w:rFonts w:asciiTheme="minorHAnsi" w:eastAsia="Calibri" w:hAnsiTheme="minorHAnsi" w:cs="Calibri"/>
          <w:color w:val="auto"/>
        </w:rPr>
        <w:t>receiving a decision of the entity granting the co-financing containing changes in the scope of tasks, deadlines or setting additional provisions to which the Contracting Authority will be obliged.</w:t>
      </w:r>
    </w:p>
    <w:p w14:paraId="3A834D2E" w14:textId="4D667AC0" w:rsidR="004E6D34" w:rsidRPr="00FE4258" w:rsidRDefault="004E6D34" w:rsidP="008008DC">
      <w:pPr>
        <w:pStyle w:val="Akapitzlist"/>
        <w:numPr>
          <w:ilvl w:val="0"/>
          <w:numId w:val="7"/>
        </w:numPr>
        <w:spacing w:line="360" w:lineRule="auto"/>
        <w:rPr>
          <w:rFonts w:asciiTheme="minorHAnsi" w:hAnsiTheme="minorHAnsi"/>
          <w:color w:val="auto"/>
          <w:sz w:val="24"/>
          <w:szCs w:val="24"/>
        </w:rPr>
      </w:pPr>
      <w:r w:rsidRPr="00A640DC">
        <w:rPr>
          <w:rFonts w:asciiTheme="minorHAnsi" w:hAnsiTheme="minorHAnsi"/>
          <w:color w:val="auto"/>
          <w:sz w:val="24"/>
          <w:szCs w:val="24"/>
        </w:rPr>
        <w:t xml:space="preserve">the occurrence of circumstances resulting from substantive reasons, e.g. changes in the deadlines for the implementation of project stages, justifying the introduction of such </w:t>
      </w:r>
      <w:r w:rsidRPr="00A640DC">
        <w:rPr>
          <w:rFonts w:asciiTheme="minorHAnsi" w:hAnsiTheme="minorHAnsi"/>
          <w:color w:val="auto"/>
          <w:sz w:val="24"/>
          <w:szCs w:val="24"/>
        </w:rPr>
        <w:lastRenderedPageBreak/>
        <w:t>changes.</w:t>
      </w:r>
    </w:p>
    <w:p w14:paraId="0F0F93AC" w14:textId="775413F7" w:rsidR="00150E8D" w:rsidRPr="00FE4258" w:rsidRDefault="00150E8D" w:rsidP="008008DC">
      <w:pPr>
        <w:pStyle w:val="Standard"/>
        <w:numPr>
          <w:ilvl w:val="1"/>
          <w:numId w:val="6"/>
        </w:numPr>
        <w:spacing w:after="57" w:line="360" w:lineRule="auto"/>
        <w:rPr>
          <w:rFonts w:asciiTheme="minorHAnsi" w:eastAsia="Calibri" w:hAnsiTheme="minorHAnsi" w:cstheme="minorHAnsi"/>
          <w:color w:val="auto"/>
        </w:rPr>
      </w:pPr>
      <w:r w:rsidRPr="003045D8">
        <w:rPr>
          <w:rFonts w:asciiTheme="minorHAnsi" w:hAnsiTheme="minorHAnsi" w:cstheme="minorHAnsi"/>
        </w:rPr>
        <w:t>Any amendments and additions to the agreement concluded with the selected Contractor must be made in the form of annexes to the agreement signed by the parties, otherwise they will be null and void.</w:t>
      </w:r>
    </w:p>
    <w:p w14:paraId="13F30D48" w14:textId="77777777" w:rsidR="005C262D" w:rsidRPr="00FE4258" w:rsidRDefault="00FD6A5D" w:rsidP="008008DC">
      <w:pPr>
        <w:pStyle w:val="Standard"/>
        <w:numPr>
          <w:ilvl w:val="1"/>
          <w:numId w:val="6"/>
        </w:numPr>
        <w:spacing w:after="57" w:line="360" w:lineRule="auto"/>
        <w:rPr>
          <w:rFonts w:asciiTheme="minorHAnsi" w:eastAsia="Calibri" w:hAnsiTheme="minorHAnsi" w:cstheme="minorHAnsi"/>
          <w:color w:val="auto"/>
        </w:rPr>
      </w:pPr>
      <w:r w:rsidRPr="00A640DC">
        <w:rPr>
          <w:rFonts w:asciiTheme="minorHAnsi" w:eastAsia="Calibri" w:hAnsiTheme="minorHAnsi" w:cstheme="minorHAnsi"/>
          <w:color w:val="auto"/>
        </w:rPr>
        <w:t>The contracting authority does not require the tenderer to provide a performance bond.</w:t>
      </w:r>
    </w:p>
    <w:p w14:paraId="6E513189" w14:textId="77777777" w:rsidR="005C262D" w:rsidRPr="00FE4258" w:rsidRDefault="005C262D" w:rsidP="00A91C75">
      <w:pPr>
        <w:pStyle w:val="Standard"/>
        <w:spacing w:after="57" w:line="360" w:lineRule="auto"/>
        <w:ind w:left="737"/>
        <w:rPr>
          <w:rFonts w:asciiTheme="minorHAnsi" w:eastAsia="Calibri" w:hAnsiTheme="minorHAnsi" w:cs="Calibri"/>
          <w:color w:val="auto"/>
          <w:highlight w:val="yellow"/>
        </w:rPr>
      </w:pPr>
    </w:p>
    <w:p w14:paraId="3BE63F51" w14:textId="77777777" w:rsidR="005C262D" w:rsidRPr="00A640DC" w:rsidRDefault="00FD6A5D" w:rsidP="008008DC">
      <w:pPr>
        <w:pStyle w:val="Standard"/>
        <w:numPr>
          <w:ilvl w:val="0"/>
          <w:numId w:val="6"/>
        </w:numPr>
        <w:spacing w:after="57" w:line="360" w:lineRule="auto"/>
        <w:rPr>
          <w:rFonts w:asciiTheme="minorHAnsi" w:eastAsia="Calibri" w:hAnsiTheme="minorHAnsi" w:cs="Calibri"/>
          <w:b/>
          <w:color w:val="auto"/>
          <w:lang w:val="pl-PL"/>
        </w:rPr>
      </w:pPr>
      <w:r w:rsidRPr="00A640DC">
        <w:rPr>
          <w:rFonts w:asciiTheme="minorHAnsi" w:eastAsia="Calibri" w:hAnsiTheme="minorHAnsi" w:cs="Calibri"/>
          <w:b/>
          <w:color w:val="auto"/>
        </w:rPr>
        <w:t>GDPR Information</w:t>
      </w:r>
    </w:p>
    <w:p w14:paraId="0B17EBA8" w14:textId="77777777" w:rsidR="005C262D" w:rsidRPr="00A640DC" w:rsidRDefault="00FD6A5D" w:rsidP="008008DC">
      <w:pPr>
        <w:pStyle w:val="Standard"/>
        <w:numPr>
          <w:ilvl w:val="1"/>
          <w:numId w:val="6"/>
        </w:numPr>
        <w:spacing w:after="57" w:line="360" w:lineRule="auto"/>
        <w:rPr>
          <w:rFonts w:asciiTheme="minorHAnsi" w:eastAsia="Calibri" w:hAnsiTheme="minorHAnsi" w:cs="Calibri"/>
          <w:color w:val="auto"/>
          <w:lang w:val="pl-PL"/>
        </w:rPr>
      </w:pPr>
      <w:r w:rsidRPr="00A640DC">
        <w:rPr>
          <w:rFonts w:asciiTheme="minorHAnsi" w:eastAsia="Calibri" w:hAnsiTheme="minorHAnsi" w:cs="Calibri"/>
          <w:color w:val="auto"/>
        </w:rPr>
        <w:t>Personal data provided to the contracting authority in the course of the procedure will be processed in accordance with the provisions of Regulation (EU) 2016/679 of the European Parliament and of the Council of 27 April 2016 on the protection of natural persons with regard to the processing of personal data and on the free movement of such data, and repealing Directive 95/46/EC (General Data Protection Regulation). EU L 119, 04.05.2016, p. 1).</w:t>
      </w:r>
    </w:p>
    <w:p w14:paraId="2FB84EB8" w14:textId="77777777" w:rsidR="005C262D" w:rsidRPr="00FE4258" w:rsidRDefault="00FD6A5D" w:rsidP="008008DC">
      <w:pPr>
        <w:pStyle w:val="Standard"/>
        <w:numPr>
          <w:ilvl w:val="1"/>
          <w:numId w:val="6"/>
        </w:numPr>
        <w:spacing w:after="57" w:line="360" w:lineRule="auto"/>
        <w:rPr>
          <w:rFonts w:asciiTheme="minorHAnsi" w:eastAsia="Calibri" w:hAnsiTheme="minorHAnsi" w:cs="Calibri"/>
          <w:color w:val="auto"/>
        </w:rPr>
      </w:pPr>
      <w:r w:rsidRPr="00A640DC">
        <w:rPr>
          <w:rFonts w:asciiTheme="minorHAnsi" w:eastAsia="Calibri" w:hAnsiTheme="minorHAnsi" w:cs="Calibri"/>
          <w:color w:val="auto"/>
        </w:rPr>
        <w:t xml:space="preserve">Pursuant to Article 13(1) and (2) of Regulation (EU) 2016/679 of the European Parliament and of the Council of 27 April 2016 on the protection of natural persons with regard to the processing of personal data and on the free movement of such data, and repealing Directive 95/46/EC (General Data Protection Regulation) (Dz. UE L 119 of 04.05.2016, p. 1), hereinafter referred to as "GDPR", the contracting authority informs that: </w:t>
      </w:r>
    </w:p>
    <w:p w14:paraId="4CB0B5A5" w14:textId="596C85BA" w:rsidR="005C262D" w:rsidRPr="00FE4258" w:rsidRDefault="00FD6A5D" w:rsidP="008008DC">
      <w:pPr>
        <w:pStyle w:val="Standard"/>
        <w:numPr>
          <w:ilvl w:val="2"/>
          <w:numId w:val="6"/>
        </w:numPr>
        <w:spacing w:line="360" w:lineRule="auto"/>
        <w:textAlignment w:val="auto"/>
        <w:rPr>
          <w:rFonts w:asciiTheme="minorHAnsi" w:hAnsiTheme="minorHAnsi"/>
          <w:color w:val="auto"/>
        </w:rPr>
      </w:pPr>
      <w:r w:rsidRPr="00A640DC">
        <w:rPr>
          <w:rFonts w:asciiTheme="minorHAnsi" w:eastAsia="Calibri" w:hAnsiTheme="minorHAnsi" w:cs="Calibri"/>
          <w:color w:val="auto"/>
        </w:rPr>
        <w:t xml:space="preserve">the administrator of personal data is Urteste S.A. with its registered office in Gdańsk </w:t>
      </w:r>
      <w:r w:rsidR="006D12FA" w:rsidRPr="00A640DC">
        <w:rPr>
          <w:color w:val="auto"/>
        </w:rPr>
        <w:t>80-137, 1 Starodworska Street</w:t>
      </w:r>
      <w:r w:rsidRPr="00A640DC">
        <w:rPr>
          <w:rFonts w:asciiTheme="minorHAnsi" w:hAnsiTheme="minorHAnsi"/>
          <w:color w:val="auto"/>
        </w:rPr>
        <w:t>.</w:t>
      </w:r>
    </w:p>
    <w:p w14:paraId="32355BC0" w14:textId="77777777" w:rsidR="005C262D" w:rsidRPr="00FE4258" w:rsidRDefault="00FD6A5D" w:rsidP="008008DC">
      <w:pPr>
        <w:pStyle w:val="Standard"/>
        <w:numPr>
          <w:ilvl w:val="2"/>
          <w:numId w:val="6"/>
        </w:numPr>
        <w:spacing w:after="57" w:line="360" w:lineRule="auto"/>
        <w:textAlignment w:val="auto"/>
        <w:rPr>
          <w:rFonts w:asciiTheme="minorHAnsi" w:eastAsia="Calibri" w:hAnsiTheme="minorHAnsi" w:cs="Calibri"/>
          <w:color w:val="auto"/>
        </w:rPr>
      </w:pPr>
      <w:r w:rsidRPr="00A640DC">
        <w:rPr>
          <w:rFonts w:asciiTheme="minorHAnsi" w:eastAsia="Calibri" w:hAnsiTheme="minorHAnsi" w:cs="Calibri"/>
          <w:color w:val="auto"/>
        </w:rPr>
        <w:t>personal data will be processed on the basis of Article 6(1)(c) of the GDPR for the purpose of this enquiry.</w:t>
      </w:r>
    </w:p>
    <w:p w14:paraId="440DA24D" w14:textId="370CE101" w:rsidR="005C262D" w:rsidRPr="00FE4258" w:rsidRDefault="00FD6A5D" w:rsidP="008008DC">
      <w:pPr>
        <w:pStyle w:val="Standard"/>
        <w:numPr>
          <w:ilvl w:val="1"/>
          <w:numId w:val="6"/>
        </w:numPr>
        <w:spacing w:after="57" w:line="360" w:lineRule="auto"/>
        <w:textAlignment w:val="auto"/>
        <w:rPr>
          <w:rFonts w:asciiTheme="minorHAnsi" w:eastAsia="Calibri" w:hAnsiTheme="minorHAnsi" w:cs="Calibri"/>
          <w:color w:val="auto"/>
        </w:rPr>
      </w:pPr>
      <w:r w:rsidRPr="00A640DC">
        <w:rPr>
          <w:rFonts w:asciiTheme="minorHAnsi" w:eastAsia="Calibri" w:hAnsiTheme="minorHAnsi" w:cs="Calibri"/>
          <w:color w:val="auto"/>
        </w:rPr>
        <w:t>The recipients of personal data will be the contracting authority and persons or entities to whom the documentation of the procedure based on the project co-financing agreement and the Guidelines on the eligibility of expenditures for the years 2021-2027 will be made available.</w:t>
      </w:r>
    </w:p>
    <w:p w14:paraId="5A183DBC" w14:textId="1E04203D" w:rsidR="005C262D" w:rsidRPr="00FE4258" w:rsidRDefault="00FD6A5D" w:rsidP="008008DC">
      <w:pPr>
        <w:pStyle w:val="Standard"/>
        <w:numPr>
          <w:ilvl w:val="1"/>
          <w:numId w:val="6"/>
        </w:numPr>
        <w:spacing w:after="57" w:line="360" w:lineRule="auto"/>
        <w:textAlignment w:val="auto"/>
        <w:rPr>
          <w:rFonts w:asciiTheme="minorHAnsi" w:eastAsia="Calibri" w:hAnsiTheme="minorHAnsi" w:cs="Calibri"/>
          <w:color w:val="auto"/>
        </w:rPr>
      </w:pPr>
      <w:r w:rsidRPr="00A640DC">
        <w:rPr>
          <w:rFonts w:asciiTheme="minorHAnsi" w:eastAsia="Calibri" w:hAnsiTheme="minorHAnsi" w:cs="Calibri"/>
          <w:color w:val="auto"/>
        </w:rPr>
        <w:t xml:space="preserve">Personal data will be stored in accordance with the co-financing agreement under the European Funds for Modern Economy Programme 2021-2027 for 10 years from the date of granting the last aid under the aid programme (i.e. for a period of 5 years from 31 </w:t>
      </w:r>
      <w:r w:rsidRPr="00A640DC">
        <w:rPr>
          <w:rFonts w:asciiTheme="minorHAnsi" w:eastAsia="Calibri" w:hAnsiTheme="minorHAnsi" w:cs="Calibri"/>
          <w:color w:val="auto"/>
        </w:rPr>
        <w:lastRenderedPageBreak/>
        <w:t>December of the year in which the institution made the last payment to the Contracting Authority)</w:t>
      </w:r>
    </w:p>
    <w:p w14:paraId="6F05465C" w14:textId="77777777" w:rsidR="005C262D" w:rsidRPr="00FE4258" w:rsidRDefault="00FD6A5D" w:rsidP="008008DC">
      <w:pPr>
        <w:pStyle w:val="Standard"/>
        <w:numPr>
          <w:ilvl w:val="1"/>
          <w:numId w:val="6"/>
        </w:numPr>
        <w:spacing w:after="57" w:line="360" w:lineRule="auto"/>
        <w:textAlignment w:val="auto"/>
        <w:rPr>
          <w:rFonts w:asciiTheme="minorHAnsi" w:eastAsia="Calibri" w:hAnsiTheme="minorHAnsi" w:cs="Calibri"/>
          <w:color w:val="auto"/>
        </w:rPr>
      </w:pPr>
      <w:r w:rsidRPr="00A640DC">
        <w:rPr>
          <w:rFonts w:asciiTheme="minorHAnsi" w:eastAsia="Calibri" w:hAnsiTheme="minorHAnsi" w:cs="Calibri"/>
          <w:color w:val="auto"/>
        </w:rPr>
        <w:t>The obligation for a natural person to provide personal data directly concerning him or her is a requirement set out in the provisions of the Guidelines, related to participation in a procurement procedure; The consequences of not providing certain data are set out in the guidelines.</w:t>
      </w:r>
    </w:p>
    <w:p w14:paraId="38693B4C" w14:textId="77777777" w:rsidR="005C262D" w:rsidRPr="00FE4258" w:rsidRDefault="00FD6A5D" w:rsidP="008008DC">
      <w:pPr>
        <w:pStyle w:val="Standard"/>
        <w:numPr>
          <w:ilvl w:val="1"/>
          <w:numId w:val="6"/>
        </w:numPr>
        <w:spacing w:after="57" w:line="360" w:lineRule="auto"/>
        <w:textAlignment w:val="auto"/>
        <w:rPr>
          <w:rFonts w:asciiTheme="minorHAnsi" w:eastAsia="Calibri" w:hAnsiTheme="minorHAnsi" w:cs="Calibri"/>
          <w:color w:val="auto"/>
        </w:rPr>
      </w:pPr>
      <w:r w:rsidRPr="00A640DC">
        <w:rPr>
          <w:rFonts w:asciiTheme="minorHAnsi" w:eastAsia="Calibri" w:hAnsiTheme="minorHAnsi" w:cs="Calibri"/>
          <w:color w:val="auto"/>
        </w:rPr>
        <w:t>With regard to personal data, decisions will not be made by automated means, in accordance with Article 22 of the GDPR.</w:t>
      </w:r>
    </w:p>
    <w:p w14:paraId="3814A076" w14:textId="77777777" w:rsidR="005C262D" w:rsidRPr="00A640DC" w:rsidRDefault="00FD6A5D" w:rsidP="008008DC">
      <w:pPr>
        <w:pStyle w:val="Standard"/>
        <w:numPr>
          <w:ilvl w:val="1"/>
          <w:numId w:val="6"/>
        </w:numPr>
        <w:spacing w:after="57" w:line="360" w:lineRule="auto"/>
        <w:textAlignment w:val="auto"/>
        <w:rPr>
          <w:rFonts w:asciiTheme="minorHAnsi" w:eastAsia="Calibri" w:hAnsiTheme="minorHAnsi" w:cs="Calibri"/>
          <w:color w:val="auto"/>
          <w:lang w:val="pl-PL"/>
        </w:rPr>
      </w:pPr>
      <w:r w:rsidRPr="00A640DC">
        <w:rPr>
          <w:rFonts w:asciiTheme="minorHAnsi" w:eastAsia="Calibri" w:hAnsiTheme="minorHAnsi" w:cs="Calibri"/>
          <w:color w:val="auto"/>
        </w:rPr>
        <w:t xml:space="preserve">A natural person has: </w:t>
      </w:r>
    </w:p>
    <w:p w14:paraId="0A5C9E25" w14:textId="77777777" w:rsidR="005C262D" w:rsidRPr="00FE4258" w:rsidRDefault="00FD6A5D" w:rsidP="008008DC">
      <w:pPr>
        <w:pStyle w:val="Standard"/>
        <w:numPr>
          <w:ilvl w:val="2"/>
          <w:numId w:val="6"/>
        </w:numPr>
        <w:spacing w:after="57" w:line="360" w:lineRule="auto"/>
        <w:textAlignment w:val="auto"/>
        <w:rPr>
          <w:rFonts w:asciiTheme="minorHAnsi" w:eastAsia="Calibri" w:hAnsiTheme="minorHAnsi" w:cs="Calibri"/>
          <w:color w:val="auto"/>
        </w:rPr>
      </w:pPr>
      <w:r w:rsidRPr="00A640DC">
        <w:rPr>
          <w:rFonts w:asciiTheme="minorHAnsi" w:eastAsia="Calibri" w:hAnsiTheme="minorHAnsi" w:cs="Calibri"/>
          <w:color w:val="auto"/>
        </w:rPr>
        <w:t xml:space="preserve">pursuant to Article 15 of the GDPR, the right to access the personal data concerning him/her; </w:t>
      </w:r>
    </w:p>
    <w:p w14:paraId="1E2BABAA" w14:textId="77777777" w:rsidR="005C262D" w:rsidRPr="00FE4258" w:rsidRDefault="00FD6A5D" w:rsidP="008008DC">
      <w:pPr>
        <w:pStyle w:val="Standard"/>
        <w:numPr>
          <w:ilvl w:val="2"/>
          <w:numId w:val="6"/>
        </w:numPr>
        <w:spacing w:after="57" w:line="360" w:lineRule="auto"/>
        <w:textAlignment w:val="auto"/>
        <w:rPr>
          <w:rFonts w:asciiTheme="minorHAnsi" w:eastAsia="Calibri" w:hAnsiTheme="minorHAnsi" w:cs="Calibri"/>
          <w:color w:val="auto"/>
        </w:rPr>
      </w:pPr>
      <w:r w:rsidRPr="00A640DC">
        <w:rPr>
          <w:rFonts w:asciiTheme="minorHAnsi" w:eastAsia="Calibri" w:hAnsiTheme="minorHAnsi" w:cs="Calibri"/>
          <w:color w:val="auto"/>
        </w:rPr>
        <w:t>pursuant to Article 16 of the GDPR, the right to rectification of your personal data (the right to restriction of processing does not apply with regard to storage, for the exercise of legal remedies or for the protection of the rights of another natural or legal person, or for important reasons of public interest of the European Union or a Member State);</w:t>
      </w:r>
    </w:p>
    <w:p w14:paraId="0C655168" w14:textId="77777777" w:rsidR="005C262D" w:rsidRPr="00FE4258" w:rsidRDefault="00FD6A5D" w:rsidP="008008DC">
      <w:pPr>
        <w:pStyle w:val="Standard"/>
        <w:numPr>
          <w:ilvl w:val="2"/>
          <w:numId w:val="6"/>
        </w:numPr>
        <w:spacing w:after="57" w:line="360" w:lineRule="auto"/>
        <w:textAlignment w:val="auto"/>
        <w:rPr>
          <w:rFonts w:asciiTheme="minorHAnsi" w:eastAsia="Calibri" w:hAnsiTheme="minorHAnsi" w:cs="Calibri"/>
          <w:color w:val="auto"/>
        </w:rPr>
      </w:pPr>
      <w:r w:rsidRPr="00A640DC">
        <w:rPr>
          <w:rFonts w:asciiTheme="minorHAnsi" w:eastAsia="Calibri" w:hAnsiTheme="minorHAnsi" w:cs="Calibri"/>
          <w:color w:val="auto"/>
        </w:rPr>
        <w:t xml:space="preserve">pursuant to Article 18 of the GDPR, the right to request the controller to restrict the processing of your personal data, subject to the cases referred to in Article 18(2) of the GDPR (the right to restriction of processing does not apply with regard to storage, for the exercise of legal remedies or for the protection of the rights of another natural or legal person, or for important reasons of public interest of the European Union or a Member State); </w:t>
      </w:r>
    </w:p>
    <w:p w14:paraId="25F0C28C" w14:textId="77777777" w:rsidR="005C262D" w:rsidRPr="00FE4258" w:rsidRDefault="00FD6A5D" w:rsidP="008008DC">
      <w:pPr>
        <w:pStyle w:val="Standard"/>
        <w:numPr>
          <w:ilvl w:val="2"/>
          <w:numId w:val="6"/>
        </w:numPr>
        <w:spacing w:after="57" w:line="360" w:lineRule="auto"/>
        <w:textAlignment w:val="auto"/>
        <w:rPr>
          <w:rFonts w:asciiTheme="minorHAnsi" w:eastAsia="Calibri" w:hAnsiTheme="minorHAnsi" w:cs="Calibri"/>
          <w:color w:val="auto"/>
        </w:rPr>
      </w:pPr>
      <w:r w:rsidRPr="00A640DC">
        <w:rPr>
          <w:rFonts w:asciiTheme="minorHAnsi" w:eastAsia="Calibri" w:hAnsiTheme="minorHAnsi" w:cs="Calibri"/>
          <w:color w:val="auto"/>
        </w:rPr>
        <w:t>the right to lodge a complaint with the President of the Personal Data Protection Office if a natural person considers that the processing of personal data concerning him or her violates the provisions of the GDPR.</w:t>
      </w:r>
    </w:p>
    <w:p w14:paraId="20643E71" w14:textId="77777777" w:rsidR="005C262D" w:rsidRPr="00FE4258" w:rsidRDefault="00FD6A5D" w:rsidP="008008DC">
      <w:pPr>
        <w:pStyle w:val="Standard"/>
        <w:numPr>
          <w:ilvl w:val="1"/>
          <w:numId w:val="6"/>
        </w:numPr>
        <w:spacing w:after="57" w:line="360" w:lineRule="auto"/>
        <w:textAlignment w:val="auto"/>
        <w:rPr>
          <w:rFonts w:asciiTheme="minorHAnsi" w:eastAsia="Calibri" w:hAnsiTheme="minorHAnsi" w:cs="Calibri"/>
          <w:color w:val="auto"/>
        </w:rPr>
      </w:pPr>
      <w:r w:rsidRPr="00A640DC">
        <w:rPr>
          <w:rFonts w:asciiTheme="minorHAnsi" w:eastAsia="Calibri" w:hAnsiTheme="minorHAnsi" w:cs="Calibri"/>
          <w:color w:val="auto"/>
        </w:rPr>
        <w:t>A natural person is not entitled to:</w:t>
      </w:r>
    </w:p>
    <w:p w14:paraId="40BC36C3" w14:textId="77777777" w:rsidR="005C262D" w:rsidRPr="00FE4258" w:rsidRDefault="00FD6A5D" w:rsidP="008008DC">
      <w:pPr>
        <w:pStyle w:val="Standard"/>
        <w:numPr>
          <w:ilvl w:val="2"/>
          <w:numId w:val="6"/>
        </w:numPr>
        <w:spacing w:after="57" w:line="360" w:lineRule="auto"/>
        <w:textAlignment w:val="auto"/>
        <w:rPr>
          <w:rFonts w:asciiTheme="minorHAnsi" w:eastAsia="Calibri" w:hAnsiTheme="minorHAnsi" w:cs="Calibri"/>
          <w:color w:val="auto"/>
        </w:rPr>
      </w:pPr>
      <w:r w:rsidRPr="00A640DC">
        <w:rPr>
          <w:rFonts w:asciiTheme="minorHAnsi" w:eastAsia="Calibri" w:hAnsiTheme="minorHAnsi" w:cs="Calibri"/>
          <w:color w:val="auto"/>
        </w:rPr>
        <w:t>in connection with Article 17(3)(b), (d) or (e) of the GDPR, the right to erasure of personal data;</w:t>
      </w:r>
    </w:p>
    <w:p w14:paraId="0F8DBC25" w14:textId="77777777" w:rsidR="005C262D" w:rsidRPr="00FE4258" w:rsidRDefault="00FD6A5D" w:rsidP="008008DC">
      <w:pPr>
        <w:pStyle w:val="Standard"/>
        <w:numPr>
          <w:ilvl w:val="2"/>
          <w:numId w:val="6"/>
        </w:numPr>
        <w:spacing w:after="57" w:line="360" w:lineRule="auto"/>
        <w:textAlignment w:val="auto"/>
        <w:rPr>
          <w:rFonts w:asciiTheme="minorHAnsi" w:eastAsia="Calibri" w:hAnsiTheme="minorHAnsi" w:cs="Calibri"/>
          <w:color w:val="auto"/>
        </w:rPr>
      </w:pPr>
      <w:r w:rsidRPr="00A640DC">
        <w:rPr>
          <w:rFonts w:asciiTheme="minorHAnsi" w:eastAsia="Calibri" w:hAnsiTheme="minorHAnsi" w:cs="Calibri"/>
          <w:color w:val="auto"/>
        </w:rPr>
        <w:t>the right to data portability as referred to in Article 20 of the GDPR;</w:t>
      </w:r>
    </w:p>
    <w:p w14:paraId="4B77A118" w14:textId="77777777" w:rsidR="005C262D" w:rsidRPr="00FE4258" w:rsidRDefault="00FD6A5D" w:rsidP="008008DC">
      <w:pPr>
        <w:pStyle w:val="Standard"/>
        <w:numPr>
          <w:ilvl w:val="2"/>
          <w:numId w:val="6"/>
        </w:numPr>
        <w:spacing w:after="57" w:line="360" w:lineRule="auto"/>
        <w:textAlignment w:val="auto"/>
        <w:rPr>
          <w:rFonts w:asciiTheme="minorHAnsi" w:eastAsia="Calibri" w:hAnsiTheme="minorHAnsi" w:cs="Calibri"/>
          <w:color w:val="auto"/>
        </w:rPr>
      </w:pPr>
      <w:r w:rsidRPr="00A640DC">
        <w:rPr>
          <w:rFonts w:asciiTheme="minorHAnsi" w:eastAsia="Calibri" w:hAnsiTheme="minorHAnsi" w:cs="Calibri"/>
          <w:color w:val="auto"/>
        </w:rPr>
        <w:lastRenderedPageBreak/>
        <w:t>pursuant to Article 21 of the GDPR, the right to object to the processing of personal data, as the legal basis for the processing of personal data is Article 6(1)(c) of the GDPR.</w:t>
      </w:r>
    </w:p>
    <w:p w14:paraId="476C04C3" w14:textId="77777777" w:rsidR="005C262D" w:rsidRPr="00FE4258" w:rsidRDefault="005C262D" w:rsidP="00A91C75">
      <w:pPr>
        <w:pStyle w:val="Standard"/>
        <w:spacing w:after="57" w:line="360" w:lineRule="auto"/>
        <w:rPr>
          <w:rFonts w:asciiTheme="minorHAnsi" w:eastAsia="Calibri" w:hAnsiTheme="minorHAnsi" w:cs="Calibri"/>
          <w:color w:val="auto"/>
        </w:rPr>
      </w:pPr>
    </w:p>
    <w:p w14:paraId="15FF8E06" w14:textId="77777777" w:rsidR="005C262D" w:rsidRPr="00A640DC" w:rsidRDefault="00FD6A5D" w:rsidP="008008DC">
      <w:pPr>
        <w:pStyle w:val="Standard"/>
        <w:numPr>
          <w:ilvl w:val="0"/>
          <w:numId w:val="6"/>
        </w:numPr>
        <w:spacing w:after="57" w:line="360" w:lineRule="auto"/>
        <w:rPr>
          <w:rFonts w:asciiTheme="minorHAnsi" w:eastAsia="Calibri" w:hAnsiTheme="minorHAnsi" w:cs="Calibri"/>
          <w:b/>
          <w:color w:val="auto"/>
          <w:lang w:val="pl-PL"/>
        </w:rPr>
      </w:pPr>
      <w:r w:rsidRPr="00A640DC">
        <w:rPr>
          <w:rFonts w:asciiTheme="minorHAnsi" w:eastAsia="Calibri" w:hAnsiTheme="minorHAnsi" w:cs="Calibri"/>
          <w:b/>
          <w:color w:val="auto"/>
        </w:rPr>
        <w:t>Attachments</w:t>
      </w:r>
    </w:p>
    <w:p w14:paraId="07F84636" w14:textId="77777777" w:rsidR="005C262D" w:rsidRPr="00A640DC" w:rsidRDefault="00FD6A5D" w:rsidP="008008DC">
      <w:pPr>
        <w:pStyle w:val="Standard"/>
        <w:numPr>
          <w:ilvl w:val="0"/>
          <w:numId w:val="5"/>
        </w:numPr>
        <w:spacing w:after="57" w:line="360" w:lineRule="auto"/>
        <w:rPr>
          <w:rFonts w:asciiTheme="minorHAnsi" w:eastAsia="Calibri" w:hAnsiTheme="minorHAnsi" w:cs="Calibri"/>
          <w:color w:val="auto"/>
          <w:lang w:val="pl-PL"/>
        </w:rPr>
      </w:pPr>
      <w:r w:rsidRPr="00A640DC">
        <w:rPr>
          <w:rFonts w:asciiTheme="minorHAnsi" w:eastAsia="Calibri" w:hAnsiTheme="minorHAnsi" w:cs="Calibri"/>
          <w:color w:val="auto"/>
        </w:rPr>
        <w:t>Offer Form</w:t>
      </w:r>
    </w:p>
    <w:p w14:paraId="5AAA4AC6" w14:textId="77777777" w:rsidR="005C262D" w:rsidRPr="00FE4258" w:rsidRDefault="00FD6A5D" w:rsidP="008008DC">
      <w:pPr>
        <w:pStyle w:val="Standard"/>
        <w:numPr>
          <w:ilvl w:val="0"/>
          <w:numId w:val="5"/>
        </w:numPr>
        <w:spacing w:after="57" w:line="360" w:lineRule="auto"/>
        <w:rPr>
          <w:rFonts w:asciiTheme="minorHAnsi" w:eastAsia="Calibri" w:hAnsiTheme="minorHAnsi" w:cs="Calibri"/>
          <w:color w:val="auto"/>
        </w:rPr>
      </w:pPr>
      <w:r w:rsidRPr="00A640DC">
        <w:rPr>
          <w:rFonts w:asciiTheme="minorHAnsi" w:eastAsia="Calibri" w:hAnsiTheme="minorHAnsi" w:cs="Calibri"/>
          <w:color w:val="auto"/>
        </w:rPr>
        <w:t>declaration of no relationship with the contracting authority</w:t>
      </w:r>
    </w:p>
    <w:p w14:paraId="6B73B6E9" w14:textId="6C6E62C9" w:rsidR="005C262D" w:rsidRPr="00FE4258" w:rsidRDefault="003045D8" w:rsidP="008008DC">
      <w:pPr>
        <w:pStyle w:val="Standard"/>
        <w:numPr>
          <w:ilvl w:val="0"/>
          <w:numId w:val="5"/>
        </w:numPr>
        <w:spacing w:after="57" w:line="360" w:lineRule="auto"/>
        <w:rPr>
          <w:rFonts w:asciiTheme="minorHAnsi" w:eastAsia="Calibri" w:hAnsiTheme="minorHAnsi" w:cs="Calibri"/>
          <w:color w:val="auto"/>
        </w:rPr>
      </w:pPr>
      <w:r>
        <w:rPr>
          <w:rFonts w:asciiTheme="minorHAnsi" w:eastAsia="Calibri" w:hAnsiTheme="minorHAnsi" w:cs="Calibri"/>
          <w:color w:val="auto"/>
        </w:rPr>
        <w:t>Non-disclosure agreement (NDA) – Polish and English version</w:t>
      </w:r>
    </w:p>
    <w:p w14:paraId="32744AAF" w14:textId="0CC0173C" w:rsidR="00306639" w:rsidRPr="00FE4258" w:rsidRDefault="00306639" w:rsidP="009721DD">
      <w:pPr>
        <w:pStyle w:val="Standard"/>
        <w:spacing w:after="57" w:line="360" w:lineRule="auto"/>
        <w:ind w:left="360"/>
        <w:rPr>
          <w:rFonts w:asciiTheme="minorHAnsi" w:eastAsia="Calibri" w:hAnsiTheme="minorHAnsi" w:cs="Calibri"/>
          <w:color w:val="auto"/>
          <w:highlight w:val="yellow"/>
        </w:rPr>
      </w:pPr>
    </w:p>
    <w:sectPr w:rsidR="00306639" w:rsidRPr="00FE4258">
      <w:headerReference w:type="default" r:id="rId10"/>
      <w:footerReference w:type="default" r:id="rId11"/>
      <w:pgSz w:w="11906" w:h="16838"/>
      <w:pgMar w:top="1814" w:right="1134" w:bottom="709" w:left="1134" w:header="567"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57DDA" w14:textId="77777777" w:rsidR="001A544D" w:rsidRDefault="001A544D">
      <w:r>
        <w:separator/>
      </w:r>
    </w:p>
  </w:endnote>
  <w:endnote w:type="continuationSeparator" w:id="0">
    <w:p w14:paraId="17952897" w14:textId="77777777" w:rsidR="001A544D" w:rsidRDefault="001A5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8799125"/>
      <w:docPartObj>
        <w:docPartGallery w:val="Page Numbers (Bottom of Page)"/>
        <w:docPartUnique/>
      </w:docPartObj>
    </w:sdtPr>
    <w:sdtEndPr>
      <w:rPr>
        <w:sz w:val="22"/>
      </w:rPr>
    </w:sdtEndPr>
    <w:sdtContent>
      <w:p w14:paraId="3936E3F5" w14:textId="77777777" w:rsidR="005C262D" w:rsidRDefault="005C262D">
        <w:pPr>
          <w:pStyle w:val="Stopka"/>
          <w:jc w:val="center"/>
        </w:pPr>
      </w:p>
      <w:p w14:paraId="09D3ED52" w14:textId="77777777" w:rsidR="005C262D" w:rsidRDefault="00FD6A5D">
        <w:pPr>
          <w:pStyle w:val="Stopka"/>
          <w:jc w:val="center"/>
          <w:rPr>
            <w:sz w:val="22"/>
          </w:rPr>
        </w:pPr>
        <w:r>
          <w:rPr>
            <w:sz w:val="22"/>
          </w:rPr>
          <w:fldChar w:fldCharType="begin"/>
        </w:r>
        <w:r>
          <w:rPr>
            <w:sz w:val="22"/>
          </w:rPr>
          <w:instrText>PAGE   \* MERGEFORMAT</w:instrText>
        </w:r>
        <w:r>
          <w:rPr>
            <w:sz w:val="22"/>
          </w:rPr>
          <w:fldChar w:fldCharType="separate"/>
        </w:r>
        <w:r>
          <w:rPr>
            <w:noProof/>
            <w:sz w:val="22"/>
          </w:rPr>
          <w:t>5</w:t>
        </w:r>
        <w:r>
          <w:rPr>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0D6E8" w14:textId="77777777" w:rsidR="001A544D" w:rsidRDefault="001A544D">
      <w:r>
        <w:separator/>
      </w:r>
    </w:p>
  </w:footnote>
  <w:footnote w:type="continuationSeparator" w:id="0">
    <w:p w14:paraId="76D5647C" w14:textId="77777777" w:rsidR="001A544D" w:rsidRDefault="001A5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18E03" w14:textId="6BC5B921" w:rsidR="005C262D" w:rsidRPr="004F1EB0" w:rsidRDefault="008D37D0" w:rsidP="004F1EB0">
    <w:pPr>
      <w:spacing w:after="120"/>
      <w:ind w:right="-426"/>
      <w:jc w:val="center"/>
      <w:rPr>
        <w:sz w:val="20"/>
        <w:szCs w:val="20"/>
      </w:rPr>
    </w:pPr>
    <w:r>
      <w:rPr>
        <w:noProof/>
      </w:rPr>
      <w:drawing>
        <wp:inline distT="0" distB="0" distL="0" distR="0" wp14:anchorId="1B5C0C5E" wp14:editId="2F04CF61">
          <wp:extent cx="6120130" cy="822325"/>
          <wp:effectExtent l="0" t="0" r="0" b="0"/>
          <wp:docPr id="436996072" name="Obraz 1" descr="Obraz zawierający tekst, zrzut ekranu,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996072" name="Obraz 1" descr="Obraz zawierający tekst, zrzut ekranu, Czcionk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822325"/>
                  </a:xfrm>
                  <a:prstGeom prst="rect">
                    <a:avLst/>
                  </a:prstGeom>
                  <a:noFill/>
                  <a:ln>
                    <a:noFill/>
                  </a:ln>
                </pic:spPr>
              </pic:pic>
            </a:graphicData>
          </a:graphic>
        </wp:inline>
      </w:drawing>
    </w:r>
    <w:r w:rsidR="009A54EE">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6188"/>
    <w:multiLevelType w:val="hybridMultilevel"/>
    <w:tmpl w:val="C78A6C88"/>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49D1F2D"/>
    <w:multiLevelType w:val="multilevel"/>
    <w:tmpl w:val="54F22B2A"/>
    <w:styleLink w:val="WW8Num14"/>
    <w:lvl w:ilvl="0">
      <w:start w:val="1"/>
      <w:numFmt w:val="decimal"/>
      <w:lvlText w:val="%1."/>
      <w:lvlJc w:val="left"/>
      <w:pPr>
        <w:ind w:left="720" w:hanging="360"/>
      </w:pPr>
      <w:rPr>
        <w:rFonts w:ascii="Trebuchet MS" w:hAnsi="Trebuchet MS" w:cs="Times New Roman"/>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6E0742B"/>
    <w:multiLevelType w:val="multilevel"/>
    <w:tmpl w:val="ACEED78E"/>
    <w:styleLink w:val="WW8Num11"/>
    <w:lvl w:ilvl="0">
      <w:start w:val="1"/>
      <w:numFmt w:val="decimal"/>
      <w:lvlText w:val="%1."/>
      <w:lvlJc w:val="left"/>
      <w:pPr>
        <w:ind w:left="360" w:hanging="360"/>
      </w:pPr>
      <w:rPr>
        <w:rFonts w:ascii="Times New Roman" w:hAnsi="Times New Roman" w:cs="Times New Roman"/>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5D54D32"/>
    <w:multiLevelType w:val="multilevel"/>
    <w:tmpl w:val="93B40E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C5343F3"/>
    <w:multiLevelType w:val="hybridMultilevel"/>
    <w:tmpl w:val="84A41BD0"/>
    <w:lvl w:ilvl="0" w:tplc="877C097E">
      <w:start w:val="1"/>
      <w:numFmt w:val="lowerLetter"/>
      <w:lvlText w:val="%1)"/>
      <w:lvlJc w:val="left"/>
      <w:pPr>
        <w:ind w:left="1097" w:hanging="360"/>
      </w:pPr>
      <w:rPr>
        <w:rFonts w:hint="default"/>
      </w:rPr>
    </w:lvl>
    <w:lvl w:ilvl="1" w:tplc="04150019" w:tentative="1">
      <w:start w:val="1"/>
      <w:numFmt w:val="lowerLetter"/>
      <w:lvlText w:val="%2."/>
      <w:lvlJc w:val="left"/>
      <w:pPr>
        <w:ind w:left="1817" w:hanging="360"/>
      </w:pPr>
    </w:lvl>
    <w:lvl w:ilvl="2" w:tplc="0415001B" w:tentative="1">
      <w:start w:val="1"/>
      <w:numFmt w:val="lowerRoman"/>
      <w:lvlText w:val="%3."/>
      <w:lvlJc w:val="right"/>
      <w:pPr>
        <w:ind w:left="2537" w:hanging="180"/>
      </w:pPr>
    </w:lvl>
    <w:lvl w:ilvl="3" w:tplc="0415000F" w:tentative="1">
      <w:start w:val="1"/>
      <w:numFmt w:val="decimal"/>
      <w:lvlText w:val="%4."/>
      <w:lvlJc w:val="left"/>
      <w:pPr>
        <w:ind w:left="3257" w:hanging="360"/>
      </w:pPr>
    </w:lvl>
    <w:lvl w:ilvl="4" w:tplc="04150019" w:tentative="1">
      <w:start w:val="1"/>
      <w:numFmt w:val="lowerLetter"/>
      <w:lvlText w:val="%5."/>
      <w:lvlJc w:val="left"/>
      <w:pPr>
        <w:ind w:left="3977" w:hanging="360"/>
      </w:pPr>
    </w:lvl>
    <w:lvl w:ilvl="5" w:tplc="0415001B" w:tentative="1">
      <w:start w:val="1"/>
      <w:numFmt w:val="lowerRoman"/>
      <w:lvlText w:val="%6."/>
      <w:lvlJc w:val="right"/>
      <w:pPr>
        <w:ind w:left="4697" w:hanging="180"/>
      </w:pPr>
    </w:lvl>
    <w:lvl w:ilvl="6" w:tplc="0415000F" w:tentative="1">
      <w:start w:val="1"/>
      <w:numFmt w:val="decimal"/>
      <w:lvlText w:val="%7."/>
      <w:lvlJc w:val="left"/>
      <w:pPr>
        <w:ind w:left="5417" w:hanging="360"/>
      </w:pPr>
    </w:lvl>
    <w:lvl w:ilvl="7" w:tplc="04150019" w:tentative="1">
      <w:start w:val="1"/>
      <w:numFmt w:val="lowerLetter"/>
      <w:lvlText w:val="%8."/>
      <w:lvlJc w:val="left"/>
      <w:pPr>
        <w:ind w:left="6137" w:hanging="360"/>
      </w:pPr>
    </w:lvl>
    <w:lvl w:ilvl="8" w:tplc="0415001B" w:tentative="1">
      <w:start w:val="1"/>
      <w:numFmt w:val="lowerRoman"/>
      <w:lvlText w:val="%9."/>
      <w:lvlJc w:val="right"/>
      <w:pPr>
        <w:ind w:left="6857" w:hanging="180"/>
      </w:pPr>
    </w:lvl>
  </w:abstractNum>
  <w:abstractNum w:abstractNumId="5" w15:restartNumberingAfterBreak="0">
    <w:nsid w:val="1D283BE5"/>
    <w:multiLevelType w:val="multilevel"/>
    <w:tmpl w:val="EE1C40FE"/>
    <w:styleLink w:val="WWNum4"/>
    <w:lvl w:ilvl="0">
      <w:start w:val="1"/>
      <w:numFmt w:val="upperRoman"/>
      <w:suff w:val="space"/>
      <w:lvlText w:val="%1."/>
      <w:lvlJc w:val="right"/>
      <w:pPr>
        <w:ind w:left="510" w:hanging="227"/>
      </w:pPr>
    </w:lvl>
    <w:lvl w:ilvl="1">
      <w:start w:val="1"/>
      <w:numFmt w:val="decimal"/>
      <w:lvlText w:val="%1.%2."/>
      <w:lvlJc w:val="right"/>
      <w:pPr>
        <w:ind w:left="737" w:hanging="170"/>
      </w:pPr>
      <w:rPr>
        <w:sz w:val="24"/>
        <w:szCs w:val="24"/>
      </w:rPr>
    </w:lvl>
    <w:lvl w:ilvl="2">
      <w:start w:val="1"/>
      <w:numFmt w:val="decimal"/>
      <w:lvlText w:val="%3)"/>
      <w:lvlJc w:val="left"/>
      <w:pPr>
        <w:ind w:left="1304" w:hanging="454"/>
      </w:pPr>
    </w:lvl>
    <w:lvl w:ilvl="3">
      <w:start w:val="1"/>
      <w:numFmt w:val="decimal"/>
      <w:lvlText w:val="%1.%2.%3.%4."/>
      <w:lvlJc w:val="left"/>
      <w:pPr>
        <w:ind w:left="1728" w:hanging="648"/>
      </w:pPr>
      <w:rPr>
        <w:sz w:val="24"/>
        <w:szCs w:val="24"/>
      </w:rPr>
    </w:lvl>
    <w:lvl w:ilvl="4">
      <w:start w:val="1"/>
      <w:numFmt w:val="decimal"/>
      <w:lvlText w:val="%1.%2.%3.%4.%5."/>
      <w:lvlJc w:val="left"/>
      <w:pPr>
        <w:ind w:left="2232" w:hanging="792"/>
      </w:pPr>
      <w:rPr>
        <w:sz w:val="24"/>
        <w:szCs w:val="24"/>
      </w:rPr>
    </w:lvl>
    <w:lvl w:ilvl="5">
      <w:start w:val="1"/>
      <w:numFmt w:val="decimal"/>
      <w:lvlText w:val="%1.%2.%3.%4.%5.%6."/>
      <w:lvlJc w:val="left"/>
      <w:pPr>
        <w:ind w:left="2736" w:hanging="936"/>
      </w:pPr>
      <w:rPr>
        <w:sz w:val="24"/>
        <w:szCs w:val="24"/>
      </w:rPr>
    </w:lvl>
    <w:lvl w:ilvl="6">
      <w:start w:val="1"/>
      <w:numFmt w:val="decimal"/>
      <w:lvlText w:val="%1.%2.%3.%4.%5.%6.%7."/>
      <w:lvlJc w:val="left"/>
      <w:pPr>
        <w:ind w:left="3240" w:hanging="1080"/>
      </w:pPr>
      <w:rPr>
        <w:sz w:val="24"/>
        <w:szCs w:val="24"/>
      </w:rPr>
    </w:lvl>
    <w:lvl w:ilvl="7">
      <w:start w:val="1"/>
      <w:numFmt w:val="decimal"/>
      <w:lvlText w:val="%1.%2.%3.%4.%5.%6.%7.%8."/>
      <w:lvlJc w:val="left"/>
      <w:pPr>
        <w:ind w:left="3744" w:hanging="1224"/>
      </w:pPr>
      <w:rPr>
        <w:sz w:val="24"/>
        <w:szCs w:val="24"/>
      </w:rPr>
    </w:lvl>
    <w:lvl w:ilvl="8">
      <w:start w:val="1"/>
      <w:numFmt w:val="decimal"/>
      <w:lvlText w:val="%1.%2.%3.%4.%5.%6.%7.%8.%9."/>
      <w:lvlJc w:val="left"/>
      <w:pPr>
        <w:ind w:left="4320" w:hanging="1440"/>
      </w:pPr>
      <w:rPr>
        <w:sz w:val="24"/>
        <w:szCs w:val="24"/>
      </w:rPr>
    </w:lvl>
  </w:abstractNum>
  <w:abstractNum w:abstractNumId="6" w15:restartNumberingAfterBreak="0">
    <w:nsid w:val="3BFF7420"/>
    <w:multiLevelType w:val="hybridMultilevel"/>
    <w:tmpl w:val="A12818B6"/>
    <w:lvl w:ilvl="0" w:tplc="A7145692">
      <w:start w:val="1"/>
      <w:numFmt w:val="lowerLetter"/>
      <w:lvlText w:val="%1)"/>
      <w:lvlJc w:val="left"/>
      <w:pPr>
        <w:ind w:left="720"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6D236B"/>
    <w:multiLevelType w:val="multilevel"/>
    <w:tmpl w:val="CAD28E32"/>
    <w:lvl w:ilvl="0">
      <w:start w:val="1"/>
      <w:numFmt w:val="upperRoman"/>
      <w:suff w:val="space"/>
      <w:lvlText w:val="%1."/>
      <w:lvlJc w:val="right"/>
      <w:pPr>
        <w:ind w:left="510" w:hanging="227"/>
      </w:pPr>
    </w:lvl>
    <w:lvl w:ilvl="1">
      <w:start w:val="1"/>
      <w:numFmt w:val="decimal"/>
      <w:lvlText w:val="%1.%2."/>
      <w:lvlJc w:val="right"/>
      <w:pPr>
        <w:ind w:left="737" w:hanging="170"/>
      </w:pPr>
      <w:rPr>
        <w:strike w:val="0"/>
        <w:sz w:val="24"/>
        <w:szCs w:val="24"/>
      </w:rPr>
    </w:lvl>
    <w:lvl w:ilvl="2">
      <w:start w:val="1"/>
      <w:numFmt w:val="bullet"/>
      <w:lvlText w:val=""/>
      <w:lvlJc w:val="left"/>
      <w:pPr>
        <w:ind w:left="1304" w:hanging="454"/>
      </w:pPr>
      <w:rPr>
        <w:rFonts w:ascii="Symbol" w:hAnsi="Symbol" w:hint="default"/>
      </w:rPr>
    </w:lvl>
    <w:lvl w:ilvl="3">
      <w:start w:val="1"/>
      <w:numFmt w:val="decimal"/>
      <w:lvlText w:val="%1.%2.%3.%4."/>
      <w:lvlJc w:val="left"/>
      <w:pPr>
        <w:ind w:left="1728" w:hanging="648"/>
      </w:pPr>
      <w:rPr>
        <w:sz w:val="24"/>
        <w:szCs w:val="24"/>
      </w:rPr>
    </w:lvl>
    <w:lvl w:ilvl="4">
      <w:start w:val="1"/>
      <w:numFmt w:val="decimal"/>
      <w:lvlText w:val="%1.%2.%3.%4.%5."/>
      <w:lvlJc w:val="left"/>
      <w:pPr>
        <w:ind w:left="2232" w:hanging="792"/>
      </w:pPr>
      <w:rPr>
        <w:sz w:val="24"/>
        <w:szCs w:val="24"/>
      </w:rPr>
    </w:lvl>
    <w:lvl w:ilvl="5">
      <w:start w:val="1"/>
      <w:numFmt w:val="decimal"/>
      <w:lvlText w:val="%1.%2.%3.%4.%5.%6."/>
      <w:lvlJc w:val="left"/>
      <w:pPr>
        <w:ind w:left="2736" w:hanging="936"/>
      </w:pPr>
      <w:rPr>
        <w:sz w:val="24"/>
        <w:szCs w:val="24"/>
      </w:rPr>
    </w:lvl>
    <w:lvl w:ilvl="6">
      <w:start w:val="1"/>
      <w:numFmt w:val="decimal"/>
      <w:lvlText w:val="%1.%2.%3.%4.%5.%6.%7."/>
      <w:lvlJc w:val="left"/>
      <w:pPr>
        <w:ind w:left="3240" w:hanging="1080"/>
      </w:pPr>
      <w:rPr>
        <w:sz w:val="24"/>
        <w:szCs w:val="24"/>
      </w:rPr>
    </w:lvl>
    <w:lvl w:ilvl="7">
      <w:start w:val="1"/>
      <w:numFmt w:val="decimal"/>
      <w:lvlText w:val="%1.%2.%3.%4.%5.%6.%7.%8."/>
      <w:lvlJc w:val="left"/>
      <w:pPr>
        <w:ind w:left="3744" w:hanging="1224"/>
      </w:pPr>
      <w:rPr>
        <w:sz w:val="24"/>
        <w:szCs w:val="24"/>
      </w:rPr>
    </w:lvl>
    <w:lvl w:ilvl="8">
      <w:start w:val="1"/>
      <w:numFmt w:val="decimal"/>
      <w:lvlText w:val="%1.%2.%3.%4.%5.%6.%7.%8.%9."/>
      <w:lvlJc w:val="left"/>
      <w:pPr>
        <w:ind w:left="4320" w:hanging="1440"/>
      </w:pPr>
      <w:rPr>
        <w:sz w:val="24"/>
        <w:szCs w:val="24"/>
      </w:rPr>
    </w:lvl>
  </w:abstractNum>
  <w:abstractNum w:abstractNumId="8" w15:restartNumberingAfterBreak="0">
    <w:nsid w:val="552B17A1"/>
    <w:multiLevelType w:val="hybridMultilevel"/>
    <w:tmpl w:val="6CD6B4C6"/>
    <w:lvl w:ilvl="0" w:tplc="9F5AB4B0">
      <w:start w:val="1"/>
      <w:numFmt w:val="decimal"/>
      <w:lvlText w:val="%1."/>
      <w:lvlJc w:val="left"/>
      <w:pPr>
        <w:ind w:left="1020" w:hanging="360"/>
      </w:pPr>
    </w:lvl>
    <w:lvl w:ilvl="1" w:tplc="51C4625A">
      <w:start w:val="1"/>
      <w:numFmt w:val="decimal"/>
      <w:lvlText w:val="%2."/>
      <w:lvlJc w:val="left"/>
      <w:pPr>
        <w:ind w:left="1020" w:hanging="360"/>
      </w:pPr>
    </w:lvl>
    <w:lvl w:ilvl="2" w:tplc="ACC0AD00">
      <w:start w:val="1"/>
      <w:numFmt w:val="decimal"/>
      <w:lvlText w:val="%3."/>
      <w:lvlJc w:val="left"/>
      <w:pPr>
        <w:ind w:left="1020" w:hanging="360"/>
      </w:pPr>
    </w:lvl>
    <w:lvl w:ilvl="3" w:tplc="819CE436">
      <w:start w:val="1"/>
      <w:numFmt w:val="decimal"/>
      <w:lvlText w:val="%4."/>
      <w:lvlJc w:val="left"/>
      <w:pPr>
        <w:ind w:left="1020" w:hanging="360"/>
      </w:pPr>
    </w:lvl>
    <w:lvl w:ilvl="4" w:tplc="A1D62AF6">
      <w:start w:val="1"/>
      <w:numFmt w:val="decimal"/>
      <w:lvlText w:val="%5."/>
      <w:lvlJc w:val="left"/>
      <w:pPr>
        <w:ind w:left="1020" w:hanging="360"/>
      </w:pPr>
    </w:lvl>
    <w:lvl w:ilvl="5" w:tplc="9FC84E4C">
      <w:start w:val="1"/>
      <w:numFmt w:val="decimal"/>
      <w:lvlText w:val="%6."/>
      <w:lvlJc w:val="left"/>
      <w:pPr>
        <w:ind w:left="1020" w:hanging="360"/>
      </w:pPr>
    </w:lvl>
    <w:lvl w:ilvl="6" w:tplc="4EBCE368">
      <w:start w:val="1"/>
      <w:numFmt w:val="decimal"/>
      <w:lvlText w:val="%7."/>
      <w:lvlJc w:val="left"/>
      <w:pPr>
        <w:ind w:left="1020" w:hanging="360"/>
      </w:pPr>
    </w:lvl>
    <w:lvl w:ilvl="7" w:tplc="B5204446">
      <w:start w:val="1"/>
      <w:numFmt w:val="decimal"/>
      <w:lvlText w:val="%8."/>
      <w:lvlJc w:val="left"/>
      <w:pPr>
        <w:ind w:left="1020" w:hanging="360"/>
      </w:pPr>
    </w:lvl>
    <w:lvl w:ilvl="8" w:tplc="81EEE8E0">
      <w:start w:val="1"/>
      <w:numFmt w:val="decimal"/>
      <w:lvlText w:val="%9."/>
      <w:lvlJc w:val="left"/>
      <w:pPr>
        <w:ind w:left="1020" w:hanging="360"/>
      </w:pPr>
    </w:lvl>
  </w:abstractNum>
  <w:abstractNum w:abstractNumId="9" w15:restartNumberingAfterBreak="0">
    <w:nsid w:val="62147470"/>
    <w:multiLevelType w:val="multilevel"/>
    <w:tmpl w:val="86EA5BBE"/>
    <w:styleLink w:val="WW8Num9"/>
    <w:lvl w:ilvl="0">
      <w:start w:val="1"/>
      <w:numFmt w:val="decimal"/>
      <w:lvlText w:val="%1."/>
      <w:lvlJc w:val="left"/>
      <w:pPr>
        <w:ind w:left="720" w:hanging="360"/>
      </w:pPr>
      <w:rPr>
        <w:rFonts w:ascii="Trebuchet MS" w:hAnsi="Trebuchet MS" w:cs="Times New Roman"/>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6BD80F94"/>
    <w:multiLevelType w:val="hybridMultilevel"/>
    <w:tmpl w:val="39C248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36585944">
    <w:abstractNumId w:val="5"/>
  </w:num>
  <w:num w:numId="2" w16cid:durableId="2129817781">
    <w:abstractNumId w:val="9"/>
  </w:num>
  <w:num w:numId="3" w16cid:durableId="1916739033">
    <w:abstractNumId w:val="2"/>
  </w:num>
  <w:num w:numId="4" w16cid:durableId="117994275">
    <w:abstractNumId w:val="1"/>
  </w:num>
  <w:num w:numId="5" w16cid:durableId="629046808">
    <w:abstractNumId w:val="3"/>
  </w:num>
  <w:num w:numId="6" w16cid:durableId="2081519503">
    <w:abstractNumId w:val="7"/>
  </w:num>
  <w:num w:numId="7" w16cid:durableId="974138679">
    <w:abstractNumId w:val="6"/>
  </w:num>
  <w:num w:numId="8" w16cid:durableId="922489211">
    <w:abstractNumId w:val="4"/>
  </w:num>
  <w:num w:numId="9" w16cid:durableId="558633628">
    <w:abstractNumId w:val="10"/>
  </w:num>
  <w:num w:numId="10" w16cid:durableId="1786579157">
    <w:abstractNumId w:val="0"/>
  </w:num>
  <w:num w:numId="11" w16cid:durableId="854029888">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2D"/>
    <w:rsid w:val="00011467"/>
    <w:rsid w:val="00011F97"/>
    <w:rsid w:val="000130F2"/>
    <w:rsid w:val="000230BD"/>
    <w:rsid w:val="00023470"/>
    <w:rsid w:val="00024CE5"/>
    <w:rsid w:val="00054344"/>
    <w:rsid w:val="00054625"/>
    <w:rsid w:val="000567A1"/>
    <w:rsid w:val="00072427"/>
    <w:rsid w:val="00073152"/>
    <w:rsid w:val="000819F3"/>
    <w:rsid w:val="0009440D"/>
    <w:rsid w:val="000963BF"/>
    <w:rsid w:val="000A2B4A"/>
    <w:rsid w:val="000A555A"/>
    <w:rsid w:val="000A5BBD"/>
    <w:rsid w:val="000B2EE0"/>
    <w:rsid w:val="000B488C"/>
    <w:rsid w:val="000D571B"/>
    <w:rsid w:val="000E4AFD"/>
    <w:rsid w:val="000E4EC0"/>
    <w:rsid w:val="000E5B2A"/>
    <w:rsid w:val="000F4EAC"/>
    <w:rsid w:val="000F56FC"/>
    <w:rsid w:val="001050E4"/>
    <w:rsid w:val="00111CD0"/>
    <w:rsid w:val="00113A31"/>
    <w:rsid w:val="00116EED"/>
    <w:rsid w:val="00117799"/>
    <w:rsid w:val="001241AE"/>
    <w:rsid w:val="001251C4"/>
    <w:rsid w:val="00134373"/>
    <w:rsid w:val="0013444A"/>
    <w:rsid w:val="00144CD7"/>
    <w:rsid w:val="00145E3A"/>
    <w:rsid w:val="00145F6D"/>
    <w:rsid w:val="00150E8D"/>
    <w:rsid w:val="00157659"/>
    <w:rsid w:val="00185264"/>
    <w:rsid w:val="00192411"/>
    <w:rsid w:val="0019679E"/>
    <w:rsid w:val="001978EF"/>
    <w:rsid w:val="001A0F83"/>
    <w:rsid w:val="001A544D"/>
    <w:rsid w:val="001B6607"/>
    <w:rsid w:val="001C0C18"/>
    <w:rsid w:val="001C44DD"/>
    <w:rsid w:val="001D1F2C"/>
    <w:rsid w:val="001E2C19"/>
    <w:rsid w:val="00202DF6"/>
    <w:rsid w:val="00204193"/>
    <w:rsid w:val="00211399"/>
    <w:rsid w:val="00224595"/>
    <w:rsid w:val="0023606C"/>
    <w:rsid w:val="0025105A"/>
    <w:rsid w:val="00254BA8"/>
    <w:rsid w:val="002933E4"/>
    <w:rsid w:val="002A0316"/>
    <w:rsid w:val="002A439D"/>
    <w:rsid w:val="002B33E1"/>
    <w:rsid w:val="002C119F"/>
    <w:rsid w:val="002D0A3A"/>
    <w:rsid w:val="002D47F1"/>
    <w:rsid w:val="002E21C1"/>
    <w:rsid w:val="002E7712"/>
    <w:rsid w:val="002F42F0"/>
    <w:rsid w:val="002F7CB7"/>
    <w:rsid w:val="00302E04"/>
    <w:rsid w:val="003045D8"/>
    <w:rsid w:val="00306639"/>
    <w:rsid w:val="00314508"/>
    <w:rsid w:val="00321C51"/>
    <w:rsid w:val="00325215"/>
    <w:rsid w:val="00325B2D"/>
    <w:rsid w:val="00325E6A"/>
    <w:rsid w:val="00331E00"/>
    <w:rsid w:val="003323FB"/>
    <w:rsid w:val="00342CFC"/>
    <w:rsid w:val="00351E22"/>
    <w:rsid w:val="003544EF"/>
    <w:rsid w:val="00357138"/>
    <w:rsid w:val="00374F54"/>
    <w:rsid w:val="00383974"/>
    <w:rsid w:val="0039738A"/>
    <w:rsid w:val="003A61D4"/>
    <w:rsid w:val="003B33DF"/>
    <w:rsid w:val="003B41E2"/>
    <w:rsid w:val="003C21D1"/>
    <w:rsid w:val="003D2DFF"/>
    <w:rsid w:val="003D4EBC"/>
    <w:rsid w:val="003D7E0C"/>
    <w:rsid w:val="004002DC"/>
    <w:rsid w:val="00405615"/>
    <w:rsid w:val="00411EFA"/>
    <w:rsid w:val="00412A54"/>
    <w:rsid w:val="00412F4C"/>
    <w:rsid w:val="00414A5A"/>
    <w:rsid w:val="00421A4A"/>
    <w:rsid w:val="0043408F"/>
    <w:rsid w:val="00434D25"/>
    <w:rsid w:val="00440C88"/>
    <w:rsid w:val="00443CE7"/>
    <w:rsid w:val="00445C92"/>
    <w:rsid w:val="004523CC"/>
    <w:rsid w:val="004566F1"/>
    <w:rsid w:val="00483518"/>
    <w:rsid w:val="004879A7"/>
    <w:rsid w:val="004926B7"/>
    <w:rsid w:val="00494399"/>
    <w:rsid w:val="004B51D9"/>
    <w:rsid w:val="004B6ACF"/>
    <w:rsid w:val="004D6358"/>
    <w:rsid w:val="004E6D34"/>
    <w:rsid w:val="004F1EB0"/>
    <w:rsid w:val="00505753"/>
    <w:rsid w:val="005058B5"/>
    <w:rsid w:val="005108B2"/>
    <w:rsid w:val="00511C46"/>
    <w:rsid w:val="0051256D"/>
    <w:rsid w:val="00516B72"/>
    <w:rsid w:val="005205A1"/>
    <w:rsid w:val="00520D57"/>
    <w:rsid w:val="00522177"/>
    <w:rsid w:val="005244D2"/>
    <w:rsid w:val="005533D3"/>
    <w:rsid w:val="00555E17"/>
    <w:rsid w:val="00561ACD"/>
    <w:rsid w:val="0056439D"/>
    <w:rsid w:val="005732A4"/>
    <w:rsid w:val="005768E1"/>
    <w:rsid w:val="00576E13"/>
    <w:rsid w:val="00587A34"/>
    <w:rsid w:val="005948E5"/>
    <w:rsid w:val="005A698F"/>
    <w:rsid w:val="005B2479"/>
    <w:rsid w:val="005B24F8"/>
    <w:rsid w:val="005C262D"/>
    <w:rsid w:val="005E2F7C"/>
    <w:rsid w:val="005F57B5"/>
    <w:rsid w:val="00603149"/>
    <w:rsid w:val="00612A23"/>
    <w:rsid w:val="00621E02"/>
    <w:rsid w:val="00633F06"/>
    <w:rsid w:val="006435E9"/>
    <w:rsid w:val="006541E4"/>
    <w:rsid w:val="00655283"/>
    <w:rsid w:val="00660509"/>
    <w:rsid w:val="0066488C"/>
    <w:rsid w:val="006660A9"/>
    <w:rsid w:val="00670DF4"/>
    <w:rsid w:val="00673909"/>
    <w:rsid w:val="006740AA"/>
    <w:rsid w:val="00676B0C"/>
    <w:rsid w:val="00677EAD"/>
    <w:rsid w:val="00685964"/>
    <w:rsid w:val="00697B17"/>
    <w:rsid w:val="006A2AB4"/>
    <w:rsid w:val="006B12D6"/>
    <w:rsid w:val="006C09E8"/>
    <w:rsid w:val="006C1FA4"/>
    <w:rsid w:val="006C61D8"/>
    <w:rsid w:val="006D12FA"/>
    <w:rsid w:val="006E079F"/>
    <w:rsid w:val="006E2143"/>
    <w:rsid w:val="006E28F8"/>
    <w:rsid w:val="006E602F"/>
    <w:rsid w:val="006F10A8"/>
    <w:rsid w:val="00700B36"/>
    <w:rsid w:val="00722766"/>
    <w:rsid w:val="00722D3B"/>
    <w:rsid w:val="00730F7B"/>
    <w:rsid w:val="00731318"/>
    <w:rsid w:val="00731B0D"/>
    <w:rsid w:val="00744582"/>
    <w:rsid w:val="00745277"/>
    <w:rsid w:val="00747CC6"/>
    <w:rsid w:val="007506AE"/>
    <w:rsid w:val="00751DD5"/>
    <w:rsid w:val="00755B88"/>
    <w:rsid w:val="007601B0"/>
    <w:rsid w:val="0076616F"/>
    <w:rsid w:val="00767C05"/>
    <w:rsid w:val="00785C9A"/>
    <w:rsid w:val="007A2721"/>
    <w:rsid w:val="007A782E"/>
    <w:rsid w:val="007B1823"/>
    <w:rsid w:val="007B23C7"/>
    <w:rsid w:val="007B28BE"/>
    <w:rsid w:val="007B3D9C"/>
    <w:rsid w:val="007B5120"/>
    <w:rsid w:val="007C2091"/>
    <w:rsid w:val="007C4E99"/>
    <w:rsid w:val="007C7599"/>
    <w:rsid w:val="007D245B"/>
    <w:rsid w:val="007D51AB"/>
    <w:rsid w:val="007E1790"/>
    <w:rsid w:val="007E6F38"/>
    <w:rsid w:val="007F7A26"/>
    <w:rsid w:val="008003BD"/>
    <w:rsid w:val="008008DC"/>
    <w:rsid w:val="00804F30"/>
    <w:rsid w:val="0080607F"/>
    <w:rsid w:val="00810EDC"/>
    <w:rsid w:val="008140E2"/>
    <w:rsid w:val="00814998"/>
    <w:rsid w:val="008253E4"/>
    <w:rsid w:val="00833E27"/>
    <w:rsid w:val="008414D4"/>
    <w:rsid w:val="00846AE1"/>
    <w:rsid w:val="008516C9"/>
    <w:rsid w:val="008549BE"/>
    <w:rsid w:val="00866D7B"/>
    <w:rsid w:val="00866E78"/>
    <w:rsid w:val="00872382"/>
    <w:rsid w:val="00892F06"/>
    <w:rsid w:val="008A55D8"/>
    <w:rsid w:val="008A7B0A"/>
    <w:rsid w:val="008B6918"/>
    <w:rsid w:val="008C3DA4"/>
    <w:rsid w:val="008D37D0"/>
    <w:rsid w:val="008E3077"/>
    <w:rsid w:val="008E50D4"/>
    <w:rsid w:val="008E5ACB"/>
    <w:rsid w:val="009268DC"/>
    <w:rsid w:val="009462E8"/>
    <w:rsid w:val="009467FF"/>
    <w:rsid w:val="0094759A"/>
    <w:rsid w:val="009568CE"/>
    <w:rsid w:val="009721DD"/>
    <w:rsid w:val="00985DCB"/>
    <w:rsid w:val="009A20E2"/>
    <w:rsid w:val="009A54EE"/>
    <w:rsid w:val="009B6E2D"/>
    <w:rsid w:val="009D44BD"/>
    <w:rsid w:val="00A04CA7"/>
    <w:rsid w:val="00A131A3"/>
    <w:rsid w:val="00A31678"/>
    <w:rsid w:val="00A34DF8"/>
    <w:rsid w:val="00A3554E"/>
    <w:rsid w:val="00A35D8C"/>
    <w:rsid w:val="00A51269"/>
    <w:rsid w:val="00A540A1"/>
    <w:rsid w:val="00A555A5"/>
    <w:rsid w:val="00A5602C"/>
    <w:rsid w:val="00A640DC"/>
    <w:rsid w:val="00A644FE"/>
    <w:rsid w:val="00A7155C"/>
    <w:rsid w:val="00A768DE"/>
    <w:rsid w:val="00A82584"/>
    <w:rsid w:val="00A86475"/>
    <w:rsid w:val="00A8723B"/>
    <w:rsid w:val="00A9117F"/>
    <w:rsid w:val="00A91C75"/>
    <w:rsid w:val="00A949FB"/>
    <w:rsid w:val="00AA1700"/>
    <w:rsid w:val="00AB06F4"/>
    <w:rsid w:val="00AB1245"/>
    <w:rsid w:val="00AB50B7"/>
    <w:rsid w:val="00AE5707"/>
    <w:rsid w:val="00AF0D94"/>
    <w:rsid w:val="00B04E25"/>
    <w:rsid w:val="00B2454D"/>
    <w:rsid w:val="00B30C8B"/>
    <w:rsid w:val="00B406C8"/>
    <w:rsid w:val="00B47F0C"/>
    <w:rsid w:val="00B67274"/>
    <w:rsid w:val="00B70538"/>
    <w:rsid w:val="00B75FBD"/>
    <w:rsid w:val="00B816FB"/>
    <w:rsid w:val="00BA30E8"/>
    <w:rsid w:val="00BB438D"/>
    <w:rsid w:val="00BB68CC"/>
    <w:rsid w:val="00BC5976"/>
    <w:rsid w:val="00BC68B7"/>
    <w:rsid w:val="00BC7941"/>
    <w:rsid w:val="00BD5F0D"/>
    <w:rsid w:val="00BD7A79"/>
    <w:rsid w:val="00BE2518"/>
    <w:rsid w:val="00C03445"/>
    <w:rsid w:val="00C0611E"/>
    <w:rsid w:val="00C1004D"/>
    <w:rsid w:val="00C12ADA"/>
    <w:rsid w:val="00C3202F"/>
    <w:rsid w:val="00C33C4A"/>
    <w:rsid w:val="00C40F2B"/>
    <w:rsid w:val="00C512BA"/>
    <w:rsid w:val="00C576DA"/>
    <w:rsid w:val="00C62976"/>
    <w:rsid w:val="00C65130"/>
    <w:rsid w:val="00C676FE"/>
    <w:rsid w:val="00C718D2"/>
    <w:rsid w:val="00C879FE"/>
    <w:rsid w:val="00CA0298"/>
    <w:rsid w:val="00CB3417"/>
    <w:rsid w:val="00CB5814"/>
    <w:rsid w:val="00CB68E1"/>
    <w:rsid w:val="00CC32AC"/>
    <w:rsid w:val="00CD319D"/>
    <w:rsid w:val="00CF3852"/>
    <w:rsid w:val="00CF4164"/>
    <w:rsid w:val="00D015C6"/>
    <w:rsid w:val="00D016CE"/>
    <w:rsid w:val="00D058C8"/>
    <w:rsid w:val="00D1427D"/>
    <w:rsid w:val="00D14A52"/>
    <w:rsid w:val="00D17BF1"/>
    <w:rsid w:val="00D2123D"/>
    <w:rsid w:val="00D345DD"/>
    <w:rsid w:val="00D52204"/>
    <w:rsid w:val="00D5588F"/>
    <w:rsid w:val="00D574FE"/>
    <w:rsid w:val="00D63E07"/>
    <w:rsid w:val="00D75FA7"/>
    <w:rsid w:val="00D837C1"/>
    <w:rsid w:val="00D92FB6"/>
    <w:rsid w:val="00D95DE3"/>
    <w:rsid w:val="00DA52DD"/>
    <w:rsid w:val="00DB476A"/>
    <w:rsid w:val="00DC64FC"/>
    <w:rsid w:val="00DD1990"/>
    <w:rsid w:val="00DD51B6"/>
    <w:rsid w:val="00DD5F78"/>
    <w:rsid w:val="00DE577E"/>
    <w:rsid w:val="00DF212C"/>
    <w:rsid w:val="00DF2C6B"/>
    <w:rsid w:val="00E05108"/>
    <w:rsid w:val="00E05A03"/>
    <w:rsid w:val="00E10BB7"/>
    <w:rsid w:val="00E23773"/>
    <w:rsid w:val="00E309DB"/>
    <w:rsid w:val="00E31CA8"/>
    <w:rsid w:val="00E32E5A"/>
    <w:rsid w:val="00E408EE"/>
    <w:rsid w:val="00E41F8C"/>
    <w:rsid w:val="00E4569C"/>
    <w:rsid w:val="00E763DB"/>
    <w:rsid w:val="00E76481"/>
    <w:rsid w:val="00E87F58"/>
    <w:rsid w:val="00EA6C16"/>
    <w:rsid w:val="00EA6E9A"/>
    <w:rsid w:val="00EB290B"/>
    <w:rsid w:val="00EC0773"/>
    <w:rsid w:val="00EC4D05"/>
    <w:rsid w:val="00EC542F"/>
    <w:rsid w:val="00ED04F0"/>
    <w:rsid w:val="00ED20F1"/>
    <w:rsid w:val="00ED3089"/>
    <w:rsid w:val="00ED7634"/>
    <w:rsid w:val="00EE33D4"/>
    <w:rsid w:val="00EE3AE0"/>
    <w:rsid w:val="00EE6C29"/>
    <w:rsid w:val="00F15794"/>
    <w:rsid w:val="00F160AC"/>
    <w:rsid w:val="00F258E1"/>
    <w:rsid w:val="00F270C1"/>
    <w:rsid w:val="00F404D5"/>
    <w:rsid w:val="00F52648"/>
    <w:rsid w:val="00F53F3E"/>
    <w:rsid w:val="00F56E2C"/>
    <w:rsid w:val="00F60A59"/>
    <w:rsid w:val="00F7333C"/>
    <w:rsid w:val="00F80576"/>
    <w:rsid w:val="00F81B48"/>
    <w:rsid w:val="00F8220C"/>
    <w:rsid w:val="00F90FFC"/>
    <w:rsid w:val="00F92403"/>
    <w:rsid w:val="00F941DE"/>
    <w:rsid w:val="00FA667E"/>
    <w:rsid w:val="00FB53F2"/>
    <w:rsid w:val="00FC78C0"/>
    <w:rsid w:val="00FD48F9"/>
    <w:rsid w:val="00FD6A5D"/>
    <w:rsid w:val="00FE1133"/>
    <w:rsid w:val="00FE4258"/>
    <w:rsid w:val="00FE6A64"/>
    <w:rsid w:val="00FF055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D95A9"/>
  <w15:docId w15:val="{37843392-83E0-465F-82A3-02ED2BC8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egoe UI" w:hAnsi="Calibri" w:cs="Tahoma"/>
        <w:color w:val="000000"/>
        <w:kern w:val="3"/>
        <w:sz w:val="24"/>
        <w:szCs w:val="24"/>
        <w:lang w:val="en-US" w:eastAsia="en-US" w:bidi="en-US"/>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04E2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pPr>
      <w:keepNext/>
      <w:autoSpaceDN/>
      <w:outlineLvl w:val="1"/>
    </w:pPr>
    <w:rPr>
      <w:rFonts w:ascii="Times New Roman" w:eastAsia="SimSun" w:hAnsi="Times New Roman" w:cs="Mangal"/>
      <w:b/>
      <w:bCs/>
      <w:color w:val="00000A"/>
      <w:kern w:val="0"/>
      <w:sz w:val="22"/>
      <w:lang w:val="pl-PL" w:eastAsia="zh-CN" w:bidi="hi-IN"/>
    </w:rPr>
  </w:style>
  <w:style w:type="paragraph" w:styleId="Nagwek3">
    <w:name w:val="heading 3"/>
    <w:basedOn w:val="Normalny"/>
    <w:next w:val="Normalny"/>
    <w:link w:val="Nagwek3Znak"/>
    <w:uiPriority w:val="9"/>
    <w:semiHidden/>
    <w:unhideWhenUsed/>
    <w:qFormat/>
    <w:pPr>
      <w:keepNext/>
      <w:keepLines/>
      <w:spacing w:before="4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TableContents">
    <w:name w:val="Table Contents"/>
    <w:basedOn w:val="Standard"/>
    <w:pPr>
      <w:suppressLineNumbers/>
    </w:pPr>
  </w:style>
  <w:style w:type="paragraph" w:styleId="Nagwek">
    <w:name w:val="header"/>
    <w:basedOn w:val="Standard"/>
    <w:link w:val="NagwekZnak"/>
    <w:pPr>
      <w:suppressLineNumbers/>
      <w:tabs>
        <w:tab w:val="center" w:pos="4819"/>
        <w:tab w:val="right" w:pos="9638"/>
      </w:tabs>
    </w:pPr>
  </w:style>
  <w:style w:type="paragraph" w:customStyle="1" w:styleId="Textbody">
    <w:name w:val="Text body"/>
    <w:basedOn w:val="Standard"/>
    <w:pPr>
      <w:spacing w:after="140" w:line="288" w:lineRule="auto"/>
    </w:pPr>
  </w:style>
  <w:style w:type="paragraph" w:styleId="Akapitzlist">
    <w:name w:val="List Paragraph"/>
    <w:aliases w:val="Numerowanie,List Paragraph,Akapit z listą BS,Kolorowa lista — akcent 11,Akapit z listą2"/>
    <w:basedOn w:val="Standard"/>
    <w:link w:val="AkapitzlistZnak"/>
    <w:uiPriority w:val="34"/>
    <w:qFormat/>
    <w:pPr>
      <w:spacing w:after="200" w:line="276" w:lineRule="auto"/>
      <w:ind w:left="720"/>
    </w:pPr>
    <w:rPr>
      <w:rFonts w:eastAsia="Calibri" w:cs="Calibri"/>
      <w:sz w:val="22"/>
      <w:szCs w:val="22"/>
    </w:rPr>
  </w:style>
  <w:style w:type="paragraph" w:customStyle="1" w:styleId="StylSIWZv3">
    <w:name w:val="Styl SIWZ v3"/>
    <w:basedOn w:val="Akapitzlist"/>
    <w:pPr>
      <w:spacing w:before="120" w:after="240"/>
      <w:jc w:val="both"/>
    </w:pPr>
    <w:rPr>
      <w:b/>
      <w:sz w:val="24"/>
      <w:szCs w:val="24"/>
    </w:rPr>
  </w:style>
  <w:style w:type="paragraph" w:customStyle="1" w:styleId="Default">
    <w:name w:val="Default"/>
    <w:rPr>
      <w:rFonts w:ascii="Arial" w:eastAsia="Arial" w:hAnsi="Arial" w:cs="Arial"/>
    </w:rPr>
  </w:style>
  <w:style w:type="character" w:customStyle="1" w:styleId="Internetlink">
    <w:name w:val="Internet link"/>
    <w:rPr>
      <w:color w:val="000080"/>
      <w:u w:val="single"/>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Character20style">
    <w:name w:val="Character_20_style"/>
    <w:rPr>
      <w:sz w:val="24"/>
      <w:szCs w:val="24"/>
    </w:rPr>
  </w:style>
  <w:style w:type="character" w:customStyle="1" w:styleId="WW8Num9z0">
    <w:name w:val="WW8Num9z0"/>
    <w:rPr>
      <w:rFonts w:ascii="Trebuchet MS" w:eastAsia="Trebuchet MS" w:hAnsi="Trebuchet MS" w:cs="Times New Roman"/>
      <w:sz w:val="22"/>
      <w:szCs w:val="22"/>
    </w:rPr>
  </w:style>
  <w:style w:type="character" w:customStyle="1" w:styleId="WW8Num11z0">
    <w:name w:val="WW8Num11z0"/>
    <w:rPr>
      <w:rFonts w:ascii="Times New Roman" w:eastAsia="Times New Roman" w:hAnsi="Times New Roman" w:cs="Times New Roman"/>
      <w:sz w:val="22"/>
      <w:szCs w:val="22"/>
    </w:rPr>
  </w:style>
  <w:style w:type="character" w:customStyle="1" w:styleId="WW8Num14z0">
    <w:name w:val="WW8Num14z0"/>
    <w:rPr>
      <w:rFonts w:ascii="Trebuchet MS" w:eastAsia="Trebuchet MS" w:hAnsi="Trebuchet MS" w:cs="Times New Roman"/>
      <w:sz w:val="22"/>
      <w:szCs w:val="22"/>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numbering" w:customStyle="1" w:styleId="WWNum4">
    <w:name w:val="WWNum4"/>
    <w:basedOn w:val="Bezlisty"/>
    <w:pPr>
      <w:numPr>
        <w:numId w:val="1"/>
      </w:numPr>
    </w:pPr>
  </w:style>
  <w:style w:type="numbering" w:customStyle="1" w:styleId="WW8Num9">
    <w:name w:val="WW8Num9"/>
    <w:basedOn w:val="Bezlisty"/>
    <w:pPr>
      <w:numPr>
        <w:numId w:val="2"/>
      </w:numPr>
    </w:pPr>
  </w:style>
  <w:style w:type="numbering" w:customStyle="1" w:styleId="WW8Num11">
    <w:name w:val="WW8Num11"/>
    <w:basedOn w:val="Bezlisty"/>
    <w:pPr>
      <w:numPr>
        <w:numId w:val="3"/>
      </w:numPr>
    </w:pPr>
  </w:style>
  <w:style w:type="numbering" w:customStyle="1" w:styleId="WW8Num14">
    <w:name w:val="WW8Num14"/>
    <w:basedOn w:val="Bezlisty"/>
    <w:pPr>
      <w:numPr>
        <w:numId w:val="4"/>
      </w:numPr>
    </w:pPr>
  </w:style>
  <w:style w:type="paragraph" w:styleId="Stopka">
    <w:name w:val="footer"/>
    <w:basedOn w:val="Normalny"/>
    <w:link w:val="StopkaZnak"/>
    <w:uiPriority w:val="99"/>
    <w:unhideWhenUsed/>
    <w:pPr>
      <w:tabs>
        <w:tab w:val="center" w:pos="4536"/>
        <w:tab w:val="right" w:pos="9072"/>
      </w:tabs>
    </w:pPr>
  </w:style>
  <w:style w:type="character" w:customStyle="1" w:styleId="StopkaZnak">
    <w:name w:val="Stopka Znak"/>
    <w:basedOn w:val="Domylnaczcionkaakapitu"/>
    <w:link w:val="Stopka"/>
    <w:uiPriority w:val="99"/>
  </w:style>
  <w:style w:type="character" w:styleId="Hipercze">
    <w:name w:val="Hyperlink"/>
    <w:basedOn w:val="Domylnaczcionkaakapitu"/>
    <w:uiPriority w:val="99"/>
    <w:unhideWhenUsed/>
    <w:rPr>
      <w:color w:val="0563C1" w:themeColor="hyperlink"/>
      <w:u w:val="single"/>
    </w:rPr>
  </w:style>
  <w:style w:type="character" w:customStyle="1" w:styleId="Nierozpoznanawzmianka1">
    <w:name w:val="Nierozpoznana wzmianka1"/>
    <w:basedOn w:val="Domylnaczcionkaakapitu"/>
    <w:uiPriority w:val="99"/>
    <w:semiHidden/>
    <w:unhideWhenUsed/>
    <w:rPr>
      <w:color w:val="808080"/>
      <w:shd w:val="clear" w:color="auto" w:fill="E6E6E6"/>
    </w:rPr>
  </w:style>
  <w:style w:type="paragraph" w:styleId="Tekstprzypisukocowego">
    <w:name w:val="endnote text"/>
    <w:basedOn w:val="Normalny"/>
    <w:link w:val="TekstprzypisukocowegoZnak"/>
    <w:uiPriority w:val="99"/>
    <w:semiHidden/>
    <w:unhideWhenUsed/>
    <w:rPr>
      <w:sz w:val="20"/>
      <w:szCs w:val="20"/>
    </w:rPr>
  </w:style>
  <w:style w:type="character" w:customStyle="1" w:styleId="TekstprzypisukocowegoZnak">
    <w:name w:val="Tekst przypisu końcowego Znak"/>
    <w:basedOn w:val="Domylnaczcionkaakapitu"/>
    <w:link w:val="Tekstprzypisukocowego"/>
    <w:uiPriority w:val="99"/>
    <w:semiHidden/>
    <w:rPr>
      <w:sz w:val="20"/>
      <w:szCs w:val="20"/>
    </w:rPr>
  </w:style>
  <w:style w:type="character" w:styleId="Odwoanieprzypisukocowego">
    <w:name w:val="endnote reference"/>
    <w:basedOn w:val="Domylnaczcionkaakapitu"/>
    <w:uiPriority w:val="99"/>
    <w:semiHidden/>
    <w:unhideWhenUsed/>
    <w:rPr>
      <w:vertAlign w:val="superscript"/>
    </w:rPr>
  </w:style>
  <w:style w:type="paragraph" w:styleId="Tekstdymka">
    <w:name w:val="Balloon Text"/>
    <w:basedOn w:val="Normalny"/>
    <w:link w:val="TekstdymkaZnak"/>
    <w:uiPriority w:val="99"/>
    <w:semiHidden/>
    <w:unhideWhenUsed/>
    <w:rPr>
      <w:rFonts w:ascii="Segoe UI" w:hAnsi="Segoe UI" w:cs="Segoe UI"/>
      <w:sz w:val="18"/>
      <w:szCs w:val="18"/>
    </w:rPr>
  </w:style>
  <w:style w:type="character" w:customStyle="1" w:styleId="TekstdymkaZnak">
    <w:name w:val="Tekst dymka Znak"/>
    <w:basedOn w:val="Domylnaczcionkaakapitu"/>
    <w:link w:val="Tekstdymka"/>
    <w:uiPriority w:val="99"/>
    <w:semiHidden/>
    <w:rPr>
      <w:rFonts w:ascii="Segoe UI" w:hAnsi="Segoe UI" w:cs="Segoe UI"/>
      <w:sz w:val="18"/>
      <w:szCs w:val="18"/>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unhideWhenUsed/>
    <w:rPr>
      <w:sz w:val="20"/>
      <w:szCs w:val="20"/>
    </w:rPr>
  </w:style>
  <w:style w:type="character" w:customStyle="1" w:styleId="TekstkomentarzaZnak">
    <w:name w:val="Tekst komentarza Znak"/>
    <w:basedOn w:val="Domylnaczcionkaakapitu"/>
    <w:link w:val="Tekstkomentarza"/>
    <w:uiPriority w:val="99"/>
    <w:rPr>
      <w:sz w:val="20"/>
      <w:szCs w:val="20"/>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b/>
      <w:bCs/>
      <w:sz w:val="20"/>
      <w:szCs w:val="20"/>
    </w:rPr>
  </w:style>
  <w:style w:type="paragraph" w:customStyle="1" w:styleId="Zawartotabeli">
    <w:name w:val="Zawartość tabeli"/>
    <w:basedOn w:val="Normalny"/>
    <w:qFormat/>
    <w:pPr>
      <w:widowControl/>
      <w:autoSpaceDN/>
      <w:spacing w:line="100" w:lineRule="atLeast"/>
      <w:textAlignment w:val="auto"/>
    </w:pPr>
    <w:rPr>
      <w:rFonts w:ascii="Times New Roman" w:eastAsia="Times New Roman" w:hAnsi="Times New Roman" w:cs="Times New Roman"/>
      <w:color w:val="00000A"/>
      <w:kern w:val="0"/>
      <w:lang w:val="pl-PL" w:eastAsia="pl-PL" w:bidi="ar-SA"/>
    </w:rPr>
  </w:style>
  <w:style w:type="character" w:customStyle="1" w:styleId="StopkaZnak1">
    <w:name w:val="Stopka Znak1"/>
    <w:basedOn w:val="Domylnaczcionkaakapitu"/>
    <w:uiPriority w:val="99"/>
    <w:semiHidden/>
    <w:qFormat/>
    <w:locked/>
    <w:rPr>
      <w:rFonts w:eastAsia="SimSun" w:cs="Calibri"/>
      <w:color w:val="00000A"/>
      <w:lang w:eastAsia="en-US"/>
    </w:rPr>
  </w:style>
  <w:style w:type="character" w:customStyle="1" w:styleId="Nagwek2Znak">
    <w:name w:val="Nagłówek 2 Znak"/>
    <w:basedOn w:val="Domylnaczcionkaakapitu"/>
    <w:link w:val="Nagwek2"/>
    <w:rPr>
      <w:rFonts w:ascii="Times New Roman" w:eastAsia="SimSun" w:hAnsi="Times New Roman" w:cs="Mangal"/>
      <w:b/>
      <w:bCs/>
      <w:color w:val="00000A"/>
      <w:kern w:val="0"/>
      <w:sz w:val="22"/>
      <w:lang w:val="pl-PL" w:eastAsia="zh-CN" w:bidi="hi-IN"/>
    </w:rPr>
  </w:style>
  <w:style w:type="character" w:customStyle="1" w:styleId="AkapitzlistZnak">
    <w:name w:val="Akapit z listą Znak"/>
    <w:aliases w:val="Numerowanie Znak,List Paragraph Znak,Akapit z listą BS Znak,Kolorowa lista — akcent 11 Znak,Akapit z listą2 Znak"/>
    <w:basedOn w:val="Domylnaczcionkaakapitu"/>
    <w:link w:val="Akapitzlist"/>
    <w:uiPriority w:val="34"/>
    <w:qFormat/>
    <w:rPr>
      <w:rFonts w:eastAsia="Calibri" w:cs="Calibri"/>
      <w:sz w:val="22"/>
      <w:szCs w:val="22"/>
    </w:rPr>
  </w:style>
  <w:style w:type="character" w:customStyle="1" w:styleId="Nagwek3Znak">
    <w:name w:val="Nagłówek 3 Znak"/>
    <w:basedOn w:val="Domylnaczcionkaakapitu"/>
    <w:link w:val="Nagwek3"/>
    <w:uiPriority w:val="9"/>
    <w:semiHidden/>
    <w:rPr>
      <w:rFonts w:asciiTheme="majorHAnsi" w:eastAsiaTheme="majorEastAsia" w:hAnsiTheme="majorHAnsi" w:cstheme="majorBidi"/>
      <w:color w:val="1F3763" w:themeColor="accent1" w:themeShade="7F"/>
    </w:rPr>
  </w:style>
  <w:style w:type="character" w:customStyle="1" w:styleId="NagwekZnak">
    <w:name w:val="Nagłówek Znak"/>
    <w:basedOn w:val="Domylnaczcionkaakapitu"/>
    <w:link w:val="Nagwek"/>
  </w:style>
  <w:style w:type="table" w:styleId="Tabela-Siatka">
    <w:name w:val="Table Grid"/>
    <w:basedOn w:val="Standardowy"/>
    <w:uiPriority w:val="39"/>
    <w:rsid w:val="001A0F83"/>
    <w:pPr>
      <w:widowControl/>
      <w:suppressAutoHyphens w:val="0"/>
      <w:autoSpaceDN/>
      <w:textAlignment w:val="auto"/>
    </w:pPr>
    <w:rPr>
      <w:rFonts w:asciiTheme="minorHAnsi" w:eastAsiaTheme="minorHAnsi" w:hAnsiTheme="minorHAnsi" w:cstheme="minorBidi"/>
      <w:color w:val="auto"/>
      <w:kern w:val="0"/>
      <w:sz w:val="22"/>
      <w:szCs w:val="22"/>
      <w:lang w:val="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ny"/>
    <w:rsid w:val="00F60A59"/>
    <w:pPr>
      <w:widowControl/>
      <w:suppressAutoHyphens w:val="0"/>
      <w:autoSpaceDN/>
      <w:spacing w:before="100" w:beforeAutospacing="1" w:after="100" w:afterAutospacing="1"/>
      <w:textAlignment w:val="auto"/>
    </w:pPr>
    <w:rPr>
      <w:rFonts w:ascii="Times New Roman" w:eastAsia="Times New Roman" w:hAnsi="Times New Roman" w:cs="Times New Roman"/>
      <w:color w:val="auto"/>
      <w:kern w:val="0"/>
      <w:lang w:val="pl-PL" w:eastAsia="pl-PL" w:bidi="ar-SA"/>
    </w:rPr>
  </w:style>
  <w:style w:type="character" w:customStyle="1" w:styleId="cf01">
    <w:name w:val="cf01"/>
    <w:basedOn w:val="Domylnaczcionkaakapitu"/>
    <w:rsid w:val="00F60A59"/>
    <w:rPr>
      <w:rFonts w:ascii="Segoe UI" w:hAnsi="Segoe UI" w:cs="Segoe UI" w:hint="default"/>
      <w:sz w:val="18"/>
      <w:szCs w:val="18"/>
    </w:rPr>
  </w:style>
  <w:style w:type="character" w:customStyle="1" w:styleId="Nagwek1Znak">
    <w:name w:val="Nagłówek 1 Znak"/>
    <w:basedOn w:val="Domylnaczcionkaakapitu"/>
    <w:link w:val="Nagwek1"/>
    <w:uiPriority w:val="9"/>
    <w:rsid w:val="00B04E25"/>
    <w:rPr>
      <w:rFonts w:asciiTheme="majorHAnsi" w:eastAsiaTheme="majorEastAsia" w:hAnsiTheme="majorHAnsi" w:cstheme="majorBidi"/>
      <w:color w:val="2F5496" w:themeColor="accent1" w:themeShade="BF"/>
      <w:sz w:val="32"/>
      <w:szCs w:val="32"/>
    </w:rPr>
  </w:style>
  <w:style w:type="paragraph" w:styleId="Poprawka">
    <w:name w:val="Revision"/>
    <w:hidden/>
    <w:uiPriority w:val="99"/>
    <w:semiHidden/>
    <w:rsid w:val="00A540A1"/>
    <w:pPr>
      <w:widowControl/>
      <w:suppressAutoHyphens w:val="0"/>
      <w:autoSpaceDN/>
      <w:textAlignment w:val="auto"/>
    </w:pPr>
  </w:style>
  <w:style w:type="character" w:styleId="Tekstzastpczy">
    <w:name w:val="Placeholder Text"/>
    <w:basedOn w:val="Domylnaczcionkaakapitu"/>
    <w:uiPriority w:val="99"/>
    <w:semiHidden/>
    <w:rsid w:val="001D1F2C"/>
    <w:rPr>
      <w:color w:val="666666"/>
    </w:rPr>
  </w:style>
  <w:style w:type="character" w:customStyle="1" w:styleId="ts-alignment-element-highlighted">
    <w:name w:val="ts-alignment-element-highlighted"/>
    <w:basedOn w:val="Domylnaczcionkaakapitu"/>
    <w:rsid w:val="00204193"/>
  </w:style>
  <w:style w:type="character" w:customStyle="1" w:styleId="ts-alignment-element">
    <w:name w:val="ts-alignment-element"/>
    <w:basedOn w:val="Domylnaczcionkaakapitu"/>
    <w:rsid w:val="00204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60553">
      <w:bodyDiv w:val="1"/>
      <w:marLeft w:val="0"/>
      <w:marRight w:val="0"/>
      <w:marTop w:val="0"/>
      <w:marBottom w:val="0"/>
      <w:divBdr>
        <w:top w:val="none" w:sz="0" w:space="0" w:color="auto"/>
        <w:left w:val="none" w:sz="0" w:space="0" w:color="auto"/>
        <w:bottom w:val="none" w:sz="0" w:space="0" w:color="auto"/>
        <w:right w:val="none" w:sz="0" w:space="0" w:color="auto"/>
      </w:divBdr>
    </w:div>
    <w:div w:id="41834227">
      <w:bodyDiv w:val="1"/>
      <w:marLeft w:val="0"/>
      <w:marRight w:val="0"/>
      <w:marTop w:val="0"/>
      <w:marBottom w:val="0"/>
      <w:divBdr>
        <w:top w:val="none" w:sz="0" w:space="0" w:color="auto"/>
        <w:left w:val="none" w:sz="0" w:space="0" w:color="auto"/>
        <w:bottom w:val="none" w:sz="0" w:space="0" w:color="auto"/>
        <w:right w:val="none" w:sz="0" w:space="0" w:color="auto"/>
      </w:divBdr>
      <w:divsChild>
        <w:div w:id="575434416">
          <w:marLeft w:val="0"/>
          <w:marRight w:val="0"/>
          <w:marTop w:val="0"/>
          <w:marBottom w:val="0"/>
          <w:divBdr>
            <w:top w:val="none" w:sz="0" w:space="0" w:color="auto"/>
            <w:left w:val="none" w:sz="0" w:space="0" w:color="auto"/>
            <w:bottom w:val="none" w:sz="0" w:space="0" w:color="auto"/>
            <w:right w:val="none" w:sz="0" w:space="0" w:color="auto"/>
          </w:divBdr>
        </w:div>
        <w:div w:id="184290387">
          <w:marLeft w:val="0"/>
          <w:marRight w:val="0"/>
          <w:marTop w:val="0"/>
          <w:marBottom w:val="0"/>
          <w:divBdr>
            <w:top w:val="none" w:sz="0" w:space="0" w:color="auto"/>
            <w:left w:val="none" w:sz="0" w:space="0" w:color="auto"/>
            <w:bottom w:val="none" w:sz="0" w:space="0" w:color="auto"/>
            <w:right w:val="none" w:sz="0" w:space="0" w:color="auto"/>
          </w:divBdr>
        </w:div>
        <w:div w:id="1706566068">
          <w:marLeft w:val="0"/>
          <w:marRight w:val="0"/>
          <w:marTop w:val="0"/>
          <w:marBottom w:val="0"/>
          <w:divBdr>
            <w:top w:val="none" w:sz="0" w:space="0" w:color="auto"/>
            <w:left w:val="none" w:sz="0" w:space="0" w:color="auto"/>
            <w:bottom w:val="none" w:sz="0" w:space="0" w:color="auto"/>
            <w:right w:val="none" w:sz="0" w:space="0" w:color="auto"/>
          </w:divBdr>
        </w:div>
      </w:divsChild>
    </w:div>
    <w:div w:id="61369650">
      <w:bodyDiv w:val="1"/>
      <w:marLeft w:val="0"/>
      <w:marRight w:val="0"/>
      <w:marTop w:val="0"/>
      <w:marBottom w:val="0"/>
      <w:divBdr>
        <w:top w:val="none" w:sz="0" w:space="0" w:color="auto"/>
        <w:left w:val="none" w:sz="0" w:space="0" w:color="auto"/>
        <w:bottom w:val="none" w:sz="0" w:space="0" w:color="auto"/>
        <w:right w:val="none" w:sz="0" w:space="0" w:color="auto"/>
      </w:divBdr>
    </w:div>
    <w:div w:id="87236520">
      <w:bodyDiv w:val="1"/>
      <w:marLeft w:val="0"/>
      <w:marRight w:val="0"/>
      <w:marTop w:val="0"/>
      <w:marBottom w:val="0"/>
      <w:divBdr>
        <w:top w:val="none" w:sz="0" w:space="0" w:color="auto"/>
        <w:left w:val="none" w:sz="0" w:space="0" w:color="auto"/>
        <w:bottom w:val="none" w:sz="0" w:space="0" w:color="auto"/>
        <w:right w:val="none" w:sz="0" w:space="0" w:color="auto"/>
      </w:divBdr>
    </w:div>
    <w:div w:id="104741248">
      <w:bodyDiv w:val="1"/>
      <w:marLeft w:val="0"/>
      <w:marRight w:val="0"/>
      <w:marTop w:val="0"/>
      <w:marBottom w:val="0"/>
      <w:divBdr>
        <w:top w:val="none" w:sz="0" w:space="0" w:color="auto"/>
        <w:left w:val="none" w:sz="0" w:space="0" w:color="auto"/>
        <w:bottom w:val="none" w:sz="0" w:space="0" w:color="auto"/>
        <w:right w:val="none" w:sz="0" w:space="0" w:color="auto"/>
      </w:divBdr>
    </w:div>
    <w:div w:id="117723791">
      <w:bodyDiv w:val="1"/>
      <w:marLeft w:val="0"/>
      <w:marRight w:val="0"/>
      <w:marTop w:val="0"/>
      <w:marBottom w:val="0"/>
      <w:divBdr>
        <w:top w:val="none" w:sz="0" w:space="0" w:color="auto"/>
        <w:left w:val="none" w:sz="0" w:space="0" w:color="auto"/>
        <w:bottom w:val="none" w:sz="0" w:space="0" w:color="auto"/>
        <w:right w:val="none" w:sz="0" w:space="0" w:color="auto"/>
      </w:divBdr>
    </w:div>
    <w:div w:id="229269981">
      <w:bodyDiv w:val="1"/>
      <w:marLeft w:val="0"/>
      <w:marRight w:val="0"/>
      <w:marTop w:val="0"/>
      <w:marBottom w:val="0"/>
      <w:divBdr>
        <w:top w:val="none" w:sz="0" w:space="0" w:color="auto"/>
        <w:left w:val="none" w:sz="0" w:space="0" w:color="auto"/>
        <w:bottom w:val="none" w:sz="0" w:space="0" w:color="auto"/>
        <w:right w:val="none" w:sz="0" w:space="0" w:color="auto"/>
      </w:divBdr>
    </w:div>
    <w:div w:id="229509909">
      <w:bodyDiv w:val="1"/>
      <w:marLeft w:val="0"/>
      <w:marRight w:val="0"/>
      <w:marTop w:val="0"/>
      <w:marBottom w:val="0"/>
      <w:divBdr>
        <w:top w:val="none" w:sz="0" w:space="0" w:color="auto"/>
        <w:left w:val="none" w:sz="0" w:space="0" w:color="auto"/>
        <w:bottom w:val="none" w:sz="0" w:space="0" w:color="auto"/>
        <w:right w:val="none" w:sz="0" w:space="0" w:color="auto"/>
      </w:divBdr>
    </w:div>
    <w:div w:id="231086921">
      <w:bodyDiv w:val="1"/>
      <w:marLeft w:val="0"/>
      <w:marRight w:val="0"/>
      <w:marTop w:val="0"/>
      <w:marBottom w:val="0"/>
      <w:divBdr>
        <w:top w:val="none" w:sz="0" w:space="0" w:color="auto"/>
        <w:left w:val="none" w:sz="0" w:space="0" w:color="auto"/>
        <w:bottom w:val="none" w:sz="0" w:space="0" w:color="auto"/>
        <w:right w:val="none" w:sz="0" w:space="0" w:color="auto"/>
      </w:divBdr>
    </w:div>
    <w:div w:id="355161601">
      <w:bodyDiv w:val="1"/>
      <w:marLeft w:val="0"/>
      <w:marRight w:val="0"/>
      <w:marTop w:val="0"/>
      <w:marBottom w:val="0"/>
      <w:divBdr>
        <w:top w:val="none" w:sz="0" w:space="0" w:color="auto"/>
        <w:left w:val="none" w:sz="0" w:space="0" w:color="auto"/>
        <w:bottom w:val="none" w:sz="0" w:space="0" w:color="auto"/>
        <w:right w:val="none" w:sz="0" w:space="0" w:color="auto"/>
      </w:divBdr>
    </w:div>
    <w:div w:id="408119417">
      <w:bodyDiv w:val="1"/>
      <w:marLeft w:val="0"/>
      <w:marRight w:val="0"/>
      <w:marTop w:val="0"/>
      <w:marBottom w:val="0"/>
      <w:divBdr>
        <w:top w:val="none" w:sz="0" w:space="0" w:color="auto"/>
        <w:left w:val="none" w:sz="0" w:space="0" w:color="auto"/>
        <w:bottom w:val="none" w:sz="0" w:space="0" w:color="auto"/>
        <w:right w:val="none" w:sz="0" w:space="0" w:color="auto"/>
      </w:divBdr>
    </w:div>
    <w:div w:id="430248523">
      <w:bodyDiv w:val="1"/>
      <w:marLeft w:val="0"/>
      <w:marRight w:val="0"/>
      <w:marTop w:val="0"/>
      <w:marBottom w:val="0"/>
      <w:divBdr>
        <w:top w:val="none" w:sz="0" w:space="0" w:color="auto"/>
        <w:left w:val="none" w:sz="0" w:space="0" w:color="auto"/>
        <w:bottom w:val="none" w:sz="0" w:space="0" w:color="auto"/>
        <w:right w:val="none" w:sz="0" w:space="0" w:color="auto"/>
      </w:divBdr>
    </w:div>
    <w:div w:id="476144526">
      <w:bodyDiv w:val="1"/>
      <w:marLeft w:val="0"/>
      <w:marRight w:val="0"/>
      <w:marTop w:val="0"/>
      <w:marBottom w:val="0"/>
      <w:divBdr>
        <w:top w:val="none" w:sz="0" w:space="0" w:color="auto"/>
        <w:left w:val="none" w:sz="0" w:space="0" w:color="auto"/>
        <w:bottom w:val="none" w:sz="0" w:space="0" w:color="auto"/>
        <w:right w:val="none" w:sz="0" w:space="0" w:color="auto"/>
      </w:divBdr>
    </w:div>
    <w:div w:id="484277848">
      <w:bodyDiv w:val="1"/>
      <w:marLeft w:val="0"/>
      <w:marRight w:val="0"/>
      <w:marTop w:val="0"/>
      <w:marBottom w:val="0"/>
      <w:divBdr>
        <w:top w:val="none" w:sz="0" w:space="0" w:color="auto"/>
        <w:left w:val="none" w:sz="0" w:space="0" w:color="auto"/>
        <w:bottom w:val="none" w:sz="0" w:space="0" w:color="auto"/>
        <w:right w:val="none" w:sz="0" w:space="0" w:color="auto"/>
      </w:divBdr>
    </w:div>
    <w:div w:id="540289277">
      <w:bodyDiv w:val="1"/>
      <w:marLeft w:val="0"/>
      <w:marRight w:val="0"/>
      <w:marTop w:val="0"/>
      <w:marBottom w:val="0"/>
      <w:divBdr>
        <w:top w:val="none" w:sz="0" w:space="0" w:color="auto"/>
        <w:left w:val="none" w:sz="0" w:space="0" w:color="auto"/>
        <w:bottom w:val="none" w:sz="0" w:space="0" w:color="auto"/>
        <w:right w:val="none" w:sz="0" w:space="0" w:color="auto"/>
      </w:divBdr>
    </w:div>
    <w:div w:id="580139430">
      <w:bodyDiv w:val="1"/>
      <w:marLeft w:val="0"/>
      <w:marRight w:val="0"/>
      <w:marTop w:val="0"/>
      <w:marBottom w:val="0"/>
      <w:divBdr>
        <w:top w:val="none" w:sz="0" w:space="0" w:color="auto"/>
        <w:left w:val="none" w:sz="0" w:space="0" w:color="auto"/>
        <w:bottom w:val="none" w:sz="0" w:space="0" w:color="auto"/>
        <w:right w:val="none" w:sz="0" w:space="0" w:color="auto"/>
      </w:divBdr>
    </w:div>
    <w:div w:id="629364999">
      <w:bodyDiv w:val="1"/>
      <w:marLeft w:val="0"/>
      <w:marRight w:val="0"/>
      <w:marTop w:val="0"/>
      <w:marBottom w:val="0"/>
      <w:divBdr>
        <w:top w:val="none" w:sz="0" w:space="0" w:color="auto"/>
        <w:left w:val="none" w:sz="0" w:space="0" w:color="auto"/>
        <w:bottom w:val="none" w:sz="0" w:space="0" w:color="auto"/>
        <w:right w:val="none" w:sz="0" w:space="0" w:color="auto"/>
      </w:divBdr>
      <w:divsChild>
        <w:div w:id="1919443025">
          <w:marLeft w:val="0"/>
          <w:marRight w:val="0"/>
          <w:marTop w:val="0"/>
          <w:marBottom w:val="0"/>
          <w:divBdr>
            <w:top w:val="none" w:sz="0" w:space="0" w:color="auto"/>
            <w:left w:val="none" w:sz="0" w:space="0" w:color="auto"/>
            <w:bottom w:val="none" w:sz="0" w:space="0" w:color="auto"/>
            <w:right w:val="none" w:sz="0" w:space="0" w:color="auto"/>
          </w:divBdr>
        </w:div>
        <w:div w:id="786656590">
          <w:marLeft w:val="0"/>
          <w:marRight w:val="0"/>
          <w:marTop w:val="0"/>
          <w:marBottom w:val="0"/>
          <w:divBdr>
            <w:top w:val="none" w:sz="0" w:space="0" w:color="auto"/>
            <w:left w:val="none" w:sz="0" w:space="0" w:color="auto"/>
            <w:bottom w:val="none" w:sz="0" w:space="0" w:color="auto"/>
            <w:right w:val="none" w:sz="0" w:space="0" w:color="auto"/>
          </w:divBdr>
        </w:div>
        <w:div w:id="1610968967">
          <w:marLeft w:val="0"/>
          <w:marRight w:val="0"/>
          <w:marTop w:val="0"/>
          <w:marBottom w:val="0"/>
          <w:divBdr>
            <w:top w:val="none" w:sz="0" w:space="0" w:color="auto"/>
            <w:left w:val="none" w:sz="0" w:space="0" w:color="auto"/>
            <w:bottom w:val="none" w:sz="0" w:space="0" w:color="auto"/>
            <w:right w:val="none" w:sz="0" w:space="0" w:color="auto"/>
          </w:divBdr>
        </w:div>
      </w:divsChild>
    </w:div>
    <w:div w:id="651452055">
      <w:bodyDiv w:val="1"/>
      <w:marLeft w:val="0"/>
      <w:marRight w:val="0"/>
      <w:marTop w:val="0"/>
      <w:marBottom w:val="0"/>
      <w:divBdr>
        <w:top w:val="none" w:sz="0" w:space="0" w:color="auto"/>
        <w:left w:val="none" w:sz="0" w:space="0" w:color="auto"/>
        <w:bottom w:val="none" w:sz="0" w:space="0" w:color="auto"/>
        <w:right w:val="none" w:sz="0" w:space="0" w:color="auto"/>
      </w:divBdr>
    </w:div>
    <w:div w:id="700739319">
      <w:bodyDiv w:val="1"/>
      <w:marLeft w:val="0"/>
      <w:marRight w:val="0"/>
      <w:marTop w:val="0"/>
      <w:marBottom w:val="0"/>
      <w:divBdr>
        <w:top w:val="none" w:sz="0" w:space="0" w:color="auto"/>
        <w:left w:val="none" w:sz="0" w:space="0" w:color="auto"/>
        <w:bottom w:val="none" w:sz="0" w:space="0" w:color="auto"/>
        <w:right w:val="none" w:sz="0" w:space="0" w:color="auto"/>
      </w:divBdr>
    </w:div>
    <w:div w:id="700933543">
      <w:bodyDiv w:val="1"/>
      <w:marLeft w:val="0"/>
      <w:marRight w:val="0"/>
      <w:marTop w:val="0"/>
      <w:marBottom w:val="0"/>
      <w:divBdr>
        <w:top w:val="none" w:sz="0" w:space="0" w:color="auto"/>
        <w:left w:val="none" w:sz="0" w:space="0" w:color="auto"/>
        <w:bottom w:val="none" w:sz="0" w:space="0" w:color="auto"/>
        <w:right w:val="none" w:sz="0" w:space="0" w:color="auto"/>
      </w:divBdr>
    </w:div>
    <w:div w:id="840698268">
      <w:bodyDiv w:val="1"/>
      <w:marLeft w:val="0"/>
      <w:marRight w:val="0"/>
      <w:marTop w:val="0"/>
      <w:marBottom w:val="0"/>
      <w:divBdr>
        <w:top w:val="none" w:sz="0" w:space="0" w:color="auto"/>
        <w:left w:val="none" w:sz="0" w:space="0" w:color="auto"/>
        <w:bottom w:val="none" w:sz="0" w:space="0" w:color="auto"/>
        <w:right w:val="none" w:sz="0" w:space="0" w:color="auto"/>
      </w:divBdr>
    </w:div>
    <w:div w:id="866916479">
      <w:bodyDiv w:val="1"/>
      <w:marLeft w:val="0"/>
      <w:marRight w:val="0"/>
      <w:marTop w:val="0"/>
      <w:marBottom w:val="0"/>
      <w:divBdr>
        <w:top w:val="none" w:sz="0" w:space="0" w:color="auto"/>
        <w:left w:val="none" w:sz="0" w:space="0" w:color="auto"/>
        <w:bottom w:val="none" w:sz="0" w:space="0" w:color="auto"/>
        <w:right w:val="none" w:sz="0" w:space="0" w:color="auto"/>
      </w:divBdr>
    </w:div>
    <w:div w:id="869996283">
      <w:bodyDiv w:val="1"/>
      <w:marLeft w:val="0"/>
      <w:marRight w:val="0"/>
      <w:marTop w:val="0"/>
      <w:marBottom w:val="0"/>
      <w:divBdr>
        <w:top w:val="none" w:sz="0" w:space="0" w:color="auto"/>
        <w:left w:val="none" w:sz="0" w:space="0" w:color="auto"/>
        <w:bottom w:val="none" w:sz="0" w:space="0" w:color="auto"/>
        <w:right w:val="none" w:sz="0" w:space="0" w:color="auto"/>
      </w:divBdr>
    </w:div>
    <w:div w:id="877279978">
      <w:bodyDiv w:val="1"/>
      <w:marLeft w:val="0"/>
      <w:marRight w:val="0"/>
      <w:marTop w:val="0"/>
      <w:marBottom w:val="0"/>
      <w:divBdr>
        <w:top w:val="none" w:sz="0" w:space="0" w:color="auto"/>
        <w:left w:val="none" w:sz="0" w:space="0" w:color="auto"/>
        <w:bottom w:val="none" w:sz="0" w:space="0" w:color="auto"/>
        <w:right w:val="none" w:sz="0" w:space="0" w:color="auto"/>
      </w:divBdr>
    </w:div>
    <w:div w:id="920602352">
      <w:bodyDiv w:val="1"/>
      <w:marLeft w:val="0"/>
      <w:marRight w:val="0"/>
      <w:marTop w:val="0"/>
      <w:marBottom w:val="0"/>
      <w:divBdr>
        <w:top w:val="none" w:sz="0" w:space="0" w:color="auto"/>
        <w:left w:val="none" w:sz="0" w:space="0" w:color="auto"/>
        <w:bottom w:val="none" w:sz="0" w:space="0" w:color="auto"/>
        <w:right w:val="none" w:sz="0" w:space="0" w:color="auto"/>
      </w:divBdr>
    </w:div>
    <w:div w:id="1013191243">
      <w:bodyDiv w:val="1"/>
      <w:marLeft w:val="0"/>
      <w:marRight w:val="0"/>
      <w:marTop w:val="0"/>
      <w:marBottom w:val="0"/>
      <w:divBdr>
        <w:top w:val="none" w:sz="0" w:space="0" w:color="auto"/>
        <w:left w:val="none" w:sz="0" w:space="0" w:color="auto"/>
        <w:bottom w:val="none" w:sz="0" w:space="0" w:color="auto"/>
        <w:right w:val="none" w:sz="0" w:space="0" w:color="auto"/>
      </w:divBdr>
    </w:div>
    <w:div w:id="1036659769">
      <w:bodyDiv w:val="1"/>
      <w:marLeft w:val="0"/>
      <w:marRight w:val="0"/>
      <w:marTop w:val="0"/>
      <w:marBottom w:val="0"/>
      <w:divBdr>
        <w:top w:val="none" w:sz="0" w:space="0" w:color="auto"/>
        <w:left w:val="none" w:sz="0" w:space="0" w:color="auto"/>
        <w:bottom w:val="none" w:sz="0" w:space="0" w:color="auto"/>
        <w:right w:val="none" w:sz="0" w:space="0" w:color="auto"/>
      </w:divBdr>
    </w:div>
    <w:div w:id="1037008651">
      <w:bodyDiv w:val="1"/>
      <w:marLeft w:val="0"/>
      <w:marRight w:val="0"/>
      <w:marTop w:val="0"/>
      <w:marBottom w:val="0"/>
      <w:divBdr>
        <w:top w:val="none" w:sz="0" w:space="0" w:color="auto"/>
        <w:left w:val="none" w:sz="0" w:space="0" w:color="auto"/>
        <w:bottom w:val="none" w:sz="0" w:space="0" w:color="auto"/>
        <w:right w:val="none" w:sz="0" w:space="0" w:color="auto"/>
      </w:divBdr>
      <w:divsChild>
        <w:div w:id="299192857">
          <w:marLeft w:val="0"/>
          <w:marRight w:val="0"/>
          <w:marTop w:val="0"/>
          <w:marBottom w:val="0"/>
          <w:divBdr>
            <w:top w:val="none" w:sz="0" w:space="0" w:color="auto"/>
            <w:left w:val="none" w:sz="0" w:space="0" w:color="auto"/>
            <w:bottom w:val="none" w:sz="0" w:space="0" w:color="auto"/>
            <w:right w:val="none" w:sz="0" w:space="0" w:color="auto"/>
          </w:divBdr>
        </w:div>
        <w:div w:id="832263642">
          <w:marLeft w:val="0"/>
          <w:marRight w:val="0"/>
          <w:marTop w:val="0"/>
          <w:marBottom w:val="0"/>
          <w:divBdr>
            <w:top w:val="none" w:sz="0" w:space="0" w:color="auto"/>
            <w:left w:val="none" w:sz="0" w:space="0" w:color="auto"/>
            <w:bottom w:val="none" w:sz="0" w:space="0" w:color="auto"/>
            <w:right w:val="none" w:sz="0" w:space="0" w:color="auto"/>
          </w:divBdr>
        </w:div>
      </w:divsChild>
    </w:div>
    <w:div w:id="1071849211">
      <w:bodyDiv w:val="1"/>
      <w:marLeft w:val="0"/>
      <w:marRight w:val="0"/>
      <w:marTop w:val="0"/>
      <w:marBottom w:val="0"/>
      <w:divBdr>
        <w:top w:val="none" w:sz="0" w:space="0" w:color="auto"/>
        <w:left w:val="none" w:sz="0" w:space="0" w:color="auto"/>
        <w:bottom w:val="none" w:sz="0" w:space="0" w:color="auto"/>
        <w:right w:val="none" w:sz="0" w:space="0" w:color="auto"/>
      </w:divBdr>
    </w:div>
    <w:div w:id="1094286413">
      <w:bodyDiv w:val="1"/>
      <w:marLeft w:val="0"/>
      <w:marRight w:val="0"/>
      <w:marTop w:val="0"/>
      <w:marBottom w:val="0"/>
      <w:divBdr>
        <w:top w:val="none" w:sz="0" w:space="0" w:color="auto"/>
        <w:left w:val="none" w:sz="0" w:space="0" w:color="auto"/>
        <w:bottom w:val="none" w:sz="0" w:space="0" w:color="auto"/>
        <w:right w:val="none" w:sz="0" w:space="0" w:color="auto"/>
      </w:divBdr>
    </w:div>
    <w:div w:id="1173032803">
      <w:bodyDiv w:val="1"/>
      <w:marLeft w:val="0"/>
      <w:marRight w:val="0"/>
      <w:marTop w:val="0"/>
      <w:marBottom w:val="0"/>
      <w:divBdr>
        <w:top w:val="none" w:sz="0" w:space="0" w:color="auto"/>
        <w:left w:val="none" w:sz="0" w:space="0" w:color="auto"/>
        <w:bottom w:val="none" w:sz="0" w:space="0" w:color="auto"/>
        <w:right w:val="none" w:sz="0" w:space="0" w:color="auto"/>
      </w:divBdr>
    </w:div>
    <w:div w:id="1269699491">
      <w:bodyDiv w:val="1"/>
      <w:marLeft w:val="0"/>
      <w:marRight w:val="0"/>
      <w:marTop w:val="0"/>
      <w:marBottom w:val="0"/>
      <w:divBdr>
        <w:top w:val="none" w:sz="0" w:space="0" w:color="auto"/>
        <w:left w:val="none" w:sz="0" w:space="0" w:color="auto"/>
        <w:bottom w:val="none" w:sz="0" w:space="0" w:color="auto"/>
        <w:right w:val="none" w:sz="0" w:space="0" w:color="auto"/>
      </w:divBdr>
    </w:div>
    <w:div w:id="1363554346">
      <w:bodyDiv w:val="1"/>
      <w:marLeft w:val="0"/>
      <w:marRight w:val="0"/>
      <w:marTop w:val="0"/>
      <w:marBottom w:val="0"/>
      <w:divBdr>
        <w:top w:val="none" w:sz="0" w:space="0" w:color="auto"/>
        <w:left w:val="none" w:sz="0" w:space="0" w:color="auto"/>
        <w:bottom w:val="none" w:sz="0" w:space="0" w:color="auto"/>
        <w:right w:val="none" w:sz="0" w:space="0" w:color="auto"/>
      </w:divBdr>
    </w:div>
    <w:div w:id="1408379848">
      <w:bodyDiv w:val="1"/>
      <w:marLeft w:val="0"/>
      <w:marRight w:val="0"/>
      <w:marTop w:val="0"/>
      <w:marBottom w:val="0"/>
      <w:divBdr>
        <w:top w:val="none" w:sz="0" w:space="0" w:color="auto"/>
        <w:left w:val="none" w:sz="0" w:space="0" w:color="auto"/>
        <w:bottom w:val="none" w:sz="0" w:space="0" w:color="auto"/>
        <w:right w:val="none" w:sz="0" w:space="0" w:color="auto"/>
      </w:divBdr>
    </w:div>
    <w:div w:id="1489440810">
      <w:bodyDiv w:val="1"/>
      <w:marLeft w:val="0"/>
      <w:marRight w:val="0"/>
      <w:marTop w:val="0"/>
      <w:marBottom w:val="0"/>
      <w:divBdr>
        <w:top w:val="none" w:sz="0" w:space="0" w:color="auto"/>
        <w:left w:val="none" w:sz="0" w:space="0" w:color="auto"/>
        <w:bottom w:val="none" w:sz="0" w:space="0" w:color="auto"/>
        <w:right w:val="none" w:sz="0" w:space="0" w:color="auto"/>
      </w:divBdr>
    </w:div>
    <w:div w:id="1575817036">
      <w:bodyDiv w:val="1"/>
      <w:marLeft w:val="0"/>
      <w:marRight w:val="0"/>
      <w:marTop w:val="0"/>
      <w:marBottom w:val="0"/>
      <w:divBdr>
        <w:top w:val="none" w:sz="0" w:space="0" w:color="auto"/>
        <w:left w:val="none" w:sz="0" w:space="0" w:color="auto"/>
        <w:bottom w:val="none" w:sz="0" w:space="0" w:color="auto"/>
        <w:right w:val="none" w:sz="0" w:space="0" w:color="auto"/>
      </w:divBdr>
    </w:div>
    <w:div w:id="1815247170">
      <w:bodyDiv w:val="1"/>
      <w:marLeft w:val="0"/>
      <w:marRight w:val="0"/>
      <w:marTop w:val="0"/>
      <w:marBottom w:val="0"/>
      <w:divBdr>
        <w:top w:val="none" w:sz="0" w:space="0" w:color="auto"/>
        <w:left w:val="none" w:sz="0" w:space="0" w:color="auto"/>
        <w:bottom w:val="none" w:sz="0" w:space="0" w:color="auto"/>
        <w:right w:val="none" w:sz="0" w:space="0" w:color="auto"/>
      </w:divBdr>
    </w:div>
    <w:div w:id="1818649127">
      <w:bodyDiv w:val="1"/>
      <w:marLeft w:val="0"/>
      <w:marRight w:val="0"/>
      <w:marTop w:val="0"/>
      <w:marBottom w:val="0"/>
      <w:divBdr>
        <w:top w:val="none" w:sz="0" w:space="0" w:color="auto"/>
        <w:left w:val="none" w:sz="0" w:space="0" w:color="auto"/>
        <w:bottom w:val="none" w:sz="0" w:space="0" w:color="auto"/>
        <w:right w:val="none" w:sz="0" w:space="0" w:color="auto"/>
      </w:divBdr>
    </w:div>
    <w:div w:id="1839273987">
      <w:bodyDiv w:val="1"/>
      <w:marLeft w:val="0"/>
      <w:marRight w:val="0"/>
      <w:marTop w:val="0"/>
      <w:marBottom w:val="0"/>
      <w:divBdr>
        <w:top w:val="none" w:sz="0" w:space="0" w:color="auto"/>
        <w:left w:val="none" w:sz="0" w:space="0" w:color="auto"/>
        <w:bottom w:val="none" w:sz="0" w:space="0" w:color="auto"/>
        <w:right w:val="none" w:sz="0" w:space="0" w:color="auto"/>
      </w:divBdr>
    </w:div>
    <w:div w:id="1939172427">
      <w:bodyDiv w:val="1"/>
      <w:marLeft w:val="0"/>
      <w:marRight w:val="0"/>
      <w:marTop w:val="0"/>
      <w:marBottom w:val="0"/>
      <w:divBdr>
        <w:top w:val="none" w:sz="0" w:space="0" w:color="auto"/>
        <w:left w:val="none" w:sz="0" w:space="0" w:color="auto"/>
        <w:bottom w:val="none" w:sz="0" w:space="0" w:color="auto"/>
        <w:right w:val="none" w:sz="0" w:space="0" w:color="auto"/>
      </w:divBdr>
    </w:div>
    <w:div w:id="1991442853">
      <w:bodyDiv w:val="1"/>
      <w:marLeft w:val="0"/>
      <w:marRight w:val="0"/>
      <w:marTop w:val="0"/>
      <w:marBottom w:val="0"/>
      <w:divBdr>
        <w:top w:val="none" w:sz="0" w:space="0" w:color="auto"/>
        <w:left w:val="none" w:sz="0" w:space="0" w:color="auto"/>
        <w:bottom w:val="none" w:sz="0" w:space="0" w:color="auto"/>
        <w:right w:val="none" w:sz="0" w:space="0" w:color="auto"/>
      </w:divBdr>
      <w:divsChild>
        <w:div w:id="920259548">
          <w:marLeft w:val="0"/>
          <w:marRight w:val="0"/>
          <w:marTop w:val="0"/>
          <w:marBottom w:val="0"/>
          <w:divBdr>
            <w:top w:val="none" w:sz="0" w:space="0" w:color="auto"/>
            <w:left w:val="none" w:sz="0" w:space="0" w:color="auto"/>
            <w:bottom w:val="none" w:sz="0" w:space="0" w:color="auto"/>
            <w:right w:val="none" w:sz="0" w:space="0" w:color="auto"/>
          </w:divBdr>
          <w:divsChild>
            <w:div w:id="497498594">
              <w:marLeft w:val="0"/>
              <w:marRight w:val="0"/>
              <w:marTop w:val="0"/>
              <w:marBottom w:val="0"/>
              <w:divBdr>
                <w:top w:val="none" w:sz="0" w:space="0" w:color="auto"/>
                <w:left w:val="none" w:sz="0" w:space="0" w:color="auto"/>
                <w:bottom w:val="none" w:sz="0" w:space="0" w:color="auto"/>
                <w:right w:val="none" w:sz="0" w:space="0" w:color="auto"/>
              </w:divBdr>
              <w:divsChild>
                <w:div w:id="862279003">
                  <w:marLeft w:val="0"/>
                  <w:marRight w:val="0"/>
                  <w:marTop w:val="0"/>
                  <w:marBottom w:val="0"/>
                  <w:divBdr>
                    <w:top w:val="none" w:sz="0" w:space="0" w:color="auto"/>
                    <w:left w:val="none" w:sz="0" w:space="0" w:color="auto"/>
                    <w:bottom w:val="none" w:sz="0" w:space="0" w:color="auto"/>
                    <w:right w:val="none" w:sz="0" w:space="0" w:color="auto"/>
                  </w:divBdr>
                  <w:divsChild>
                    <w:div w:id="254485354">
                      <w:marLeft w:val="0"/>
                      <w:marRight w:val="0"/>
                      <w:marTop w:val="0"/>
                      <w:marBottom w:val="0"/>
                      <w:divBdr>
                        <w:top w:val="none" w:sz="0" w:space="0" w:color="auto"/>
                        <w:left w:val="none" w:sz="0" w:space="0" w:color="auto"/>
                        <w:bottom w:val="none" w:sz="0" w:space="0" w:color="auto"/>
                        <w:right w:val="none" w:sz="0" w:space="0" w:color="auto"/>
                      </w:divBdr>
                      <w:divsChild>
                        <w:div w:id="931552903">
                          <w:marLeft w:val="0"/>
                          <w:marRight w:val="0"/>
                          <w:marTop w:val="0"/>
                          <w:marBottom w:val="0"/>
                          <w:divBdr>
                            <w:top w:val="none" w:sz="0" w:space="0" w:color="auto"/>
                            <w:left w:val="none" w:sz="0" w:space="0" w:color="auto"/>
                            <w:bottom w:val="none" w:sz="0" w:space="0" w:color="auto"/>
                            <w:right w:val="none" w:sz="0" w:space="0" w:color="auto"/>
                          </w:divBdr>
                          <w:divsChild>
                            <w:div w:id="2007436447">
                              <w:marLeft w:val="0"/>
                              <w:marRight w:val="0"/>
                              <w:marTop w:val="0"/>
                              <w:marBottom w:val="0"/>
                              <w:divBdr>
                                <w:top w:val="none" w:sz="0" w:space="0" w:color="auto"/>
                                <w:left w:val="none" w:sz="0" w:space="0" w:color="auto"/>
                                <w:bottom w:val="none" w:sz="0" w:space="0" w:color="auto"/>
                                <w:right w:val="none" w:sz="0" w:space="0" w:color="auto"/>
                              </w:divBdr>
                              <w:divsChild>
                                <w:div w:id="293219634">
                                  <w:marLeft w:val="0"/>
                                  <w:marRight w:val="0"/>
                                  <w:marTop w:val="0"/>
                                  <w:marBottom w:val="0"/>
                                  <w:divBdr>
                                    <w:top w:val="none" w:sz="0" w:space="0" w:color="auto"/>
                                    <w:left w:val="none" w:sz="0" w:space="0" w:color="auto"/>
                                    <w:bottom w:val="none" w:sz="0" w:space="0" w:color="auto"/>
                                    <w:right w:val="none" w:sz="0" w:space="0" w:color="auto"/>
                                  </w:divBdr>
                                  <w:divsChild>
                                    <w:div w:id="1161431121">
                                      <w:marLeft w:val="0"/>
                                      <w:marRight w:val="0"/>
                                      <w:marTop w:val="0"/>
                                      <w:marBottom w:val="0"/>
                                      <w:divBdr>
                                        <w:top w:val="none" w:sz="0" w:space="0" w:color="auto"/>
                                        <w:left w:val="none" w:sz="0" w:space="0" w:color="auto"/>
                                        <w:bottom w:val="none" w:sz="0" w:space="0" w:color="auto"/>
                                        <w:right w:val="none" w:sz="0" w:space="0" w:color="auto"/>
                                      </w:divBdr>
                                      <w:divsChild>
                                        <w:div w:id="864094591">
                                          <w:marLeft w:val="0"/>
                                          <w:marRight w:val="0"/>
                                          <w:marTop w:val="0"/>
                                          <w:marBottom w:val="0"/>
                                          <w:divBdr>
                                            <w:top w:val="none" w:sz="0" w:space="0" w:color="auto"/>
                                            <w:left w:val="none" w:sz="0" w:space="0" w:color="auto"/>
                                            <w:bottom w:val="none" w:sz="0" w:space="0" w:color="auto"/>
                                            <w:right w:val="none" w:sz="0" w:space="0" w:color="auto"/>
                                          </w:divBdr>
                                          <w:divsChild>
                                            <w:div w:id="487748184">
                                              <w:marLeft w:val="0"/>
                                              <w:marRight w:val="0"/>
                                              <w:marTop w:val="0"/>
                                              <w:marBottom w:val="0"/>
                                              <w:divBdr>
                                                <w:top w:val="none" w:sz="0" w:space="0" w:color="auto"/>
                                                <w:left w:val="none" w:sz="0" w:space="0" w:color="auto"/>
                                                <w:bottom w:val="none" w:sz="0" w:space="0" w:color="auto"/>
                                                <w:right w:val="none" w:sz="0" w:space="0" w:color="auto"/>
                                              </w:divBdr>
                                              <w:divsChild>
                                                <w:div w:id="1206023290">
                                                  <w:marLeft w:val="0"/>
                                                  <w:marRight w:val="0"/>
                                                  <w:marTop w:val="0"/>
                                                  <w:marBottom w:val="0"/>
                                                  <w:divBdr>
                                                    <w:top w:val="none" w:sz="0" w:space="0" w:color="auto"/>
                                                    <w:left w:val="none" w:sz="0" w:space="0" w:color="auto"/>
                                                    <w:bottom w:val="none" w:sz="0" w:space="0" w:color="auto"/>
                                                    <w:right w:val="none" w:sz="0" w:space="0" w:color="auto"/>
                                                  </w:divBdr>
                                                  <w:divsChild>
                                                    <w:div w:id="969091260">
                                                      <w:marLeft w:val="0"/>
                                                      <w:marRight w:val="0"/>
                                                      <w:marTop w:val="0"/>
                                                      <w:marBottom w:val="0"/>
                                                      <w:divBdr>
                                                        <w:top w:val="none" w:sz="0" w:space="0" w:color="auto"/>
                                                        <w:left w:val="none" w:sz="0" w:space="0" w:color="auto"/>
                                                        <w:bottom w:val="none" w:sz="0" w:space="0" w:color="auto"/>
                                                        <w:right w:val="none" w:sz="0" w:space="0" w:color="auto"/>
                                                      </w:divBdr>
                                                      <w:divsChild>
                                                        <w:div w:id="1111822102">
                                                          <w:marLeft w:val="0"/>
                                                          <w:marRight w:val="0"/>
                                                          <w:marTop w:val="0"/>
                                                          <w:marBottom w:val="0"/>
                                                          <w:divBdr>
                                                            <w:top w:val="none" w:sz="0" w:space="0" w:color="auto"/>
                                                            <w:left w:val="none" w:sz="0" w:space="0" w:color="auto"/>
                                                            <w:bottom w:val="none" w:sz="0" w:space="0" w:color="auto"/>
                                                            <w:right w:val="none" w:sz="0" w:space="0" w:color="auto"/>
                                                          </w:divBdr>
                                                          <w:divsChild>
                                                            <w:div w:id="187303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2339600">
      <w:bodyDiv w:val="1"/>
      <w:marLeft w:val="0"/>
      <w:marRight w:val="0"/>
      <w:marTop w:val="0"/>
      <w:marBottom w:val="0"/>
      <w:divBdr>
        <w:top w:val="none" w:sz="0" w:space="0" w:color="auto"/>
        <w:left w:val="none" w:sz="0" w:space="0" w:color="auto"/>
        <w:bottom w:val="none" w:sz="0" w:space="0" w:color="auto"/>
        <w:right w:val="none" w:sz="0" w:space="0" w:color="auto"/>
      </w:divBdr>
    </w:div>
    <w:div w:id="2049531005">
      <w:bodyDiv w:val="1"/>
      <w:marLeft w:val="0"/>
      <w:marRight w:val="0"/>
      <w:marTop w:val="0"/>
      <w:marBottom w:val="0"/>
      <w:divBdr>
        <w:top w:val="none" w:sz="0" w:space="0" w:color="auto"/>
        <w:left w:val="none" w:sz="0" w:space="0" w:color="auto"/>
        <w:bottom w:val="none" w:sz="0" w:space="0" w:color="auto"/>
        <w:right w:val="none" w:sz="0" w:space="0" w:color="auto"/>
      </w:divBdr>
    </w:div>
    <w:div w:id="2118671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FC4FB6D122CBE4FBCE3395938BCADA2" ma:contentTypeVersion="18" ma:contentTypeDescription="Utwórz nowy dokument." ma:contentTypeScope="" ma:versionID="9a50e5f1b72707ccf872b435c5b3d822">
  <xsd:schema xmlns:xsd="http://www.w3.org/2001/XMLSchema" xmlns:xs="http://www.w3.org/2001/XMLSchema" xmlns:p="http://schemas.microsoft.com/office/2006/metadata/properties" xmlns:ns2="07adde8c-4cfc-491d-818f-bef021595cf0" xmlns:ns3="b57c744c-6e89-4005-8de9-c47887f3137a" targetNamespace="http://schemas.microsoft.com/office/2006/metadata/properties" ma:root="true" ma:fieldsID="8464aaf4cde72e4224c64c7bea6db1ac" ns2:_="" ns3:_="">
    <xsd:import namespace="07adde8c-4cfc-491d-818f-bef021595cf0"/>
    <xsd:import namespace="b57c744c-6e89-4005-8de9-c47887f313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dde8c-4cfc-491d-818f-bef021595cf0"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13a7f8cd-08f6-4d12-9163-1966aa843d13}" ma:internalName="TaxCatchAll" ma:showField="CatchAllData" ma:web="07adde8c-4cfc-491d-818f-bef021595c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7c744c-6e89-4005-8de9-c47887f3137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0ed49496-aa49-455a-84fa-e221a5b82d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71CA3-D3E8-4884-8BBE-90123A044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dde8c-4cfc-491d-818f-bef021595cf0"/>
    <ds:schemaRef ds:uri="b57c744c-6e89-4005-8de9-c47887f313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AB6DD4-A4F0-4368-9D40-32AE46771CA1}">
  <ds:schemaRefs>
    <ds:schemaRef ds:uri="http://schemas.microsoft.com/sharepoint/v3/contenttype/forms"/>
  </ds:schemaRefs>
</ds:datastoreItem>
</file>

<file path=customXml/itemProps3.xml><?xml version="1.0" encoding="utf-8"?>
<ds:datastoreItem xmlns:ds="http://schemas.openxmlformats.org/officeDocument/2006/customXml" ds:itemID="{643C894F-E173-4579-9856-EA7878090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15</Pages>
  <Words>3703</Words>
  <Characters>22224</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 Rogalewicz</dc:creator>
  <cp:lastModifiedBy>Karolina Mazur</cp:lastModifiedBy>
  <cp:revision>18</cp:revision>
  <cp:lastPrinted>2021-04-16T14:44:00Z</cp:lastPrinted>
  <dcterms:created xsi:type="dcterms:W3CDTF">2024-03-04T10:15:00Z</dcterms:created>
  <dcterms:modified xsi:type="dcterms:W3CDTF">2024-03-04T12:20:00Z</dcterms:modified>
  <cp:contentStatus/>
</cp:coreProperties>
</file>