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B717" w14:textId="3D669BBF" w:rsidR="00990ADB" w:rsidRDefault="003760DB" w:rsidP="003760DB">
      <w:pPr>
        <w:jc w:val="center"/>
        <w:rPr>
          <w:b/>
          <w:bCs/>
          <w:sz w:val="28"/>
          <w:szCs w:val="28"/>
        </w:rPr>
      </w:pPr>
      <w:r w:rsidRPr="003760DB">
        <w:rPr>
          <w:b/>
          <w:bCs/>
          <w:sz w:val="28"/>
          <w:szCs w:val="28"/>
        </w:rPr>
        <w:t>Załącznik nr 3 – Opis przedmiotu zamówienia</w:t>
      </w:r>
    </w:p>
    <w:p w14:paraId="7A2A008B" w14:textId="64A74EA7" w:rsidR="00FC55AB" w:rsidRPr="00FC55AB" w:rsidRDefault="00BC6E47" w:rsidP="00FC55AB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FC55AB">
        <w:rPr>
          <w:sz w:val="24"/>
          <w:szCs w:val="24"/>
        </w:rPr>
        <w:t xml:space="preserve">Przedmiotem zamówienia </w:t>
      </w:r>
      <w:r w:rsidR="00FC55AB" w:rsidRPr="00FC55AB">
        <w:rPr>
          <w:sz w:val="24"/>
          <w:szCs w:val="24"/>
        </w:rPr>
        <w:t>jest kolekcja próbek moczu</w:t>
      </w:r>
      <w:r w:rsidR="00657A6F">
        <w:rPr>
          <w:sz w:val="24"/>
          <w:szCs w:val="24"/>
        </w:rPr>
        <w:t xml:space="preserve"> (w podziale na części</w:t>
      </w:r>
      <w:r w:rsidR="00E133A4">
        <w:rPr>
          <w:sz w:val="24"/>
          <w:szCs w:val="24"/>
        </w:rPr>
        <w:t xml:space="preserve"> wg tabeli zamieszczonej poniżej</w:t>
      </w:r>
      <w:r w:rsidR="00657A6F">
        <w:rPr>
          <w:sz w:val="24"/>
          <w:szCs w:val="24"/>
        </w:rPr>
        <w:t>)</w:t>
      </w:r>
      <w:r w:rsidR="00FC55AB" w:rsidRPr="00FC55AB">
        <w:rPr>
          <w:sz w:val="24"/>
          <w:szCs w:val="24"/>
        </w:rPr>
        <w:t xml:space="preserve"> od pacjentów z </w:t>
      </w:r>
      <w:r w:rsidR="002221D9">
        <w:rPr>
          <w:sz w:val="24"/>
          <w:szCs w:val="24"/>
        </w:rPr>
        <w:t xml:space="preserve">nowotworem innym niż nowotwór trzustki </w:t>
      </w:r>
      <w:r w:rsidR="00FC55AB" w:rsidRPr="00FC55AB">
        <w:rPr>
          <w:sz w:val="24"/>
          <w:szCs w:val="24"/>
        </w:rPr>
        <w:t xml:space="preserve">w celu pozyskania materiału biologicznego wraz z danymi medycznymi pacjentów do prowadzenia badań </w:t>
      </w:r>
      <w:r w:rsidR="00EC6F44">
        <w:rPr>
          <w:sz w:val="24"/>
          <w:szCs w:val="24"/>
        </w:rPr>
        <w:t xml:space="preserve">w ramach </w:t>
      </w:r>
      <w:r w:rsidR="00FC55AB" w:rsidRPr="00FC55AB">
        <w:rPr>
          <w:sz w:val="24"/>
          <w:szCs w:val="24"/>
        </w:rPr>
        <w:t>eksperymentu medycznego, którego celem jest opracowanie wyrobu medycznego do diagnostyki in vitro, w ramach projektu realizowanego przez Urteste S.A., zwanej dalej Sponsorem</w:t>
      </w:r>
      <w:r w:rsidR="00657A6F">
        <w:rPr>
          <w:sz w:val="24"/>
          <w:szCs w:val="24"/>
        </w:rPr>
        <w:t>.</w:t>
      </w:r>
    </w:p>
    <w:p w14:paraId="3863D1DA" w14:textId="2C8438C7" w:rsidR="00FC55AB" w:rsidRPr="00FC55AB" w:rsidRDefault="00FC55AB" w:rsidP="00FC55AB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FC55AB">
        <w:rPr>
          <w:sz w:val="24"/>
          <w:szCs w:val="24"/>
        </w:rPr>
        <w:t xml:space="preserve">PANURI_AV to wieloośrodkowy, otwarty eksperyment badawczy z zastosowaniem testu do diagnostyki nowotworu trzustki - u pacjentów ze zdiagnozowanym rakiem trzustki, </w:t>
      </w:r>
      <w:r w:rsidRPr="00FC55AB">
        <w:rPr>
          <w:sz w:val="24"/>
          <w:szCs w:val="24"/>
        </w:rPr>
        <w:br/>
        <w:t xml:space="preserve">z innymi niż rak trzustki chorobami nowotworowymi, chorobami nienowotworowymi oraz </w:t>
      </w:r>
      <w:r w:rsidRPr="00FC55AB">
        <w:rPr>
          <w:sz w:val="24"/>
          <w:szCs w:val="24"/>
        </w:rPr>
        <w:br/>
        <w:t xml:space="preserve">u zdrowych uczestników - mający na celu określenie swoistości i czułości badanego testu. </w:t>
      </w:r>
    </w:p>
    <w:p w14:paraId="68766DB0" w14:textId="77777777" w:rsidR="00FC55AB" w:rsidRPr="00FC55AB" w:rsidRDefault="00FC55AB" w:rsidP="00FC55AB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FC55AB">
        <w:rPr>
          <w:sz w:val="24"/>
          <w:szCs w:val="24"/>
        </w:rPr>
        <w:t>Eksperyment zakłada nieinwazyjną metodę pozyskiwania materiału biologicznego od uczestników (próbka moczu), który zostaje poddawany analizie w celu wykrycia śladów aktywności enzymatycznej komórek nowotworowych.</w:t>
      </w:r>
    </w:p>
    <w:p w14:paraId="5BEBF2C4" w14:textId="77777777" w:rsidR="00FC55AB" w:rsidRDefault="00FC55AB" w:rsidP="00FC55AB">
      <w:pPr>
        <w:rPr>
          <w:sz w:val="24"/>
          <w:szCs w:val="24"/>
        </w:rPr>
      </w:pPr>
      <w:r w:rsidRPr="00FC55AB">
        <w:rPr>
          <w:sz w:val="24"/>
          <w:szCs w:val="24"/>
        </w:rPr>
        <w:t xml:space="preserve">Zamawiającym (Sponsorem eksperymentu) jest firma URTESTE S.A. </w:t>
      </w:r>
    </w:p>
    <w:p w14:paraId="7BBA75EE" w14:textId="2A663850" w:rsidR="00FC55AB" w:rsidRPr="00FC55AB" w:rsidRDefault="00FC55AB" w:rsidP="00FC55AB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FC55AB">
        <w:rPr>
          <w:sz w:val="24"/>
          <w:szCs w:val="24"/>
        </w:rPr>
        <w:t>Zamawiający zastrzega, że ujawnienie pełnych informacji dotyczących przedmiotu zamówienia nastąpi po zawarciu umowy o poufności, stanowiącej załącznik do niniejszego zapytania ofertowego</w:t>
      </w:r>
      <w:r>
        <w:rPr>
          <w:sz w:val="24"/>
          <w:szCs w:val="24"/>
        </w:rPr>
        <w:t xml:space="preserve"> (załącznik nr 4).</w:t>
      </w:r>
    </w:p>
    <w:p w14:paraId="7C99B671" w14:textId="62F234A2" w:rsidR="00BC6E47" w:rsidRDefault="00FC55AB" w:rsidP="00FC55AB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  <w:u w:val="single"/>
        </w:rPr>
      </w:pPr>
      <w:r w:rsidRPr="00FC55AB">
        <w:rPr>
          <w:sz w:val="24"/>
          <w:szCs w:val="24"/>
          <w:u w:val="single"/>
        </w:rPr>
        <w:t>Na zamawianą usługę składają się następujące elementy:</w:t>
      </w:r>
    </w:p>
    <w:p w14:paraId="560D9292" w14:textId="36DC08F5" w:rsidR="00FC55AB" w:rsidRDefault="00FC55AB" w:rsidP="00FC55AB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FC55AB">
        <w:rPr>
          <w:sz w:val="24"/>
          <w:szCs w:val="24"/>
        </w:rPr>
        <w:t xml:space="preserve">Usługa obejmuje realizację czynności związanych z eksperymentem, takich jak kolekcja materiału biologicznego, kompletowanie dokumentacji badaniowej, rekrutacja pacjentów </w:t>
      </w:r>
      <w:r>
        <w:rPr>
          <w:sz w:val="24"/>
          <w:szCs w:val="24"/>
        </w:rPr>
        <w:br/>
      </w:r>
      <w:r w:rsidRPr="00FC55AB">
        <w:rPr>
          <w:sz w:val="24"/>
          <w:szCs w:val="24"/>
        </w:rPr>
        <w:t>i inne wymienione w Synopsis eksperymentu (dokument zostanie udostępniony po podpisaniu umowy o poufności).</w:t>
      </w:r>
    </w:p>
    <w:p w14:paraId="5F465E23" w14:textId="1429F1E0" w:rsidR="00E133A4" w:rsidRPr="00E133A4" w:rsidRDefault="00E133A4" w:rsidP="00FC55AB">
      <w:pPr>
        <w:shd w:val="clear" w:color="auto" w:fill="FFFFFF" w:themeFill="background1"/>
        <w:spacing w:before="100" w:beforeAutospacing="1" w:after="100" w:afterAutospacing="1"/>
        <w:rPr>
          <w:b/>
          <w:bCs/>
          <w:sz w:val="24"/>
          <w:szCs w:val="24"/>
        </w:rPr>
      </w:pPr>
      <w:r w:rsidRPr="00E133A4">
        <w:rPr>
          <w:b/>
          <w:bCs/>
          <w:sz w:val="24"/>
          <w:szCs w:val="24"/>
        </w:rPr>
        <w:t>Części zamówienia</w:t>
      </w:r>
      <w:r>
        <w:rPr>
          <w:b/>
          <w:bCs/>
          <w:sz w:val="24"/>
          <w:szCs w:val="24"/>
        </w:rPr>
        <w:t>:</w:t>
      </w:r>
    </w:p>
    <w:p w14:paraId="58293134" w14:textId="77777777" w:rsidR="00657A6F" w:rsidRPr="007F3B6B" w:rsidRDefault="00657A6F" w:rsidP="00657A6F">
      <w:pPr>
        <w:pStyle w:val="Default"/>
        <w:rPr>
          <w:sz w:val="22"/>
          <w:szCs w:val="22"/>
        </w:rPr>
      </w:pPr>
    </w:p>
    <w:tbl>
      <w:tblPr>
        <w:tblStyle w:val="Tabela-Siatka"/>
        <w:tblW w:w="3834" w:type="pct"/>
        <w:jc w:val="center"/>
        <w:tblLook w:val="04A0" w:firstRow="1" w:lastRow="0" w:firstColumn="1" w:lastColumn="0" w:noHBand="0" w:noVBand="1"/>
      </w:tblPr>
      <w:tblGrid>
        <w:gridCol w:w="1022"/>
        <w:gridCol w:w="3905"/>
        <w:gridCol w:w="756"/>
        <w:gridCol w:w="1266"/>
      </w:tblGrid>
      <w:tr w:rsidR="002221D9" w:rsidRPr="00E372C4" w14:paraId="7A35FCA4" w14:textId="77777777" w:rsidTr="001A1444">
        <w:trPr>
          <w:trHeight w:val="1380"/>
          <w:jc w:val="center"/>
        </w:trPr>
        <w:tc>
          <w:tcPr>
            <w:tcW w:w="735" w:type="pct"/>
            <w:hideMark/>
          </w:tcPr>
          <w:p w14:paraId="3F51763A" w14:textId="77777777" w:rsidR="002221D9" w:rsidRPr="00E372C4" w:rsidRDefault="002221D9" w:rsidP="0040072F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Kohorta 1</w:t>
            </w:r>
          </w:p>
        </w:tc>
        <w:tc>
          <w:tcPr>
            <w:tcW w:w="2809" w:type="pct"/>
            <w:hideMark/>
          </w:tcPr>
          <w:p w14:paraId="7AA2586A" w14:textId="77777777" w:rsidR="002221D9" w:rsidRPr="00E372C4" w:rsidRDefault="002221D9" w:rsidP="0040072F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Rozpoznanie</w:t>
            </w:r>
          </w:p>
        </w:tc>
        <w:tc>
          <w:tcPr>
            <w:tcW w:w="544" w:type="pct"/>
            <w:hideMark/>
          </w:tcPr>
          <w:p w14:paraId="4126DF81" w14:textId="77777777" w:rsidR="002221D9" w:rsidRPr="00E372C4" w:rsidRDefault="002221D9" w:rsidP="0040072F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Część</w:t>
            </w:r>
          </w:p>
        </w:tc>
        <w:tc>
          <w:tcPr>
            <w:tcW w:w="911" w:type="pct"/>
            <w:hideMark/>
          </w:tcPr>
          <w:p w14:paraId="0B594197" w14:textId="77777777" w:rsidR="002221D9" w:rsidRPr="00E372C4" w:rsidRDefault="002221D9" w:rsidP="0040072F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Liczba pacjentów do rekrutacji</w:t>
            </w:r>
          </w:p>
        </w:tc>
      </w:tr>
      <w:tr w:rsidR="002221D9" w:rsidRPr="00E372C4" w14:paraId="5BFB76BF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042A2807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3EBCFAB4" w14:textId="2E889726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Nowotwór </w:t>
            </w:r>
            <w:r w:rsid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inny niż nowotwór </w:t>
            </w: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trzustki</w:t>
            </w:r>
          </w:p>
        </w:tc>
        <w:tc>
          <w:tcPr>
            <w:tcW w:w="544" w:type="pct"/>
            <w:noWrap/>
            <w:hideMark/>
          </w:tcPr>
          <w:p w14:paraId="72EA93C5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911" w:type="pct"/>
            <w:noWrap/>
            <w:hideMark/>
          </w:tcPr>
          <w:p w14:paraId="2C33D83D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5BDE0687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59076E61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1</w:t>
            </w:r>
          </w:p>
        </w:tc>
        <w:tc>
          <w:tcPr>
            <w:tcW w:w="2809" w:type="pct"/>
            <w:noWrap/>
            <w:hideMark/>
          </w:tcPr>
          <w:p w14:paraId="67620E63" w14:textId="749D332B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7CED025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  <w:tc>
          <w:tcPr>
            <w:tcW w:w="911" w:type="pct"/>
            <w:noWrap/>
            <w:hideMark/>
          </w:tcPr>
          <w:p w14:paraId="1413EFAA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46FE4B3D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6FAD449A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64F42E8C" w14:textId="00A1705F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06AA9A96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3</w:t>
            </w:r>
          </w:p>
        </w:tc>
        <w:tc>
          <w:tcPr>
            <w:tcW w:w="911" w:type="pct"/>
            <w:noWrap/>
            <w:hideMark/>
          </w:tcPr>
          <w:p w14:paraId="59F92B48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28FB14C2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24993416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035A247A" w14:textId="73391A31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435FEDD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4</w:t>
            </w:r>
          </w:p>
        </w:tc>
        <w:tc>
          <w:tcPr>
            <w:tcW w:w="911" w:type="pct"/>
            <w:noWrap/>
            <w:hideMark/>
          </w:tcPr>
          <w:p w14:paraId="167F3403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109EA7D8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43581CC2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4E9AB042" w14:textId="252E6BDD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1F68C485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5</w:t>
            </w:r>
          </w:p>
        </w:tc>
        <w:tc>
          <w:tcPr>
            <w:tcW w:w="911" w:type="pct"/>
            <w:noWrap/>
            <w:hideMark/>
          </w:tcPr>
          <w:p w14:paraId="1147F56A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7D9DA00D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3199D61F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516A4088" w14:textId="20497AAF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743A7A1E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6</w:t>
            </w:r>
          </w:p>
        </w:tc>
        <w:tc>
          <w:tcPr>
            <w:tcW w:w="911" w:type="pct"/>
            <w:noWrap/>
            <w:hideMark/>
          </w:tcPr>
          <w:p w14:paraId="026BD381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244C8575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231208AA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42883CC6" w14:textId="7C91D872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7F905A28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7</w:t>
            </w:r>
          </w:p>
        </w:tc>
        <w:tc>
          <w:tcPr>
            <w:tcW w:w="911" w:type="pct"/>
            <w:noWrap/>
            <w:hideMark/>
          </w:tcPr>
          <w:p w14:paraId="5FDFB5C1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22A308F6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26A892E7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4109D485" w14:textId="6EA810DF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12ADAC5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8</w:t>
            </w:r>
          </w:p>
        </w:tc>
        <w:tc>
          <w:tcPr>
            <w:tcW w:w="911" w:type="pct"/>
            <w:noWrap/>
            <w:hideMark/>
          </w:tcPr>
          <w:p w14:paraId="541772FC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356364C9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639B8FEB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7077D645" w14:textId="3DE18B3C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4063FCB1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9</w:t>
            </w:r>
          </w:p>
        </w:tc>
        <w:tc>
          <w:tcPr>
            <w:tcW w:w="911" w:type="pct"/>
            <w:noWrap/>
            <w:hideMark/>
          </w:tcPr>
          <w:p w14:paraId="56E1F43B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6D13993B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411E3555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658A3C3A" w14:textId="64EF5A72" w:rsidR="002221D9" w:rsidRPr="00E372C4" w:rsidRDefault="001A1444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03356872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  <w:tc>
          <w:tcPr>
            <w:tcW w:w="911" w:type="pct"/>
            <w:noWrap/>
            <w:hideMark/>
          </w:tcPr>
          <w:p w14:paraId="32F49C0E" w14:textId="77777777" w:rsidR="002221D9" w:rsidRPr="00E372C4" w:rsidRDefault="002221D9" w:rsidP="0040072F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79FF4736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7F9B2AF6" w14:textId="77777777" w:rsidR="002221D9" w:rsidRPr="00E372C4" w:rsidRDefault="002221D9" w:rsidP="004E040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0161E17F" w14:textId="6ADC1172" w:rsidR="002221D9" w:rsidRPr="00E372C4" w:rsidRDefault="001A1444" w:rsidP="004E040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2314874D" w14:textId="4D10C459" w:rsidR="002221D9" w:rsidRPr="00E372C4" w:rsidRDefault="002221D9" w:rsidP="004E040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911" w:type="pct"/>
            <w:noWrap/>
            <w:hideMark/>
          </w:tcPr>
          <w:p w14:paraId="6597575C" w14:textId="77777777" w:rsidR="002221D9" w:rsidRPr="00E372C4" w:rsidRDefault="002221D9" w:rsidP="004E040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2221D9" w:rsidRPr="00E372C4" w14:paraId="2020E91A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17497016" w14:textId="77777777" w:rsidR="002221D9" w:rsidRPr="00E372C4" w:rsidRDefault="002221D9" w:rsidP="004E040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4D8860B3" w14:textId="4393CE4C" w:rsidR="002221D9" w:rsidRPr="00E372C4" w:rsidRDefault="001A1444" w:rsidP="004E040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03F28E4B" w14:textId="48B69DF3" w:rsidR="002221D9" w:rsidRPr="00E372C4" w:rsidRDefault="002221D9" w:rsidP="004E040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  <w:tc>
          <w:tcPr>
            <w:tcW w:w="911" w:type="pct"/>
            <w:noWrap/>
            <w:hideMark/>
          </w:tcPr>
          <w:p w14:paraId="0B498FDE" w14:textId="77777777" w:rsidR="002221D9" w:rsidRPr="00E372C4" w:rsidRDefault="002221D9" w:rsidP="004E040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06DCF953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4D4C1FA6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484C7625" w14:textId="4112E334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85D3652" w14:textId="7CD8A9A4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3</w:t>
            </w:r>
          </w:p>
        </w:tc>
        <w:tc>
          <w:tcPr>
            <w:tcW w:w="911" w:type="pct"/>
            <w:noWrap/>
            <w:hideMark/>
          </w:tcPr>
          <w:p w14:paraId="6AF9A933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3B7A73C7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1EF0E7D9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24FDF393" w14:textId="65F919CD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D7610CA" w14:textId="3414C8D2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4</w:t>
            </w:r>
          </w:p>
        </w:tc>
        <w:tc>
          <w:tcPr>
            <w:tcW w:w="911" w:type="pct"/>
            <w:noWrap/>
            <w:hideMark/>
          </w:tcPr>
          <w:p w14:paraId="756EECAC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07798009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1C68F0B1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7D476CB2" w14:textId="119C8E7C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821D5A6" w14:textId="143F6C1A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5</w:t>
            </w:r>
          </w:p>
        </w:tc>
        <w:tc>
          <w:tcPr>
            <w:tcW w:w="911" w:type="pct"/>
            <w:noWrap/>
            <w:hideMark/>
          </w:tcPr>
          <w:p w14:paraId="050E0F9C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4F47E0F0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6022CC14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768ACC48" w14:textId="78A141CD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45CBD1D4" w14:textId="2A2030E8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6</w:t>
            </w:r>
          </w:p>
        </w:tc>
        <w:tc>
          <w:tcPr>
            <w:tcW w:w="911" w:type="pct"/>
            <w:noWrap/>
            <w:hideMark/>
          </w:tcPr>
          <w:p w14:paraId="373D8C9B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0FAC02BA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3001032F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4F41FC9A" w14:textId="37E95714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1847B22" w14:textId="476ABF70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7</w:t>
            </w:r>
          </w:p>
        </w:tc>
        <w:tc>
          <w:tcPr>
            <w:tcW w:w="911" w:type="pct"/>
            <w:noWrap/>
            <w:hideMark/>
          </w:tcPr>
          <w:p w14:paraId="4274A35D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0064001E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653F0467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3D861C32" w14:textId="5D4B2F0F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5CF48460" w14:textId="1ED4AF5D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8</w:t>
            </w:r>
          </w:p>
        </w:tc>
        <w:tc>
          <w:tcPr>
            <w:tcW w:w="911" w:type="pct"/>
            <w:noWrap/>
            <w:hideMark/>
          </w:tcPr>
          <w:p w14:paraId="2B874B64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4E483F6D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605842D4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2456CB66" w14:textId="018EB2D7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0C5C499" w14:textId="173BEC61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9</w:t>
            </w:r>
          </w:p>
        </w:tc>
        <w:tc>
          <w:tcPr>
            <w:tcW w:w="911" w:type="pct"/>
            <w:noWrap/>
            <w:hideMark/>
          </w:tcPr>
          <w:p w14:paraId="2E13F26E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63CCE422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70E81196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1ED6D23D" w14:textId="0759D4D4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324C1F64" w14:textId="1A58F5B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20</w:t>
            </w:r>
          </w:p>
        </w:tc>
        <w:tc>
          <w:tcPr>
            <w:tcW w:w="911" w:type="pct"/>
            <w:noWrap/>
            <w:hideMark/>
          </w:tcPr>
          <w:p w14:paraId="2D5CFFC5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4DB98903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61D73C87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34C29301" w14:textId="592DE7E8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278E6182" w14:textId="6AF7D341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21</w:t>
            </w:r>
          </w:p>
        </w:tc>
        <w:tc>
          <w:tcPr>
            <w:tcW w:w="911" w:type="pct"/>
            <w:noWrap/>
            <w:hideMark/>
          </w:tcPr>
          <w:p w14:paraId="1C3F9165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2DCF49DC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40705096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3F2F4ED4" w14:textId="50EB1EF7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14EFDEE7" w14:textId="2221E42A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22</w:t>
            </w:r>
          </w:p>
        </w:tc>
        <w:tc>
          <w:tcPr>
            <w:tcW w:w="911" w:type="pct"/>
            <w:noWrap/>
            <w:hideMark/>
          </w:tcPr>
          <w:p w14:paraId="51470D1F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08DB61F6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093AF461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42C2E450" w14:textId="62614EA0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49BDBADC" w14:textId="788C7BEE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23</w:t>
            </w:r>
          </w:p>
        </w:tc>
        <w:tc>
          <w:tcPr>
            <w:tcW w:w="911" w:type="pct"/>
            <w:noWrap/>
            <w:hideMark/>
          </w:tcPr>
          <w:p w14:paraId="0EB6760C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  <w:tr w:rsidR="001A1444" w:rsidRPr="00E372C4" w14:paraId="54DCD885" w14:textId="77777777" w:rsidTr="001A1444">
        <w:trPr>
          <w:trHeight w:val="288"/>
          <w:jc w:val="center"/>
        </w:trPr>
        <w:tc>
          <w:tcPr>
            <w:tcW w:w="735" w:type="pct"/>
            <w:noWrap/>
            <w:hideMark/>
          </w:tcPr>
          <w:p w14:paraId="407B49B4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809" w:type="pct"/>
            <w:noWrap/>
            <w:hideMark/>
          </w:tcPr>
          <w:p w14:paraId="73CEE482" w14:textId="364835BF" w:rsidR="001A1444" w:rsidRPr="001A144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A1444">
              <w:rPr>
                <w:sz w:val="24"/>
                <w:szCs w:val="24"/>
              </w:rPr>
              <w:t>Nowotwór inny niż nowotwór trzustki</w:t>
            </w:r>
          </w:p>
        </w:tc>
        <w:tc>
          <w:tcPr>
            <w:tcW w:w="544" w:type="pct"/>
            <w:noWrap/>
            <w:hideMark/>
          </w:tcPr>
          <w:p w14:paraId="6321575F" w14:textId="0543D14C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24</w:t>
            </w:r>
          </w:p>
        </w:tc>
        <w:tc>
          <w:tcPr>
            <w:tcW w:w="911" w:type="pct"/>
            <w:noWrap/>
            <w:hideMark/>
          </w:tcPr>
          <w:p w14:paraId="1121B301" w14:textId="77777777" w:rsidR="001A1444" w:rsidRPr="00E372C4" w:rsidRDefault="001A1444" w:rsidP="001A1444">
            <w:pPr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372C4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</w:t>
            </w:r>
          </w:p>
        </w:tc>
      </w:tr>
    </w:tbl>
    <w:p w14:paraId="2AD66FF8" w14:textId="77777777" w:rsidR="00E372C4" w:rsidRPr="00E372C4" w:rsidRDefault="00E372C4" w:rsidP="00E372C4">
      <w:pPr>
        <w:spacing w:before="0" w:after="160" w:line="259" w:lineRule="auto"/>
        <w:rPr>
          <w:sz w:val="24"/>
          <w:szCs w:val="24"/>
        </w:rPr>
      </w:pPr>
    </w:p>
    <w:p w14:paraId="54DDC416" w14:textId="3674686A" w:rsidR="00E372C4" w:rsidRPr="00E372C4" w:rsidRDefault="00E372C4" w:rsidP="00E372C4">
      <w:pPr>
        <w:spacing w:before="0" w:after="160" w:line="259" w:lineRule="auto"/>
        <w:rPr>
          <w:b/>
          <w:bCs/>
          <w:sz w:val="24"/>
          <w:szCs w:val="24"/>
        </w:rPr>
      </w:pPr>
      <w:r w:rsidRPr="00E372C4">
        <w:rPr>
          <w:b/>
          <w:bCs/>
          <w:sz w:val="24"/>
          <w:szCs w:val="24"/>
        </w:rPr>
        <w:t>Cel</w:t>
      </w:r>
    </w:p>
    <w:p w14:paraId="5AB85E53" w14:textId="77777777" w:rsidR="00E372C4" w:rsidRPr="00E372C4" w:rsidRDefault="00E372C4" w:rsidP="00E372C4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E372C4">
        <w:rPr>
          <w:sz w:val="24"/>
          <w:szCs w:val="24"/>
        </w:rPr>
        <w:t xml:space="preserve">Eksperyment ma na celu opracowanie testu PANURI służącego do diagnostyki raka trzustki. </w:t>
      </w:r>
    </w:p>
    <w:p w14:paraId="6E078A4A" w14:textId="77777777" w:rsidR="00E372C4" w:rsidRPr="00E372C4" w:rsidRDefault="00E372C4" w:rsidP="00E372C4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E372C4">
        <w:rPr>
          <w:sz w:val="24"/>
          <w:szCs w:val="24"/>
        </w:rPr>
        <w:lastRenderedPageBreak/>
        <w:t xml:space="preserve">Eksperyment jest nieinterwencyjnym, eksperymentem badawczym, w którym poddane są analizie próbki moczu w celu wykrycia śladów aktywności enzymatycznej komórek nowotworowych. W związku z rodzajem materiał badanego (mocz), pozyskanie materiału jest nieinwazyjne. </w:t>
      </w:r>
    </w:p>
    <w:p w14:paraId="6E673100" w14:textId="0CC5D1D9" w:rsidR="00E372C4" w:rsidRPr="00E372C4" w:rsidRDefault="00E372C4" w:rsidP="00E372C4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E372C4">
        <w:rPr>
          <w:sz w:val="24"/>
          <w:szCs w:val="24"/>
        </w:rPr>
        <w:t xml:space="preserve">Badanie polega na zebraniu i analizie próbek moczu pacjentów przy pomocy testu PANURI, mającej na celu odróżnienie próbek pacjentów z rakiem trzustki od próbek pacjentów </w:t>
      </w:r>
      <w:r>
        <w:rPr>
          <w:sz w:val="24"/>
          <w:szCs w:val="24"/>
        </w:rPr>
        <w:br/>
      </w:r>
      <w:r w:rsidRPr="00E372C4">
        <w:rPr>
          <w:sz w:val="24"/>
          <w:szCs w:val="24"/>
        </w:rPr>
        <w:t xml:space="preserve">z innymi chorobami nowotworowymi, chorobami nienowotworowymi oraz od pacjentów zdrowych. </w:t>
      </w:r>
    </w:p>
    <w:p w14:paraId="4603A379" w14:textId="1C1017AC" w:rsidR="00E372C4" w:rsidRPr="00E372C4" w:rsidRDefault="00E372C4" w:rsidP="00E372C4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E372C4">
        <w:rPr>
          <w:sz w:val="24"/>
          <w:szCs w:val="24"/>
        </w:rPr>
        <w:t xml:space="preserve">Pacjent nie otrzyma wyniku badania. </w:t>
      </w:r>
    </w:p>
    <w:p w14:paraId="14A33785" w14:textId="77777777" w:rsidR="00E372C4" w:rsidRPr="00E372C4" w:rsidRDefault="00E372C4" w:rsidP="00E372C4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E372C4">
        <w:rPr>
          <w:sz w:val="24"/>
          <w:szCs w:val="24"/>
        </w:rPr>
        <w:t>Na podstawie eksperymentu nie będą podejmowane żadne decyzje ani diagnostyczne, ani terapeutyczne. Eksperyment ma charakter badawczy i ma na celu opracowanie nowego testu, który przyczyni się do bardziej efektywnej diagnostyki raka trzustki. Wyniki badania posłużą do dalszego rozwoju testu diagnostycznego PANURI.</w:t>
      </w:r>
    </w:p>
    <w:p w14:paraId="5495A5A2" w14:textId="77777777" w:rsidR="00E372C4" w:rsidRPr="00E372C4" w:rsidRDefault="00E372C4" w:rsidP="00E372C4">
      <w:pPr>
        <w:shd w:val="clear" w:color="auto" w:fill="FFFFFF" w:themeFill="background1"/>
        <w:spacing w:before="100" w:beforeAutospacing="1" w:after="100" w:afterAutospacing="1"/>
        <w:rPr>
          <w:b/>
          <w:bCs/>
          <w:sz w:val="24"/>
          <w:szCs w:val="24"/>
        </w:rPr>
      </w:pPr>
      <w:r w:rsidRPr="00E372C4">
        <w:rPr>
          <w:b/>
          <w:bCs/>
          <w:sz w:val="24"/>
          <w:szCs w:val="24"/>
        </w:rPr>
        <w:t>Schemat przeprowadzenia eksperymentu</w:t>
      </w:r>
    </w:p>
    <w:p w14:paraId="0C001A29" w14:textId="77C95D81" w:rsidR="00E372C4" w:rsidRPr="00E372C4" w:rsidRDefault="00E372C4" w:rsidP="00E372C4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E372C4">
        <w:rPr>
          <w:sz w:val="24"/>
          <w:szCs w:val="24"/>
        </w:rPr>
        <w:t xml:space="preserve">Eksperyment polega na uzyskaniu od uczestników próbek moczu przez lekarza lub pielęgniarkę. Szczegółowe informacje na temat oznaczania i przechowywania próbek moczu oraz przechowywania i transportu próbek określa odrębny dokument </w:t>
      </w:r>
      <w:r w:rsidR="00E133A4">
        <w:rPr>
          <w:sz w:val="24"/>
          <w:szCs w:val="24"/>
        </w:rPr>
        <w:t xml:space="preserve">- </w:t>
      </w:r>
      <w:r>
        <w:rPr>
          <w:sz w:val="24"/>
          <w:szCs w:val="24"/>
        </w:rPr>
        <w:t>Lab Manual (</w:t>
      </w:r>
      <w:r w:rsidRPr="00FC55AB">
        <w:rPr>
          <w:sz w:val="24"/>
          <w:szCs w:val="24"/>
        </w:rPr>
        <w:t>dokument zostanie udostępniony po podpisaniu umowy o poufności</w:t>
      </w:r>
      <w:r>
        <w:rPr>
          <w:sz w:val="24"/>
          <w:szCs w:val="24"/>
        </w:rPr>
        <w:t>).</w:t>
      </w:r>
      <w:r w:rsidRPr="00E372C4">
        <w:rPr>
          <w:sz w:val="24"/>
          <w:szCs w:val="24"/>
        </w:rPr>
        <w:t xml:space="preserve"> Ocena uzyskanych wyników zostanie wykonana w laboratorium Sponsora, na podstawie</w:t>
      </w:r>
      <w:r>
        <w:rPr>
          <w:sz w:val="24"/>
          <w:szCs w:val="24"/>
        </w:rPr>
        <w:t xml:space="preserve"> </w:t>
      </w:r>
      <w:proofErr w:type="spellStart"/>
      <w:r w:rsidRPr="00E372C4">
        <w:rPr>
          <w:sz w:val="24"/>
          <w:szCs w:val="24"/>
        </w:rPr>
        <w:t>pseudozanonimizowanych</w:t>
      </w:r>
      <w:proofErr w:type="spellEnd"/>
      <w:r w:rsidRPr="00E372C4">
        <w:rPr>
          <w:sz w:val="24"/>
          <w:szCs w:val="24"/>
        </w:rPr>
        <w:t xml:space="preserve"> danych, przesłanych przez Ośrodek. </w:t>
      </w:r>
    </w:p>
    <w:p w14:paraId="7AF8565B" w14:textId="0315238A" w:rsidR="00E372C4" w:rsidRPr="00E372C4" w:rsidRDefault="00E372C4" w:rsidP="00E372C4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 w:rsidRPr="00E372C4">
        <w:rPr>
          <w:sz w:val="24"/>
          <w:szCs w:val="24"/>
        </w:rPr>
        <w:t xml:space="preserve">Przebieg eksperymentu badawczego: </w:t>
      </w:r>
    </w:p>
    <w:p w14:paraId="0CB4A617" w14:textId="77777777" w:rsidR="00E372C4" w:rsidRPr="00E372C4" w:rsidRDefault="00E372C4" w:rsidP="00E372C4">
      <w:pPr>
        <w:pStyle w:val="Default"/>
        <w:numPr>
          <w:ilvl w:val="0"/>
          <w:numId w:val="26"/>
        </w:numPr>
        <w:spacing w:after="18" w:line="276" w:lineRule="auto"/>
        <w:ind w:left="360" w:hanging="360"/>
      </w:pPr>
      <w:r w:rsidRPr="00E372C4">
        <w:t xml:space="preserve">Podpisanie przez uczestnika Formularza Świadomej Zgody na udział w eksperymencie badawczym PANURI_AV. </w:t>
      </w:r>
    </w:p>
    <w:p w14:paraId="09547496" w14:textId="6565D1DF" w:rsidR="00E372C4" w:rsidRPr="00E372C4" w:rsidRDefault="00E372C4" w:rsidP="00E372C4">
      <w:pPr>
        <w:pStyle w:val="Default"/>
        <w:numPr>
          <w:ilvl w:val="0"/>
          <w:numId w:val="26"/>
        </w:numPr>
        <w:spacing w:after="18" w:line="276" w:lineRule="auto"/>
        <w:ind w:left="360" w:hanging="360"/>
      </w:pPr>
      <w:r w:rsidRPr="00E372C4">
        <w:t>Zebranie informacji medycznych od uczestnika i uzupełnienie karty obserwacji klinicznej uczestnika</w:t>
      </w:r>
      <w:r w:rsidR="00A71899">
        <w:t>.</w:t>
      </w:r>
    </w:p>
    <w:p w14:paraId="080942C3" w14:textId="77777777" w:rsidR="00E372C4" w:rsidRPr="00E372C4" w:rsidRDefault="00E372C4" w:rsidP="00E372C4">
      <w:pPr>
        <w:pStyle w:val="Default"/>
        <w:numPr>
          <w:ilvl w:val="0"/>
          <w:numId w:val="26"/>
        </w:numPr>
        <w:spacing w:after="18" w:line="276" w:lineRule="auto"/>
        <w:ind w:left="360" w:hanging="360"/>
      </w:pPr>
      <w:r w:rsidRPr="00E372C4">
        <w:t xml:space="preserve">Pobranie próbek moczu od uczestnika. </w:t>
      </w:r>
    </w:p>
    <w:p w14:paraId="6652E304" w14:textId="12FB3838" w:rsidR="00E372C4" w:rsidRPr="00E372C4" w:rsidRDefault="00E372C4" w:rsidP="00E372C4">
      <w:pPr>
        <w:pStyle w:val="Default"/>
        <w:numPr>
          <w:ilvl w:val="0"/>
          <w:numId w:val="26"/>
        </w:numPr>
        <w:spacing w:line="276" w:lineRule="auto"/>
        <w:ind w:left="360" w:hanging="360"/>
      </w:pPr>
      <w:r w:rsidRPr="00E372C4">
        <w:t>Przekazanie części moczu z próbki do bezpośredniej analizy w lokalnym laboratorium diagnostycznym</w:t>
      </w:r>
      <w:r w:rsidR="00A71899">
        <w:t xml:space="preserve"> </w:t>
      </w:r>
      <w:r w:rsidRPr="00E372C4">
        <w:t xml:space="preserve">(wszelkie szczegóły analizy zostały zamieszczone w </w:t>
      </w:r>
      <w:r w:rsidR="00A71899">
        <w:t>dokumencie Lab Manual – dokument zostanie udostępniony po podpisaniu umowy o poufności</w:t>
      </w:r>
      <w:r w:rsidRPr="00E372C4">
        <w:t>).</w:t>
      </w:r>
    </w:p>
    <w:p w14:paraId="14DC08CA" w14:textId="77777777" w:rsidR="00E372C4" w:rsidRPr="00E372C4" w:rsidRDefault="00E372C4" w:rsidP="00E372C4">
      <w:pPr>
        <w:pStyle w:val="Default"/>
        <w:numPr>
          <w:ilvl w:val="0"/>
          <w:numId w:val="26"/>
        </w:numPr>
        <w:spacing w:line="276" w:lineRule="auto"/>
        <w:ind w:left="360" w:hanging="360"/>
      </w:pPr>
      <w:r w:rsidRPr="00E372C4">
        <w:t xml:space="preserve">Umieszczenie próbek moczu w zamrażarce. </w:t>
      </w:r>
    </w:p>
    <w:p w14:paraId="5849FC48" w14:textId="77777777" w:rsidR="00E372C4" w:rsidRPr="00E372C4" w:rsidRDefault="00E372C4" w:rsidP="00E372C4">
      <w:pPr>
        <w:pStyle w:val="Default"/>
        <w:numPr>
          <w:ilvl w:val="0"/>
          <w:numId w:val="26"/>
        </w:numPr>
        <w:spacing w:line="276" w:lineRule="auto"/>
        <w:ind w:left="360" w:hanging="360"/>
      </w:pPr>
      <w:r w:rsidRPr="00E372C4">
        <w:t xml:space="preserve">Przechowywanie materiału biologicznego w określonych warunkach. </w:t>
      </w:r>
    </w:p>
    <w:p w14:paraId="29603A43" w14:textId="77777777" w:rsidR="00E372C4" w:rsidRDefault="00E372C4" w:rsidP="00E372C4">
      <w:pPr>
        <w:pStyle w:val="Default"/>
        <w:numPr>
          <w:ilvl w:val="0"/>
          <w:numId w:val="26"/>
        </w:numPr>
        <w:spacing w:line="276" w:lineRule="auto"/>
        <w:ind w:left="360" w:hanging="360"/>
      </w:pPr>
      <w:r w:rsidRPr="00E372C4">
        <w:t xml:space="preserve">Ustalenie terminu transportu i przekazanie odpowiedniej firmie kurierskiej próbek do laboratorium badawczo-rozwojowego Sponsora. </w:t>
      </w:r>
    </w:p>
    <w:p w14:paraId="709260C8" w14:textId="77777777" w:rsidR="00A71899" w:rsidRDefault="00A71899" w:rsidP="00A71899">
      <w:pPr>
        <w:pStyle w:val="Default"/>
        <w:spacing w:line="276" w:lineRule="auto"/>
      </w:pPr>
    </w:p>
    <w:p w14:paraId="1439CF1C" w14:textId="0376BFD0" w:rsidR="00A71899" w:rsidRDefault="00A71899" w:rsidP="00A71899">
      <w:pPr>
        <w:spacing w:before="0" w:after="160"/>
        <w:rPr>
          <w:sz w:val="24"/>
          <w:szCs w:val="24"/>
        </w:rPr>
      </w:pPr>
      <w:r w:rsidRPr="00A71899">
        <w:rPr>
          <w:sz w:val="24"/>
          <w:szCs w:val="24"/>
        </w:rPr>
        <w:t xml:space="preserve">Liczba i rodzaj procedur, które będą wymagane w eksperymencie, oraz czas ich przeprowadzenia zostały zaproponowane przez Sponsora w </w:t>
      </w:r>
      <w:r>
        <w:rPr>
          <w:sz w:val="24"/>
          <w:szCs w:val="24"/>
        </w:rPr>
        <w:t xml:space="preserve">dokumencie </w:t>
      </w:r>
      <w:r w:rsidRPr="00A71899">
        <w:rPr>
          <w:sz w:val="24"/>
          <w:szCs w:val="24"/>
        </w:rPr>
        <w:t>Synopsis (</w:t>
      </w:r>
      <w:r w:rsidRPr="00FC55AB">
        <w:rPr>
          <w:sz w:val="24"/>
          <w:szCs w:val="24"/>
        </w:rPr>
        <w:t>dokument zostanie udostępniony po podpisaniu umowy o poufności</w:t>
      </w:r>
      <w:r w:rsidRPr="00A71899">
        <w:rPr>
          <w:sz w:val="24"/>
          <w:szCs w:val="24"/>
        </w:rPr>
        <w:t>). Założenia przyjęte do ich opracowania mogą ulec nieznacznej korekcie w trakcie prac nad protokołem podczas konsultacji z ekspertami lub w wyniku otrzymywanych rezultatów w trakcie realizacji projektu.</w:t>
      </w:r>
    </w:p>
    <w:p w14:paraId="62978912" w14:textId="51430E1B" w:rsidR="00507272" w:rsidRPr="00A71899" w:rsidRDefault="00507272" w:rsidP="00A71899">
      <w:pPr>
        <w:spacing w:before="0" w:after="160"/>
        <w:rPr>
          <w:sz w:val="24"/>
          <w:szCs w:val="24"/>
        </w:rPr>
      </w:pPr>
      <w:r w:rsidRPr="00507272">
        <w:rPr>
          <w:sz w:val="24"/>
          <w:szCs w:val="24"/>
        </w:rPr>
        <w:t xml:space="preserve">Liczba uczestników eksperymentu, została zaproponowana przez Sponsora w załączonym Synopsis (Załącznik nr 2). Założenia przyjęte do oszacowania wielkości grupy pacjentów mogą ulec nieznacznej korekcie w trakcie prac nad protokołem podczas konsultacji </w:t>
      </w:r>
      <w:r>
        <w:rPr>
          <w:sz w:val="24"/>
          <w:szCs w:val="24"/>
        </w:rPr>
        <w:br/>
      </w:r>
      <w:r w:rsidRPr="00507272">
        <w:rPr>
          <w:sz w:val="24"/>
          <w:szCs w:val="24"/>
        </w:rPr>
        <w:t>z ekspertami lub po uwzględnieniu wyników otrzymanych w trakcie realizacji projektu.</w:t>
      </w:r>
    </w:p>
    <w:p w14:paraId="22C64324" w14:textId="7A8586FB" w:rsidR="00A71899" w:rsidRPr="00A71899" w:rsidRDefault="00A71899" w:rsidP="00A71899">
      <w:pPr>
        <w:spacing w:before="0" w:after="160"/>
        <w:rPr>
          <w:sz w:val="24"/>
          <w:szCs w:val="24"/>
        </w:rPr>
      </w:pPr>
      <w:r w:rsidRPr="00A71899">
        <w:rPr>
          <w:sz w:val="24"/>
          <w:szCs w:val="24"/>
        </w:rPr>
        <w:t xml:space="preserve">Badanie powinno zostać przeprowadzone i udokumentowane zgodnie z wytycznymi Dobrej Praktyki Badań Klinicznych Międzynarodowej Konferencji ds. Harmonizacji (International Conference on </w:t>
      </w:r>
      <w:proofErr w:type="spellStart"/>
      <w:r w:rsidRPr="00A71899">
        <w:rPr>
          <w:sz w:val="24"/>
          <w:szCs w:val="24"/>
        </w:rPr>
        <w:t>Harmonization</w:t>
      </w:r>
      <w:proofErr w:type="spellEnd"/>
      <w:r w:rsidRPr="00A71899">
        <w:rPr>
          <w:sz w:val="24"/>
          <w:szCs w:val="24"/>
        </w:rPr>
        <w:t xml:space="preserve"> of Technical </w:t>
      </w:r>
      <w:proofErr w:type="spellStart"/>
      <w:r w:rsidRPr="00A71899">
        <w:rPr>
          <w:sz w:val="24"/>
          <w:szCs w:val="24"/>
        </w:rPr>
        <w:t>Requirements</w:t>
      </w:r>
      <w:proofErr w:type="spellEnd"/>
      <w:r w:rsidRPr="00A71899">
        <w:rPr>
          <w:sz w:val="24"/>
          <w:szCs w:val="24"/>
        </w:rPr>
        <w:t xml:space="preserve"> for </w:t>
      </w:r>
      <w:proofErr w:type="spellStart"/>
      <w:r w:rsidRPr="00A71899">
        <w:rPr>
          <w:sz w:val="24"/>
          <w:szCs w:val="24"/>
        </w:rPr>
        <w:t>Registration</w:t>
      </w:r>
      <w:proofErr w:type="spellEnd"/>
      <w:r w:rsidRPr="00A71899">
        <w:rPr>
          <w:sz w:val="24"/>
          <w:szCs w:val="24"/>
        </w:rPr>
        <w:t xml:space="preserve"> of </w:t>
      </w:r>
      <w:proofErr w:type="spellStart"/>
      <w:r w:rsidRPr="00A71899">
        <w:rPr>
          <w:sz w:val="24"/>
          <w:szCs w:val="24"/>
        </w:rPr>
        <w:t>Pharmaceuticals</w:t>
      </w:r>
      <w:proofErr w:type="spellEnd"/>
      <w:r w:rsidRPr="00A71899">
        <w:rPr>
          <w:sz w:val="24"/>
          <w:szCs w:val="24"/>
        </w:rPr>
        <w:t xml:space="preserve"> for Human </w:t>
      </w:r>
      <w:proofErr w:type="spellStart"/>
      <w:r w:rsidRPr="00A71899">
        <w:rPr>
          <w:sz w:val="24"/>
          <w:szCs w:val="24"/>
        </w:rPr>
        <w:t>Use</w:t>
      </w:r>
      <w:proofErr w:type="spellEnd"/>
      <w:r w:rsidRPr="00A71899">
        <w:rPr>
          <w:sz w:val="24"/>
          <w:szCs w:val="24"/>
        </w:rPr>
        <w:t xml:space="preserve">), deklaracją Helsińską oraz obowiązującymi przepisami europejskimi </w:t>
      </w:r>
      <w:r>
        <w:rPr>
          <w:sz w:val="24"/>
          <w:szCs w:val="24"/>
        </w:rPr>
        <w:br/>
      </w:r>
      <w:r w:rsidRPr="00A71899">
        <w:rPr>
          <w:sz w:val="24"/>
          <w:szCs w:val="24"/>
        </w:rPr>
        <w:t>i lokalnymi, a także otrzymaną od Sponsora dokumentacją dotyczącą eksperymentu;</w:t>
      </w:r>
    </w:p>
    <w:p w14:paraId="196D2FD7" w14:textId="4A8FE84A" w:rsidR="00A71899" w:rsidRDefault="00A71899" w:rsidP="00A71899">
      <w:pPr>
        <w:shd w:val="clear" w:color="auto" w:fill="FFFFFF" w:themeFill="background1"/>
        <w:spacing w:before="100" w:beforeAutospacing="1" w:after="100" w:afterAutospacing="1"/>
        <w:rPr>
          <w:b/>
          <w:bCs/>
          <w:sz w:val="24"/>
          <w:szCs w:val="24"/>
        </w:rPr>
      </w:pPr>
      <w:r w:rsidRPr="00A71899">
        <w:rPr>
          <w:b/>
          <w:bCs/>
          <w:sz w:val="24"/>
          <w:szCs w:val="24"/>
        </w:rPr>
        <w:t>Ramy czasowe dla realizacji usług</w:t>
      </w:r>
      <w:r>
        <w:rPr>
          <w:b/>
          <w:bCs/>
          <w:sz w:val="24"/>
          <w:szCs w:val="24"/>
        </w:rPr>
        <w:t>i</w:t>
      </w:r>
    </w:p>
    <w:p w14:paraId="362BCC9E" w14:textId="67E05C56" w:rsidR="00A71899" w:rsidRPr="00A71899" w:rsidRDefault="00A71899" w:rsidP="00A71899">
      <w:pPr>
        <w:shd w:val="clear" w:color="auto" w:fill="FFFFFF" w:themeFill="background1"/>
        <w:spacing w:before="100" w:beforeAutospacing="1" w:after="100" w:afterAutospacing="1"/>
        <w:rPr>
          <w:b/>
          <w:bCs/>
          <w:sz w:val="24"/>
          <w:szCs w:val="24"/>
        </w:rPr>
      </w:pPr>
      <w:r w:rsidRPr="00A71899">
        <w:rPr>
          <w:sz w:val="24"/>
          <w:szCs w:val="24"/>
        </w:rPr>
        <w:t>Usługa zostanie zrealizowana</w:t>
      </w:r>
      <w:r>
        <w:rPr>
          <w:b/>
          <w:bCs/>
          <w:sz w:val="24"/>
          <w:szCs w:val="24"/>
        </w:rPr>
        <w:t xml:space="preserve"> do 31.12.2024 r.</w:t>
      </w:r>
    </w:p>
    <w:p w14:paraId="496FE40A" w14:textId="5A178334" w:rsidR="00A71899" w:rsidRPr="00A71899" w:rsidRDefault="00A71899" w:rsidP="00A71899">
      <w:pPr>
        <w:pStyle w:val="Akapitzlist"/>
        <w:numPr>
          <w:ilvl w:val="0"/>
          <w:numId w:val="29"/>
        </w:numPr>
        <w:spacing w:before="0" w:after="160"/>
        <w:rPr>
          <w:sz w:val="24"/>
          <w:szCs w:val="24"/>
        </w:rPr>
      </w:pPr>
      <w:r w:rsidRPr="00A71899">
        <w:rPr>
          <w:sz w:val="24"/>
          <w:szCs w:val="24"/>
        </w:rPr>
        <w:t>Dostępność dokumentów wymaganych do submisji do Komisji Bioetycznej (np. CV i Certyfikat GCP Głównego Badacza nie starszy niż 2 lata) w ciągu 30 dni od daty zawarcia umowy.</w:t>
      </w:r>
    </w:p>
    <w:p w14:paraId="648C424D" w14:textId="3A6FDB28" w:rsidR="00A71899" w:rsidRPr="00A71899" w:rsidRDefault="00A71899" w:rsidP="00A71899">
      <w:pPr>
        <w:pStyle w:val="Akapitzlist"/>
        <w:numPr>
          <w:ilvl w:val="0"/>
          <w:numId w:val="29"/>
        </w:numPr>
        <w:spacing w:before="0" w:after="160"/>
        <w:rPr>
          <w:sz w:val="24"/>
          <w:szCs w:val="24"/>
        </w:rPr>
      </w:pPr>
      <w:r w:rsidRPr="00A71899">
        <w:rPr>
          <w:sz w:val="24"/>
          <w:szCs w:val="24"/>
        </w:rPr>
        <w:t>Dostępność dokumentów niezbędnych do rozpoczęcia części klinicznej eksperymentu (w tym dostarczenie certyfikatów sprzętu używanego do wykonania diagnostyki pacjentów w badaniu, dostarczenie aktualnych życiorysów i certyfikatów GCP zespołu badawczego, podpisanie umowy) w ciągu 30 dni od daty zawarcia umowy.</w:t>
      </w:r>
    </w:p>
    <w:p w14:paraId="73D868AC" w14:textId="4778489D" w:rsidR="00A71899" w:rsidRPr="00A71899" w:rsidRDefault="00A71899" w:rsidP="00A71899">
      <w:pPr>
        <w:pStyle w:val="Akapitzlist"/>
        <w:numPr>
          <w:ilvl w:val="0"/>
          <w:numId w:val="29"/>
        </w:numPr>
        <w:spacing w:before="0" w:after="160"/>
        <w:rPr>
          <w:sz w:val="24"/>
          <w:szCs w:val="24"/>
        </w:rPr>
      </w:pPr>
      <w:r w:rsidRPr="00A71899">
        <w:rPr>
          <w:sz w:val="24"/>
          <w:szCs w:val="24"/>
        </w:rPr>
        <w:t>Udział w wizycie inicjującej zespołu badawczego wraz z oddelegowaniem obowiązków.</w:t>
      </w:r>
    </w:p>
    <w:p w14:paraId="5034937B" w14:textId="12110FE0" w:rsidR="00A71899" w:rsidRPr="00A71899" w:rsidRDefault="00A71899" w:rsidP="00A71899">
      <w:pPr>
        <w:pStyle w:val="Akapitzlist"/>
        <w:numPr>
          <w:ilvl w:val="0"/>
          <w:numId w:val="29"/>
        </w:numPr>
        <w:spacing w:before="0" w:after="160"/>
        <w:rPr>
          <w:sz w:val="24"/>
          <w:szCs w:val="24"/>
        </w:rPr>
      </w:pPr>
      <w:r w:rsidRPr="00A71899">
        <w:rPr>
          <w:sz w:val="24"/>
          <w:szCs w:val="24"/>
        </w:rPr>
        <w:t>Włączenie ostatniego pacjenta do 31.12.2024</w:t>
      </w:r>
      <w:r>
        <w:rPr>
          <w:sz w:val="24"/>
          <w:szCs w:val="24"/>
        </w:rPr>
        <w:t xml:space="preserve"> r</w:t>
      </w:r>
      <w:r w:rsidRPr="00A71899">
        <w:rPr>
          <w:sz w:val="24"/>
          <w:szCs w:val="24"/>
        </w:rPr>
        <w:t>.</w:t>
      </w:r>
    </w:p>
    <w:p w14:paraId="0C0ABF69" w14:textId="52E5B4F0" w:rsidR="00A71899" w:rsidRPr="00A71899" w:rsidRDefault="00A71899" w:rsidP="00A71899">
      <w:pPr>
        <w:pStyle w:val="Akapitzlist"/>
        <w:numPr>
          <w:ilvl w:val="0"/>
          <w:numId w:val="29"/>
        </w:numPr>
        <w:spacing w:before="0" w:after="160"/>
        <w:rPr>
          <w:sz w:val="24"/>
          <w:szCs w:val="24"/>
        </w:rPr>
      </w:pPr>
      <w:r w:rsidRPr="00A71899">
        <w:rPr>
          <w:sz w:val="24"/>
          <w:szCs w:val="24"/>
        </w:rPr>
        <w:t xml:space="preserve">Uzupełnienie elektronicznych Kart Obserwacji Pacjenta oraz Elektronicznego Systemu- </w:t>
      </w:r>
      <w:proofErr w:type="spellStart"/>
      <w:r w:rsidRPr="00A71899">
        <w:rPr>
          <w:sz w:val="24"/>
          <w:szCs w:val="24"/>
        </w:rPr>
        <w:t>eCRF</w:t>
      </w:r>
      <w:proofErr w:type="spellEnd"/>
      <w:r w:rsidRPr="00A71899">
        <w:rPr>
          <w:sz w:val="24"/>
          <w:szCs w:val="24"/>
        </w:rPr>
        <w:t xml:space="preserve"> zgodnie z zaleceniami zapisów Synopsis (dokument zostanie udostępniony po podpisaniu umowy o poufności).</w:t>
      </w:r>
    </w:p>
    <w:p w14:paraId="6D05B180" w14:textId="77777777" w:rsidR="00A71899" w:rsidRPr="00E372C4" w:rsidRDefault="00A71899" w:rsidP="00A71899">
      <w:pPr>
        <w:pStyle w:val="Default"/>
        <w:spacing w:line="276" w:lineRule="auto"/>
      </w:pPr>
    </w:p>
    <w:p w14:paraId="0838717F" w14:textId="77777777" w:rsidR="00A71899" w:rsidRPr="00A71899" w:rsidRDefault="00A71899" w:rsidP="00A71899">
      <w:pPr>
        <w:spacing w:before="0" w:after="160"/>
        <w:rPr>
          <w:sz w:val="24"/>
          <w:szCs w:val="24"/>
        </w:rPr>
      </w:pPr>
      <w:r w:rsidRPr="00A71899">
        <w:rPr>
          <w:sz w:val="24"/>
          <w:szCs w:val="24"/>
        </w:rPr>
        <w:t>Sponsor może zmienić ramy czasowe realizacji badań przyjęte w zapytaniu ofertowym, jeżeli odpowiedni urząd i/lub właściwa komisja etyczna nie wyda zgody i/lub pozytywnej opinii na prowadzenie niniejszego eksperymentu lub, jeśli z przyczyn niezależnych od Sponsora, przebieg projektu będzie inny, niż zakładany.</w:t>
      </w:r>
    </w:p>
    <w:p w14:paraId="37C9DBF0" w14:textId="45CE1399" w:rsidR="00FC55AB" w:rsidRDefault="005321DE" w:rsidP="005321DE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Zamawiający posiada możliwość udostępnienia wykonawcy sprzętu potrzebnego do wykonania procedur, w tym do przechowywania próbek.</w:t>
      </w:r>
    </w:p>
    <w:p w14:paraId="34EF7186" w14:textId="34533745" w:rsidR="00E133A4" w:rsidRPr="00FC55AB" w:rsidRDefault="00E133A4" w:rsidP="005321DE">
      <w:pPr>
        <w:shd w:val="clear" w:color="auto" w:fill="FFFFFF" w:themeFill="background1"/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sz w:val="24"/>
          <w:szCs w:val="24"/>
        </w:rPr>
        <w:t>Zamawiający dopuszcza możliwość korzystania z usług podwykonawców.</w:t>
      </w:r>
    </w:p>
    <w:sectPr w:rsidR="00E133A4" w:rsidRPr="00FC55AB" w:rsidSect="00702EC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801B" w14:textId="77777777" w:rsidR="00702EC6" w:rsidRDefault="00702EC6" w:rsidP="003760DB">
      <w:pPr>
        <w:spacing w:before="0" w:after="0" w:line="240" w:lineRule="auto"/>
      </w:pPr>
      <w:r>
        <w:separator/>
      </w:r>
    </w:p>
  </w:endnote>
  <w:endnote w:type="continuationSeparator" w:id="0">
    <w:p w14:paraId="06F278C3" w14:textId="77777777" w:rsidR="00702EC6" w:rsidRDefault="00702EC6" w:rsidP="003760DB">
      <w:pPr>
        <w:spacing w:before="0" w:after="0" w:line="240" w:lineRule="auto"/>
      </w:pPr>
      <w:r>
        <w:continuationSeparator/>
      </w:r>
    </w:p>
  </w:endnote>
  <w:endnote w:type="continuationNotice" w:id="1">
    <w:p w14:paraId="3436A7DD" w14:textId="77777777" w:rsidR="00702EC6" w:rsidRDefault="00702EC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4B23" w14:textId="77777777" w:rsidR="00702EC6" w:rsidRDefault="00702EC6" w:rsidP="003760DB">
      <w:pPr>
        <w:spacing w:before="0" w:after="0" w:line="240" w:lineRule="auto"/>
      </w:pPr>
      <w:r>
        <w:separator/>
      </w:r>
    </w:p>
  </w:footnote>
  <w:footnote w:type="continuationSeparator" w:id="0">
    <w:p w14:paraId="3E87646D" w14:textId="77777777" w:rsidR="00702EC6" w:rsidRDefault="00702EC6" w:rsidP="003760DB">
      <w:pPr>
        <w:spacing w:before="0" w:after="0" w:line="240" w:lineRule="auto"/>
      </w:pPr>
      <w:r>
        <w:continuationSeparator/>
      </w:r>
    </w:p>
  </w:footnote>
  <w:footnote w:type="continuationNotice" w:id="1">
    <w:p w14:paraId="6F77B806" w14:textId="77777777" w:rsidR="00702EC6" w:rsidRDefault="00702EC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DC0D" w14:textId="680AF443" w:rsidR="005461A3" w:rsidRDefault="005461A3" w:rsidP="00657A6F">
    <w:pPr>
      <w:pStyle w:val="Nagwek"/>
      <w:tabs>
        <w:tab w:val="clear" w:pos="4536"/>
        <w:tab w:val="clear" w:pos="9072"/>
        <w:tab w:val="left" w:pos="2568"/>
      </w:tabs>
      <w:jc w:val="center"/>
    </w:pPr>
    <w:r>
      <w:rPr>
        <w:noProof/>
      </w:rPr>
      <w:drawing>
        <wp:inline distT="0" distB="0" distL="0" distR="0" wp14:anchorId="0A264C2B" wp14:editId="67775529">
          <wp:extent cx="6101715" cy="820446"/>
          <wp:effectExtent l="0" t="0" r="0" b="0"/>
          <wp:docPr id="4369960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813" cy="827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B3AB91"/>
    <w:multiLevelType w:val="hybridMultilevel"/>
    <w:tmpl w:val="6CE6531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95B04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2AE04B"/>
    <w:multiLevelType w:val="hybridMultilevel"/>
    <w:tmpl w:val="3ACE656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C1FEE"/>
    <w:multiLevelType w:val="hybridMultilevel"/>
    <w:tmpl w:val="D3282CEA"/>
    <w:lvl w:ilvl="0" w:tplc="EE409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07E3B"/>
    <w:multiLevelType w:val="hybridMultilevel"/>
    <w:tmpl w:val="645CB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A64A7"/>
    <w:multiLevelType w:val="hybridMultilevel"/>
    <w:tmpl w:val="CB589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7B08"/>
    <w:multiLevelType w:val="multilevel"/>
    <w:tmpl w:val="62A2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B4DDF"/>
    <w:multiLevelType w:val="hybridMultilevel"/>
    <w:tmpl w:val="645CB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9720A"/>
    <w:multiLevelType w:val="hybridMultilevel"/>
    <w:tmpl w:val="68B4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4BB"/>
    <w:multiLevelType w:val="hybridMultilevel"/>
    <w:tmpl w:val="00A62C0C"/>
    <w:lvl w:ilvl="0" w:tplc="289C6E5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804674"/>
    <w:multiLevelType w:val="hybridMultilevel"/>
    <w:tmpl w:val="66869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A2F2D"/>
    <w:multiLevelType w:val="hybridMultilevel"/>
    <w:tmpl w:val="8E62B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35456"/>
    <w:multiLevelType w:val="hybridMultilevel"/>
    <w:tmpl w:val="AA18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5445"/>
    <w:multiLevelType w:val="hybridMultilevel"/>
    <w:tmpl w:val="3E70B754"/>
    <w:lvl w:ilvl="0" w:tplc="D0C0FD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7468C"/>
    <w:multiLevelType w:val="hybridMultilevel"/>
    <w:tmpl w:val="781C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63B6C"/>
    <w:multiLevelType w:val="hybridMultilevel"/>
    <w:tmpl w:val="3B684F0E"/>
    <w:lvl w:ilvl="0" w:tplc="95BE3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CF4234"/>
    <w:multiLevelType w:val="hybridMultilevel"/>
    <w:tmpl w:val="DA163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22A5A"/>
    <w:multiLevelType w:val="multilevel"/>
    <w:tmpl w:val="38DCC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56E7B52"/>
    <w:multiLevelType w:val="hybridMultilevel"/>
    <w:tmpl w:val="645CB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44421"/>
    <w:multiLevelType w:val="hybridMultilevel"/>
    <w:tmpl w:val="E690B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E64A8"/>
    <w:multiLevelType w:val="hybridMultilevel"/>
    <w:tmpl w:val="D9DEB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B1554"/>
    <w:multiLevelType w:val="hybridMultilevel"/>
    <w:tmpl w:val="645CB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9274A"/>
    <w:multiLevelType w:val="hybridMultilevel"/>
    <w:tmpl w:val="ECEE06C6"/>
    <w:lvl w:ilvl="0" w:tplc="490A94D2">
      <w:start w:val="1"/>
      <w:numFmt w:val="decimal"/>
      <w:lvlText w:val="%1."/>
      <w:lvlJc w:val="left"/>
      <w:pPr>
        <w:ind w:left="1020" w:hanging="360"/>
      </w:pPr>
    </w:lvl>
    <w:lvl w:ilvl="1" w:tplc="D22A0EFA">
      <w:start w:val="1"/>
      <w:numFmt w:val="decimal"/>
      <w:lvlText w:val="%2."/>
      <w:lvlJc w:val="left"/>
      <w:pPr>
        <w:ind w:left="1020" w:hanging="360"/>
      </w:pPr>
    </w:lvl>
    <w:lvl w:ilvl="2" w:tplc="CBC031BE">
      <w:start w:val="1"/>
      <w:numFmt w:val="decimal"/>
      <w:lvlText w:val="%3."/>
      <w:lvlJc w:val="left"/>
      <w:pPr>
        <w:ind w:left="1020" w:hanging="360"/>
      </w:pPr>
    </w:lvl>
    <w:lvl w:ilvl="3" w:tplc="942E3EB4">
      <w:start w:val="1"/>
      <w:numFmt w:val="decimal"/>
      <w:lvlText w:val="%4."/>
      <w:lvlJc w:val="left"/>
      <w:pPr>
        <w:ind w:left="1020" w:hanging="360"/>
      </w:pPr>
    </w:lvl>
    <w:lvl w:ilvl="4" w:tplc="E4C05A90">
      <w:start w:val="1"/>
      <w:numFmt w:val="decimal"/>
      <w:lvlText w:val="%5."/>
      <w:lvlJc w:val="left"/>
      <w:pPr>
        <w:ind w:left="1020" w:hanging="360"/>
      </w:pPr>
    </w:lvl>
    <w:lvl w:ilvl="5" w:tplc="D8387BFC">
      <w:start w:val="1"/>
      <w:numFmt w:val="decimal"/>
      <w:lvlText w:val="%6."/>
      <w:lvlJc w:val="left"/>
      <w:pPr>
        <w:ind w:left="1020" w:hanging="360"/>
      </w:pPr>
    </w:lvl>
    <w:lvl w:ilvl="6" w:tplc="FA8C96A8">
      <w:start w:val="1"/>
      <w:numFmt w:val="decimal"/>
      <w:lvlText w:val="%7."/>
      <w:lvlJc w:val="left"/>
      <w:pPr>
        <w:ind w:left="1020" w:hanging="360"/>
      </w:pPr>
    </w:lvl>
    <w:lvl w:ilvl="7" w:tplc="3BC43E76">
      <w:start w:val="1"/>
      <w:numFmt w:val="decimal"/>
      <w:lvlText w:val="%8."/>
      <w:lvlJc w:val="left"/>
      <w:pPr>
        <w:ind w:left="1020" w:hanging="360"/>
      </w:pPr>
    </w:lvl>
    <w:lvl w:ilvl="8" w:tplc="BA34EAEC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5394545"/>
    <w:multiLevelType w:val="hybridMultilevel"/>
    <w:tmpl w:val="85A46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D201A"/>
    <w:multiLevelType w:val="hybridMultilevel"/>
    <w:tmpl w:val="6888C336"/>
    <w:lvl w:ilvl="0" w:tplc="DC0A0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B3600"/>
    <w:multiLevelType w:val="hybridMultilevel"/>
    <w:tmpl w:val="298079EC"/>
    <w:lvl w:ilvl="0" w:tplc="EE409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E0D41"/>
    <w:multiLevelType w:val="hybridMultilevel"/>
    <w:tmpl w:val="0706E1B6"/>
    <w:lvl w:ilvl="0" w:tplc="BB486C7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FC6BF3"/>
    <w:multiLevelType w:val="hybridMultilevel"/>
    <w:tmpl w:val="645CB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5315E"/>
    <w:multiLevelType w:val="hybridMultilevel"/>
    <w:tmpl w:val="DFA0897E"/>
    <w:lvl w:ilvl="0" w:tplc="E8B28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8644E"/>
    <w:multiLevelType w:val="hybridMultilevel"/>
    <w:tmpl w:val="F03CE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5014">
    <w:abstractNumId w:val="7"/>
  </w:num>
  <w:num w:numId="2" w16cid:durableId="1897084106">
    <w:abstractNumId w:val="21"/>
  </w:num>
  <w:num w:numId="3" w16cid:durableId="1318070725">
    <w:abstractNumId w:val="18"/>
  </w:num>
  <w:num w:numId="4" w16cid:durableId="252857094">
    <w:abstractNumId w:val="27"/>
  </w:num>
  <w:num w:numId="5" w16cid:durableId="1895384324">
    <w:abstractNumId w:val="4"/>
  </w:num>
  <w:num w:numId="6" w16cid:durableId="1423378820">
    <w:abstractNumId w:val="11"/>
  </w:num>
  <w:num w:numId="7" w16cid:durableId="162941472">
    <w:abstractNumId w:val="16"/>
  </w:num>
  <w:num w:numId="8" w16cid:durableId="104231592">
    <w:abstractNumId w:val="5"/>
  </w:num>
  <w:num w:numId="9" w16cid:durableId="810098871">
    <w:abstractNumId w:val="10"/>
  </w:num>
  <w:num w:numId="10" w16cid:durableId="383673814">
    <w:abstractNumId w:val="9"/>
  </w:num>
  <w:num w:numId="11" w16cid:durableId="722369179">
    <w:abstractNumId w:val="13"/>
  </w:num>
  <w:num w:numId="12" w16cid:durableId="1743017394">
    <w:abstractNumId w:val="15"/>
  </w:num>
  <w:num w:numId="13" w16cid:durableId="1953242449">
    <w:abstractNumId w:val="26"/>
  </w:num>
  <w:num w:numId="14" w16cid:durableId="108360974">
    <w:abstractNumId w:val="20"/>
  </w:num>
  <w:num w:numId="15" w16cid:durableId="649284602">
    <w:abstractNumId w:val="3"/>
  </w:num>
  <w:num w:numId="16" w16cid:durableId="177695331">
    <w:abstractNumId w:val="25"/>
  </w:num>
  <w:num w:numId="17" w16cid:durableId="1726640473">
    <w:abstractNumId w:val="6"/>
  </w:num>
  <w:num w:numId="18" w16cid:durableId="1790585575">
    <w:abstractNumId w:val="2"/>
  </w:num>
  <w:num w:numId="19" w16cid:durableId="1871529135">
    <w:abstractNumId w:val="0"/>
  </w:num>
  <w:num w:numId="20" w16cid:durableId="1832984188">
    <w:abstractNumId w:val="23"/>
  </w:num>
  <w:num w:numId="21" w16cid:durableId="1264610184">
    <w:abstractNumId w:val="8"/>
  </w:num>
  <w:num w:numId="22" w16cid:durableId="1416973571">
    <w:abstractNumId w:val="14"/>
  </w:num>
  <w:num w:numId="23" w16cid:durableId="332530468">
    <w:abstractNumId w:val="12"/>
  </w:num>
  <w:num w:numId="24" w16cid:durableId="985550848">
    <w:abstractNumId w:val="19"/>
  </w:num>
  <w:num w:numId="25" w16cid:durableId="1288583871">
    <w:abstractNumId w:val="28"/>
  </w:num>
  <w:num w:numId="26" w16cid:durableId="170876277">
    <w:abstractNumId w:val="1"/>
  </w:num>
  <w:num w:numId="27" w16cid:durableId="1706099297">
    <w:abstractNumId w:val="24"/>
  </w:num>
  <w:num w:numId="28" w16cid:durableId="1167672486">
    <w:abstractNumId w:val="17"/>
  </w:num>
  <w:num w:numId="29" w16cid:durableId="1121148213">
    <w:abstractNumId w:val="29"/>
  </w:num>
  <w:num w:numId="30" w16cid:durableId="211937241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EB"/>
    <w:rsid w:val="0004439C"/>
    <w:rsid w:val="000B305D"/>
    <w:rsid w:val="000C128E"/>
    <w:rsid w:val="000D13AB"/>
    <w:rsid w:val="000E0831"/>
    <w:rsid w:val="00111733"/>
    <w:rsid w:val="00115C63"/>
    <w:rsid w:val="00134097"/>
    <w:rsid w:val="001375EA"/>
    <w:rsid w:val="00145CBC"/>
    <w:rsid w:val="00161D24"/>
    <w:rsid w:val="001665ED"/>
    <w:rsid w:val="001905F7"/>
    <w:rsid w:val="001A1444"/>
    <w:rsid w:val="001F15AE"/>
    <w:rsid w:val="001F4178"/>
    <w:rsid w:val="00221CB7"/>
    <w:rsid w:val="002221D9"/>
    <w:rsid w:val="00246359"/>
    <w:rsid w:val="00247346"/>
    <w:rsid w:val="0025159C"/>
    <w:rsid w:val="00277E27"/>
    <w:rsid w:val="00296C31"/>
    <w:rsid w:val="002A0E06"/>
    <w:rsid w:val="002C4D1B"/>
    <w:rsid w:val="002D0262"/>
    <w:rsid w:val="002D1F1F"/>
    <w:rsid w:val="002D2FFA"/>
    <w:rsid w:val="002F1CDD"/>
    <w:rsid w:val="003173A6"/>
    <w:rsid w:val="00321A4E"/>
    <w:rsid w:val="0034285E"/>
    <w:rsid w:val="00347D67"/>
    <w:rsid w:val="00371F72"/>
    <w:rsid w:val="003760DB"/>
    <w:rsid w:val="003A1747"/>
    <w:rsid w:val="003A3429"/>
    <w:rsid w:val="003A4561"/>
    <w:rsid w:val="003C41A6"/>
    <w:rsid w:val="003D55EF"/>
    <w:rsid w:val="003E3E37"/>
    <w:rsid w:val="004003DB"/>
    <w:rsid w:val="0040072F"/>
    <w:rsid w:val="00403EC1"/>
    <w:rsid w:val="00420DC3"/>
    <w:rsid w:val="00431074"/>
    <w:rsid w:val="00434E9A"/>
    <w:rsid w:val="00434EC8"/>
    <w:rsid w:val="00440923"/>
    <w:rsid w:val="0044270B"/>
    <w:rsid w:val="00446921"/>
    <w:rsid w:val="00452A8F"/>
    <w:rsid w:val="00483F5F"/>
    <w:rsid w:val="00485C44"/>
    <w:rsid w:val="004A08D1"/>
    <w:rsid w:val="004E7E5F"/>
    <w:rsid w:val="004F11EB"/>
    <w:rsid w:val="004F6C74"/>
    <w:rsid w:val="00500F98"/>
    <w:rsid w:val="005038B9"/>
    <w:rsid w:val="00506F32"/>
    <w:rsid w:val="00507272"/>
    <w:rsid w:val="00517374"/>
    <w:rsid w:val="00521474"/>
    <w:rsid w:val="005252F6"/>
    <w:rsid w:val="005321DE"/>
    <w:rsid w:val="005335E4"/>
    <w:rsid w:val="005461A3"/>
    <w:rsid w:val="005A29E4"/>
    <w:rsid w:val="005C2325"/>
    <w:rsid w:val="005C6B5A"/>
    <w:rsid w:val="005E7AB7"/>
    <w:rsid w:val="005F4D13"/>
    <w:rsid w:val="00614208"/>
    <w:rsid w:val="00614C8A"/>
    <w:rsid w:val="00657A6F"/>
    <w:rsid w:val="006671F9"/>
    <w:rsid w:val="00677BB1"/>
    <w:rsid w:val="006836F1"/>
    <w:rsid w:val="006D1FEA"/>
    <w:rsid w:val="006E2559"/>
    <w:rsid w:val="006F2FA3"/>
    <w:rsid w:val="00702EC6"/>
    <w:rsid w:val="00727515"/>
    <w:rsid w:val="00734539"/>
    <w:rsid w:val="007653B1"/>
    <w:rsid w:val="00782D2B"/>
    <w:rsid w:val="007908CC"/>
    <w:rsid w:val="007B4BAB"/>
    <w:rsid w:val="007D1A44"/>
    <w:rsid w:val="007D282D"/>
    <w:rsid w:val="007D4E11"/>
    <w:rsid w:val="007E179D"/>
    <w:rsid w:val="007E628F"/>
    <w:rsid w:val="007E7554"/>
    <w:rsid w:val="00801FB1"/>
    <w:rsid w:val="00816C40"/>
    <w:rsid w:val="008410F1"/>
    <w:rsid w:val="00845904"/>
    <w:rsid w:val="00847BF0"/>
    <w:rsid w:val="00873479"/>
    <w:rsid w:val="00884B29"/>
    <w:rsid w:val="008A1C0D"/>
    <w:rsid w:val="008D1223"/>
    <w:rsid w:val="008E51AF"/>
    <w:rsid w:val="009159B7"/>
    <w:rsid w:val="0092159B"/>
    <w:rsid w:val="009248CC"/>
    <w:rsid w:val="00950993"/>
    <w:rsid w:val="009637A1"/>
    <w:rsid w:val="009836C3"/>
    <w:rsid w:val="00990ADB"/>
    <w:rsid w:val="009A3D17"/>
    <w:rsid w:val="009B62B9"/>
    <w:rsid w:val="009C121F"/>
    <w:rsid w:val="009C6B5D"/>
    <w:rsid w:val="009C6E84"/>
    <w:rsid w:val="009D41CF"/>
    <w:rsid w:val="009F562E"/>
    <w:rsid w:val="00A2332C"/>
    <w:rsid w:val="00A43E4B"/>
    <w:rsid w:val="00A56933"/>
    <w:rsid w:val="00A57F41"/>
    <w:rsid w:val="00A7109D"/>
    <w:rsid w:val="00A71899"/>
    <w:rsid w:val="00A729F0"/>
    <w:rsid w:val="00A87D75"/>
    <w:rsid w:val="00A912F8"/>
    <w:rsid w:val="00A94096"/>
    <w:rsid w:val="00AA566D"/>
    <w:rsid w:val="00AD56EF"/>
    <w:rsid w:val="00AE456B"/>
    <w:rsid w:val="00AE46C5"/>
    <w:rsid w:val="00AE6AE1"/>
    <w:rsid w:val="00AE719A"/>
    <w:rsid w:val="00B0335A"/>
    <w:rsid w:val="00B17E5D"/>
    <w:rsid w:val="00B24C83"/>
    <w:rsid w:val="00B257B9"/>
    <w:rsid w:val="00B52282"/>
    <w:rsid w:val="00BC366A"/>
    <w:rsid w:val="00BC57BA"/>
    <w:rsid w:val="00BC689B"/>
    <w:rsid w:val="00BC6E47"/>
    <w:rsid w:val="00BD360B"/>
    <w:rsid w:val="00BF4F8D"/>
    <w:rsid w:val="00C142B2"/>
    <w:rsid w:val="00C224BF"/>
    <w:rsid w:val="00C24422"/>
    <w:rsid w:val="00C27B0E"/>
    <w:rsid w:val="00C42AF3"/>
    <w:rsid w:val="00C506E1"/>
    <w:rsid w:val="00C55999"/>
    <w:rsid w:val="00C61255"/>
    <w:rsid w:val="00C91665"/>
    <w:rsid w:val="00C93BF2"/>
    <w:rsid w:val="00C96BB0"/>
    <w:rsid w:val="00C96F48"/>
    <w:rsid w:val="00CD1915"/>
    <w:rsid w:val="00CE68B4"/>
    <w:rsid w:val="00CF7C77"/>
    <w:rsid w:val="00D13D76"/>
    <w:rsid w:val="00D1794C"/>
    <w:rsid w:val="00D33984"/>
    <w:rsid w:val="00D47A83"/>
    <w:rsid w:val="00D52176"/>
    <w:rsid w:val="00D77CCE"/>
    <w:rsid w:val="00D842EA"/>
    <w:rsid w:val="00D95931"/>
    <w:rsid w:val="00D96E0A"/>
    <w:rsid w:val="00DA3BC7"/>
    <w:rsid w:val="00DB5997"/>
    <w:rsid w:val="00DC4207"/>
    <w:rsid w:val="00DD5702"/>
    <w:rsid w:val="00DE3228"/>
    <w:rsid w:val="00DE3416"/>
    <w:rsid w:val="00E0640E"/>
    <w:rsid w:val="00E11201"/>
    <w:rsid w:val="00E13296"/>
    <w:rsid w:val="00E133A4"/>
    <w:rsid w:val="00E14521"/>
    <w:rsid w:val="00E25DA6"/>
    <w:rsid w:val="00E274B3"/>
    <w:rsid w:val="00E30C7E"/>
    <w:rsid w:val="00E36BE8"/>
    <w:rsid w:val="00E372C4"/>
    <w:rsid w:val="00E44B76"/>
    <w:rsid w:val="00E46A63"/>
    <w:rsid w:val="00E635EE"/>
    <w:rsid w:val="00E93766"/>
    <w:rsid w:val="00EA4AF4"/>
    <w:rsid w:val="00EB554E"/>
    <w:rsid w:val="00EC6F44"/>
    <w:rsid w:val="00EE44F7"/>
    <w:rsid w:val="00EF50F3"/>
    <w:rsid w:val="00F15AD4"/>
    <w:rsid w:val="00F168A3"/>
    <w:rsid w:val="00F202E7"/>
    <w:rsid w:val="00F408FE"/>
    <w:rsid w:val="00F47BA3"/>
    <w:rsid w:val="00F65482"/>
    <w:rsid w:val="00F750EE"/>
    <w:rsid w:val="00F935C2"/>
    <w:rsid w:val="00F96DAE"/>
    <w:rsid w:val="00FA2944"/>
    <w:rsid w:val="00FA4671"/>
    <w:rsid w:val="00FA548B"/>
    <w:rsid w:val="00FC55AB"/>
    <w:rsid w:val="00FD428A"/>
    <w:rsid w:val="00FD7C95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72F47"/>
  <w15:chartTrackingRefBased/>
  <w15:docId w15:val="{755633C8-25F9-43EA-B6E6-4D88CD9C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57A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A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A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A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A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A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A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A6F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A6F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60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0DB"/>
  </w:style>
  <w:style w:type="paragraph" w:styleId="Stopka">
    <w:name w:val="footer"/>
    <w:basedOn w:val="Normalny"/>
    <w:link w:val="StopkaZnak"/>
    <w:uiPriority w:val="99"/>
    <w:unhideWhenUsed/>
    <w:rsid w:val="003760D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0DB"/>
  </w:style>
  <w:style w:type="paragraph" w:styleId="Akapitzlist">
    <w:name w:val="List Paragraph"/>
    <w:aliases w:val="Numerowanie,List Paragraph,Akapit z listą BS,Kolorowa lista — akcent 11,Akapit z listą2"/>
    <w:basedOn w:val="Normalny"/>
    <w:link w:val="AkapitzlistZnak"/>
    <w:uiPriority w:val="34"/>
    <w:qFormat/>
    <w:rsid w:val="003760DB"/>
    <w:pPr>
      <w:ind w:left="720"/>
      <w:contextualSpacing/>
    </w:pPr>
  </w:style>
  <w:style w:type="table" w:styleId="Tabela-Siatka">
    <w:name w:val="Table Grid"/>
    <w:basedOn w:val="Standardowy"/>
    <w:uiPriority w:val="39"/>
    <w:rsid w:val="003760D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E11201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6E0A"/>
    <w:pPr>
      <w:spacing w:before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6E0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E0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66A"/>
    <w:pPr>
      <w:spacing w:before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66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CD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CD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sid w:val="00B0335A"/>
  </w:style>
  <w:style w:type="paragraph" w:styleId="Poprawka">
    <w:name w:val="Revision"/>
    <w:hidden/>
    <w:uiPriority w:val="99"/>
    <w:semiHidden/>
    <w:rsid w:val="00BC57BA"/>
    <w:pPr>
      <w:spacing w:before="0" w:after="0" w:line="240" w:lineRule="auto"/>
    </w:pPr>
  </w:style>
  <w:style w:type="paragraph" w:styleId="Legenda">
    <w:name w:val="caption"/>
    <w:basedOn w:val="Normalny"/>
    <w:rsid w:val="00277E27"/>
    <w:pPr>
      <w:suppressLineNumbers/>
      <w:suppressAutoHyphens/>
      <w:autoSpaceDN w:val="0"/>
      <w:spacing w:before="120" w:after="120"/>
      <w:textAlignment w:val="baseline"/>
    </w:pPr>
    <w:rPr>
      <w:rFonts w:ascii="Arial" w:eastAsia="Arial" w:hAnsi="Arial" w:cs="Arial"/>
      <w:i/>
      <w:iCs/>
      <w:color w:val="000000"/>
      <w:kern w:val="3"/>
      <w:sz w:val="24"/>
      <w:szCs w:val="24"/>
      <w:lang w:val="en-US" w:eastAsia="zh-CN" w:bidi="hi-IN"/>
    </w:rPr>
  </w:style>
  <w:style w:type="character" w:styleId="Uwydatnienie">
    <w:name w:val="Emphasis"/>
    <w:basedOn w:val="Domylnaczcionkaakapitu"/>
    <w:uiPriority w:val="20"/>
    <w:qFormat/>
    <w:rsid w:val="00E635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57A6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A6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A6F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A6F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A6F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A6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A6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A6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A6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657A6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7A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A6F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7A6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657A6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7A6F"/>
    <w:rPr>
      <w:i/>
      <w:iCs/>
      <w:color w:val="404040" w:themeColor="text1" w:themeTint="BF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7A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A6F"/>
    <w:rPr>
      <w:i/>
      <w:iCs/>
      <w:color w:val="2F5496" w:themeColor="accent1" w:themeShade="BF"/>
      <w:kern w:val="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657A6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57A6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9a50e5f1b72707ccf872b435c5b3d822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8464aaf4cde72e4224c64c7bea6db1ac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13344-092E-4982-A602-A311A9D3D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40EAC-7036-423D-A6FE-E5A76346821D}">
  <ds:schemaRefs>
    <ds:schemaRef ds:uri="http://schemas.microsoft.com/office/2006/metadata/properties"/>
    <ds:schemaRef ds:uri="http://schemas.microsoft.com/office/infopath/2007/PartnerControls"/>
    <ds:schemaRef ds:uri="b57c744c-6e89-4005-8de9-c47887f3137a"/>
    <ds:schemaRef ds:uri="07adde8c-4cfc-491d-818f-bef021595cf0"/>
  </ds:schemaRefs>
</ds:datastoreItem>
</file>

<file path=customXml/itemProps3.xml><?xml version="1.0" encoding="utf-8"?>
<ds:datastoreItem xmlns:ds="http://schemas.openxmlformats.org/officeDocument/2006/customXml" ds:itemID="{10CF46D4-3227-4BAC-B83A-66909F9B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Rogalewicz</dc:creator>
  <cp:keywords/>
  <dc:description/>
  <cp:lastModifiedBy>Agnieszka Lichwała</cp:lastModifiedBy>
  <cp:revision>3</cp:revision>
  <dcterms:created xsi:type="dcterms:W3CDTF">2024-02-28T12:36:00Z</dcterms:created>
  <dcterms:modified xsi:type="dcterms:W3CDTF">2024-02-28T12:44:00Z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0x0101002FC4FB6D122CBE4FBCE3395938BCADA2</vt:lpwstr>
  </property>
  <property fmtid="{D5CDD505-2E9C-101B-9397-08002B2CF9AE}" pid="3" name="MediaServiceImageTags">
    <vt:lpwstr/>
  </property>
</Properties>
</file>