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08" w:tblpY="0"/>
        <w:tblW w:w="2957.0000000000005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"/>
        <w:gridCol w:w="2438"/>
        <w:gridCol w:w="283"/>
        <w:tblGridChange w:id="0">
          <w:tblGrid>
            <w:gridCol w:w="236"/>
            <w:gridCol w:w="2438"/>
            <w:gridCol w:w="28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Pieczęć oferenta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6063.999999999998" w:tblpY="0"/>
        <w:tblW w:w="30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"/>
        <w:tblGridChange w:id="0">
          <w:tblGrid>
            <w:gridCol w:w="3008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Załącznik nr 4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OFERTA</w:t>
      </w:r>
    </w:p>
    <w:p w:rsidR="00000000" w:rsidDel="00000000" w:rsidP="00000000" w:rsidRDefault="00000000" w:rsidRPr="00000000" w14:paraId="00000015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 zapytania ofertowego nr </w:t>
      </w:r>
      <w:r w:rsidDel="00000000" w:rsidR="00000000" w:rsidRPr="00000000">
        <w:rPr>
          <w:b w:val="1"/>
          <w:rtl w:val="0"/>
        </w:rPr>
        <w:t xml:space="preserve">2024-49831-184312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567"/>
        <w:jc w:val="center"/>
        <w:rPr>
          <w:b w:val="1"/>
        </w:rPr>
      </w:pPr>
      <w:r w:rsidDel="00000000" w:rsidR="00000000" w:rsidRPr="00000000">
        <w:rPr>
          <w:rtl w:val="0"/>
        </w:rPr>
        <w:t xml:space="preserve">na wykonanie usługi polegającej na </w:t>
      </w:r>
      <w:r w:rsidDel="00000000" w:rsidR="00000000" w:rsidRPr="00000000">
        <w:rPr>
          <w:rtl w:val="0"/>
        </w:rPr>
        <w:t xml:space="preserve">przeprowadzeniu badania przedklinicznego z bioterapeutykiem ARB NGB na modelu sztucznego jelita.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567"/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I ADRES OFERENTA:</w:t>
      </w:r>
    </w:p>
    <w:tbl>
      <w:tblPr>
        <w:tblStyle w:val="Table3"/>
        <w:tblW w:w="8896.0" w:type="dxa"/>
        <w:jc w:val="left"/>
        <w:tblInd w:w="311.0" w:type="dxa"/>
        <w:tblLayout w:type="fixed"/>
        <w:tblLook w:val="0400"/>
      </w:tblPr>
      <w:tblGrid>
        <w:gridCol w:w="1665"/>
        <w:gridCol w:w="566"/>
        <w:gridCol w:w="6665"/>
        <w:tblGridChange w:id="0">
          <w:tblGrid>
            <w:gridCol w:w="1665"/>
            <w:gridCol w:w="566"/>
            <w:gridCol w:w="666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Nazwa: 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Adres: 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Nr tel: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NIP: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REGON: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Nr KRS (jeśli dotyczy)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Adres e-mail: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I ADRES ZAMAWIAJĄCEGO:</w:t>
      </w:r>
    </w:p>
    <w:p w:rsidR="00000000" w:rsidDel="00000000" w:rsidP="00000000" w:rsidRDefault="00000000" w:rsidRPr="00000000" w14:paraId="00000032">
      <w:pPr>
        <w:spacing w:line="259" w:lineRule="auto"/>
        <w:ind w:firstLine="426"/>
        <w:jc w:val="both"/>
        <w:rPr/>
      </w:pPr>
      <w:r w:rsidDel="00000000" w:rsidR="00000000" w:rsidRPr="00000000">
        <w:rPr>
          <w:rtl w:val="0"/>
        </w:rPr>
        <w:t xml:space="preserve">Human Biome Institute S.A.</w:t>
      </w:r>
    </w:p>
    <w:p w:rsidR="00000000" w:rsidDel="00000000" w:rsidP="00000000" w:rsidRDefault="00000000" w:rsidRPr="00000000" w14:paraId="00000033">
      <w:pPr>
        <w:spacing w:line="259" w:lineRule="auto"/>
        <w:ind w:firstLine="426"/>
        <w:jc w:val="both"/>
        <w:rPr/>
      </w:pPr>
      <w:r w:rsidDel="00000000" w:rsidR="00000000" w:rsidRPr="00000000">
        <w:rPr>
          <w:rtl w:val="0"/>
        </w:rPr>
        <w:t xml:space="preserve">ul. Starodworska 1,</w:t>
      </w:r>
    </w:p>
    <w:p w:rsidR="00000000" w:rsidDel="00000000" w:rsidP="00000000" w:rsidRDefault="00000000" w:rsidRPr="00000000" w14:paraId="00000034">
      <w:pPr>
        <w:spacing w:line="259" w:lineRule="auto"/>
        <w:ind w:firstLine="426"/>
        <w:jc w:val="both"/>
        <w:rPr/>
      </w:pPr>
      <w:r w:rsidDel="00000000" w:rsidR="00000000" w:rsidRPr="00000000">
        <w:rPr>
          <w:rtl w:val="0"/>
        </w:rPr>
        <w:t xml:space="preserve">80-137, Gdańsk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425" w:right="0" w:hanging="4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 OFERTY </w:t>
      </w:r>
    </w:p>
    <w:tbl>
      <w:tblPr>
        <w:tblStyle w:val="Table4"/>
        <w:tblW w:w="10650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8865"/>
        <w:gridCol w:w="1200"/>
        <w:tblGridChange w:id="0">
          <w:tblGrid>
            <w:gridCol w:w="585"/>
            <w:gridCol w:w="8865"/>
            <w:gridCol w:w="1200"/>
          </w:tblGrid>
        </w:tblGridChange>
      </w:tblGrid>
      <w:tr>
        <w:trPr>
          <w:cantSplit w:val="0"/>
          <w:trHeight w:val="8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</w:t>
            </w:r>
            <w:r w:rsidDel="00000000" w:rsidR="00000000" w:rsidRPr="00000000">
              <w:rPr>
                <w:rtl w:val="0"/>
              </w:rPr>
              <w:t xml:space="preserve">amówienie dotyczy wykonania badania na modelu sztucznego przewodu pokarmowego SHIME, SHIME TWIN z zastosowaniem Bioterapeutyku Nowej Genracji (rodzaju Live Biotherapeutic Product, który rozwijany jest przez Human Biome Institute) w dekolonizacji bakterii antybiotykoopornych (ARB) - jak niżej. Eksperyment będzie prowadzone po zasiedleniu układów badawczych mikrobiotą jelitową pacjentów skolonizowanych ARB, którą dostarczy HBI.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spełnia/nie spełnia*</w:t>
            </w:r>
          </w:p>
        </w:tc>
      </w:tr>
      <w:tr>
        <w:trPr>
          <w:cantSplit w:val="0"/>
          <w:trHeight w:val="8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Przedmiotem zamówienia jest przeprowadzenie eksperymentów w modelu sztucznego jelita grubego SHIME TWIN i opracowanie próbek pobranych w trakcie eksperymentu przy użyciu narzędzia metabolomicznego/platformy metabolomicznej w następującej konstelacji: SHIME TWIN zostanie zaszczepiony próbkami kału pacjentów skolonizowanych bakteriami opornymi na antybiotyki (po 4 eksperymenty z bakteriami posiadającymi mechanizmy oporności CPE, VRE i ESBL) - łącznie 12 podwójnych eksperymentów (próbki dostarczy HBI). Ramię badane otrzyma bioterapeutyk ARB NGB a ramię kontrolne zostanie potraktowane transplantacją mikrobioty jelitowej preparatami HBI, aby zaobserwować mechanizmy dekolonizacji bakterii ARB po zastosowaniu ARB NGB vs. FMT. Łącznie w aparacie SHIME TWIN zostaną przeprowadzone 24 eksperymenty (2x12). Czas trwania eksperymentu to cztery tygodnie od podania ARB NGB/FMT do sztucznego jelita. Po 4 tygodniach od podania zostanie oceniony efekt dekolonizacji ARB. Pobieranie próbek odbywać się będzie raz w tygodniu w tygodniach 2-4 oraz w tygodniu 1 w dniach 3, 5 i 7. Ponieważ wiemy, że wszczepienie mikrobioty i stabilizacja mikrobioty w aparacie SHIME trwa tydzień oraz planujemy antybiotykoterapię przygotowującą (np. metronidazol) to łączny czas pojedynczego eksperymentu wyniesie 5-6 tygodni dla każdej serii eksperymentów. W trakcie eksperymentów będą pobierane próbki do badania metabolomicznego (metabolomika nietargetowana) i sekwencjonowania Nanoporowego: przed antybiotykami, przed NGB/FMT, dni 3, 5, 7, 14, 21, 28 po NGB/FMT; łącznie 8 x 24, co daje 192 próbki.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Oferent pobierze wszystkie wskazane próbki, wykona analizy dekolonizacji ARB metodą standardowych posiewów mikrobiologicznych, przeprowadzi także pełne analizy metabolomiczne, z użyciem metabolomiki nietargetowanej i oceną statystyczną, biologiczną obserwowanych zmian w obu układach i w określonych ramach czasowych przedstawi te informacje w raporcie.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spełnia/nie spełnia*</w:t>
            </w:r>
          </w:p>
        </w:tc>
      </w:tr>
      <w:tr>
        <w:trPr>
          <w:cantSplit w:val="0"/>
          <w:trHeight w:val="8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Oferent zobowiązuje się do ścisłej współpracy z Zamawiającym na każdym etapie realizacji zamówienia.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spełnia/nie spełnia*</w:t>
            </w:r>
          </w:p>
        </w:tc>
      </w:tr>
      <w:tr>
        <w:trPr>
          <w:cantSplit w:val="0"/>
          <w:trHeight w:val="8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Oferent zobowiązuje się do pozostawanie w stałym kontakcie z zamawiającym oraz do umożliwienia pełnego wglądu w dokumentację prowadzonych prac.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spełnia/nie spełnia*</w:t>
            </w:r>
          </w:p>
        </w:tc>
      </w:tr>
    </w:tbl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02.0" w:type="dxa"/>
        <w:jc w:val="left"/>
        <w:tblInd w:w="-8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4"/>
        <w:gridCol w:w="6835"/>
        <w:gridCol w:w="2193"/>
        <w:tblGridChange w:id="0">
          <w:tblGrid>
            <w:gridCol w:w="1674"/>
            <w:gridCol w:w="6835"/>
            <w:gridCol w:w="2193"/>
          </w:tblGrid>
        </w:tblGridChange>
      </w:tblGrid>
      <w:tr>
        <w:trPr>
          <w:cantSplit w:val="0"/>
          <w:trHeight w:val="110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b w:val="1"/>
                <w:color w:val="000000"/>
                <w:highlight w:val="yellow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Harmonogram realizacji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Realizacja usługi rozpocznie się 01.06.2027 r. i trwać będzie przez 10 miesięcy, tj. do 31.03.2028 r.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Nieterminowa realizacja będzie obwarowana naliczeniem kar umownych. </w:t>
            </w: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spełnia/nie spełnia*</w:t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24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*niepotrzebne skreślić</w:t>
      </w:r>
    </w:p>
    <w:p w:rsidR="00000000" w:rsidDel="00000000" w:rsidP="00000000" w:rsidRDefault="00000000" w:rsidRPr="00000000" w14:paraId="00000059">
      <w:pPr>
        <w:spacing w:after="240" w:before="12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425" w:right="0" w:hanging="4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WARTOŚCI OFERTY</w:t>
      </w:r>
    </w:p>
    <w:tbl>
      <w:tblPr>
        <w:tblStyle w:val="Table6"/>
        <w:tblW w:w="928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94"/>
        <w:gridCol w:w="4488"/>
        <w:tblGridChange w:id="0">
          <w:tblGrid>
            <w:gridCol w:w="4794"/>
            <w:gridCol w:w="44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Wysokość proponowanej przez Oferenta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sumy ceny netto</w:t>
            </w:r>
            <w:r w:rsidDel="00000000" w:rsidR="00000000" w:rsidRPr="00000000">
              <w:rPr>
                <w:rtl w:val="0"/>
              </w:rPr>
              <w:t xml:space="preserve"> (w PLN lub podać walutę)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Wysokość proponowanej przez Oferenta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sumy ceny brutto</w:t>
            </w:r>
            <w:r w:rsidDel="00000000" w:rsidR="00000000" w:rsidRPr="00000000">
              <w:rPr>
                <w:rtl w:val="0"/>
              </w:rPr>
              <w:t xml:space="preserve"> (w PLN lub podać walutę)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DATA PRZYGOTOWANIA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przygotowania oferty: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OSOBY DO KONTAKTU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nazwisko: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 telefonu: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e-mail: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OŚWIADCZENIA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cena 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awiera wszystkie koszty związane z realizacją przedmiotu oferty określone w polu PRZEDMIOT ZAMÓWIENIA oraz </w:t>
      </w:r>
      <w:r w:rsidDel="00000000" w:rsidR="00000000" w:rsidRPr="00000000">
        <w:rPr>
          <w:rtl w:val="0"/>
        </w:rPr>
        <w:t xml:space="preserve">załączniku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nr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do Zapytania Ofertowego „Szczegółowy opis przedmiotu zamówienia”.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Oświadczam, że zapoznałem się z zapytaniem ofertowym oraz jego załącznikami, nie wnoszę do niego zastrzeżeń i przyjmuję warunki w nim zawarte oraz zdobyłem konieczne informacje do przygotowania oferty.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Oświadczam, że posiadam odpowiednie kwalifikacje oraz doświadczenie w realizacji przedmiotu oferty. Oświadczam, że dysponuje odpowiednimi zasobami finansowymi do wykonania przedmiotu oferty.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Oświadczam, że znajduje się w sytuacji ekonomicznej i finansowej pozwalającej na realizację zamówienia.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Oświadczam, że zapoznałem się z klauzulą dotyczącą przetwarzania danych osobowych </w:t>
      </w:r>
      <w:r w:rsidDel="00000000" w:rsidR="00000000" w:rsidRPr="00000000">
        <w:rPr>
          <w:rtl w:val="0"/>
        </w:rPr>
        <w:t xml:space="preserve">stanowiącą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załącznik nr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do zapytania ofertowego. Wyrażam zgodę na przetwarzanie danych zawartych w ofercie zgodnie z informacjami zawartymi w </w:t>
      </w:r>
      <w:r w:rsidDel="00000000" w:rsidR="00000000" w:rsidRPr="00000000">
        <w:rPr>
          <w:rtl w:val="0"/>
        </w:rPr>
        <w:t xml:space="preserve">klauzuli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dotyczącej przetwarzania danych osobowych </w:t>
      </w:r>
      <w:r w:rsidDel="00000000" w:rsidR="00000000" w:rsidRPr="00000000">
        <w:rPr>
          <w:rtl w:val="0"/>
        </w:rPr>
        <w:t xml:space="preserve">stanowiącej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załącznik nr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do zapytania ofertowego.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Oświadczam, że jestem związany niniejszą ofertą przez okres nie dłużej niż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dni licząc od daty upływu terminu składania ofert.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Oświadczam, że w przypadku wyboru mojej oferty za najkorzystniejszą, </w:t>
      </w:r>
      <w:r w:rsidDel="00000000" w:rsidR="00000000" w:rsidRPr="00000000">
        <w:rPr>
          <w:rtl w:val="0"/>
        </w:rPr>
        <w:t xml:space="preserve">zobowiązuję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się zawrzeć umowę na wykonanie przedmiotu oferty w miejscu i terminie wskazanych przez Zamawiającego.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Oświadczam, że gwarantuję wykonanie całości niniejszego zamówienia zgodnie z wymogami zawartymi  zapytaniu ofertowym oraz jego załącznikami, w szczególności zgodnie ze wszystkimi wymogami określonymi w załączniku nr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do zapytania ofertowego „Szczegółowy opis przedmiotu zamówienia”.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Pod groźbą odpowiedzialności karnej oświadczamy, iż załączone do oferty dokumenty opisują stan faktyczny i prawny, aktualny na dzień przygotowania oferty.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ZAŁĄCZNIKI DO OFERTY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Pełnomocnictwo (jeśli dotyczy).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Oświadczenie o braku powiązań osobowych/kapitałowych z Zamawiającym (Załącznik nr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do Zapytania Ofertowego).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Oświadczenie potwierdzające spełnienie warunku udziału w pos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tępowaniu tj. osoby zdolne do wykonania zamówienia - Załącznik nr 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do Zapytania Ofertowego.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Oświadczenie potwierdzające spełnienie warunku udziału w postępowaniu tj. wiedza i doświadczenie - Załącznik nr 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  <w:t xml:space="preserve"> do Zapytania Ofertowego.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Oświadczenie potwierdzające spełnienie warunku udziału w postępowaniu tj. potencjał techniczny - Załącznik nr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do Zapytania Ofertowe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PODPISY OSÓB UPEŁNOMOCNIONYCH DO REPREZENTOWANIA OFERENTA I SKŁADANIA OŚWIADCZEŃ WOLI W JEGO IMIENIU</w:t>
      </w:r>
    </w:p>
    <w:p w:rsidR="00000000" w:rsidDel="00000000" w:rsidP="00000000" w:rsidRDefault="00000000" w:rsidRPr="00000000" w14:paraId="0000007E">
      <w:pPr>
        <w:spacing w:after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16"/>
        <w:gridCol w:w="6964"/>
        <w:tblGridChange w:id="0">
          <w:tblGrid>
            <w:gridCol w:w="2216"/>
            <w:gridCol w:w="6964"/>
          </w:tblGrid>
        </w:tblGridChange>
      </w:tblGrid>
      <w:tr>
        <w:trPr>
          <w:cantSplit w:val="0"/>
          <w:trHeight w:val="1091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…………………………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………….…………………………………………………………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Miejscowość i data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Pieczątka firmowa oraz czytelny podpis upoważnionego(ych) przedstawiciela(i) Oferenta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(pożądany podpis imieniem i nazwiskiem lub pieczątka z imieniem i nazwiskiem)</w:t>
            </w:r>
          </w:p>
        </w:tc>
      </w:tr>
    </w:tbl>
    <w:p w:rsidR="00000000" w:rsidDel="00000000" w:rsidP="00000000" w:rsidRDefault="00000000" w:rsidRPr="00000000" w14:paraId="0000008A">
      <w:pPr>
        <w:spacing w:after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2381" w:left="1417" w:right="1417" w:header="708" w:footer="1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923"/>
      </w:tabs>
      <w:spacing w:after="0" w:before="0" w:line="240" w:lineRule="auto"/>
      <w:ind w:left="-426" w:right="-851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923"/>
      </w:tabs>
      <w:spacing w:after="0" w:before="0" w:line="240" w:lineRule="auto"/>
      <w:ind w:left="0" w:right="-851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709" w:right="-567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774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04" w:hanging="72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207A5"/>
    <w:rPr>
      <w:rFonts w:ascii="Times New Roman" w:cs="Times New Roman" w:eastAsia="Times New Roman" w:hAnsi="Times New Roma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Legenda">
    <w:name w:val="caption"/>
    <w:basedOn w:val="Normalny"/>
    <w:next w:val="Normalny"/>
    <w:qFormat w:val="1"/>
    <w:rsid w:val="00016926"/>
    <w:rPr>
      <w:rFonts w:ascii="Courier New" w:hAnsi="Courier New"/>
      <w:b w:val="1"/>
      <w:szCs w:val="20"/>
    </w:rPr>
  </w:style>
  <w:style w:type="paragraph" w:styleId="Nagwek">
    <w:name w:val="header"/>
    <w:basedOn w:val="Normalny"/>
    <w:link w:val="NagwekZnak"/>
    <w:uiPriority w:val="99"/>
    <w:unhideWhenUsed w:val="1"/>
    <w:rsid w:val="000169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styleId="NagwekZnak" w:customStyle="1">
    <w:name w:val="Nagłówek Znak"/>
    <w:basedOn w:val="Domylnaczcionkaakapitu"/>
    <w:link w:val="Nagwek"/>
    <w:uiPriority w:val="99"/>
    <w:rsid w:val="00016926"/>
    <w:rPr>
      <w:rFonts w:ascii="Calibri" w:cs="Times New Roman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 w:val="1"/>
    <w:rsid w:val="000169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styleId="StopkaZnak" w:customStyle="1">
    <w:name w:val="Stopka Znak"/>
    <w:basedOn w:val="Domylnaczcionkaakapitu"/>
    <w:link w:val="Stopka"/>
    <w:uiPriority w:val="99"/>
    <w:rsid w:val="00016926"/>
    <w:rPr>
      <w:rFonts w:ascii="Calibri" w:cs="Times New Roman" w:eastAsia="Calibri" w:hAnsi="Calibri"/>
      <w:sz w:val="22"/>
      <w:szCs w:val="22"/>
      <w:lang w:eastAsia="en-US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34"/>
    <w:qFormat w:val="1"/>
    <w:rsid w:val="00016926"/>
    <w:pPr>
      <w:widowControl w:val="0"/>
      <w:autoSpaceDE w:val="0"/>
      <w:autoSpaceDN w:val="0"/>
      <w:adjustRightInd w:val="0"/>
      <w:ind w:left="720"/>
      <w:contextualSpacing w:val="1"/>
    </w:pPr>
    <w:rPr>
      <w:rFonts w:ascii="Times New Roman Normalny" w:hAnsi="Times New Roman Normalny"/>
      <w:sz w:val="20"/>
      <w:szCs w:val="20"/>
    </w:rPr>
  </w:style>
  <w:style w:type="character" w:styleId="Teksttreci2" w:customStyle="1">
    <w:name w:val="Tekst treści (2)_"/>
    <w:link w:val="Teksttreci20"/>
    <w:rsid w:val="00016926"/>
    <w:rPr>
      <w:rFonts w:ascii="Arial" w:cs="Arial" w:eastAsia="Arial" w:hAnsi="Arial"/>
      <w:shd w:color="auto" w:fill="ffffff" w:val="clear"/>
    </w:rPr>
  </w:style>
  <w:style w:type="paragraph" w:styleId="Teksttreci20" w:customStyle="1">
    <w:name w:val="Tekst treści (2)"/>
    <w:basedOn w:val="Normalny"/>
    <w:link w:val="Teksttreci2"/>
    <w:rsid w:val="00016926"/>
    <w:pPr>
      <w:widowControl w:val="0"/>
      <w:shd w:color="auto" w:fill="ffffff" w:val="clear"/>
      <w:spacing w:before="1080" w:line="739" w:lineRule="exact"/>
      <w:jc w:val="both"/>
    </w:pPr>
    <w:rPr>
      <w:rFonts w:ascii="Arial" w:cs="Arial" w:eastAsia="Arial" w:hAnsi="Arial"/>
    </w:rPr>
  </w:style>
  <w:style w:type="paragraph" w:styleId="Default" w:customStyle="1">
    <w:name w:val="Default"/>
    <w:rsid w:val="00016926"/>
    <w:pPr>
      <w:autoSpaceDE w:val="0"/>
      <w:autoSpaceDN w:val="0"/>
      <w:adjustRightInd w:val="0"/>
    </w:pPr>
    <w:rPr>
      <w:rFonts w:ascii="Calibri" w:cs="Calibri" w:eastAsia="Calibri" w:hAnsi="Calibri"/>
      <w:color w:val="00000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E3443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E3443D"/>
    <w:pPr>
      <w:spacing w:after="200"/>
    </w:pPr>
    <w:rPr>
      <w:rFonts w:ascii="Calibri" w:eastAsia="Calibri" w:hAnsi="Calibri"/>
      <w:lang w:eastAsia="en-US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E3443D"/>
    <w:rPr>
      <w:rFonts w:ascii="Calibri" w:cs="Times New Roman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E3443D"/>
    <w:rPr>
      <w:b w:val="1"/>
      <w:bCs w:val="1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E3443D"/>
    <w:rPr>
      <w:rFonts w:ascii="Calibri" w:cs="Times New Roman" w:eastAsia="Calibri" w:hAnsi="Calibri"/>
      <w:b w:val="1"/>
      <w:bCs w:val="1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E3443D"/>
    <w:rPr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E3443D"/>
    <w:rPr>
      <w:rFonts w:ascii="Times New Roman" w:cs="Times New Roman" w:eastAsia="Calibri" w:hAnsi="Times New Roman"/>
      <w:sz w:val="18"/>
      <w:szCs w:val="18"/>
      <w:lang w:eastAsia="en-US"/>
    </w:rPr>
  </w:style>
  <w:style w:type="character" w:styleId="AkapitzlistZnak" w:customStyle="1">
    <w:name w:val="Akapit z listą Znak"/>
    <w:aliases w:val="Liste à puces retrait droite Znak,Kolorowa lista — akcent 11 Znak"/>
    <w:link w:val="Akapitzlist"/>
    <w:uiPriority w:val="34"/>
    <w:qFormat w:val="1"/>
    <w:rsid w:val="00F736E9"/>
    <w:rPr>
      <w:rFonts w:ascii="Times New Roman Normalny" w:cs="Times New Roman" w:eastAsia="Times New Roman" w:hAnsi="Times New Roman Normalny"/>
      <w:sz w:val="20"/>
      <w:szCs w:val="20"/>
    </w:rPr>
  </w:style>
  <w:style w:type="table" w:styleId="Tabela-Siatka">
    <w:name w:val="Table Grid"/>
    <w:basedOn w:val="Standardowy"/>
    <w:uiPriority w:val="39"/>
    <w:rsid w:val="00854AD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textualspellingandgrammarerror" w:customStyle="1">
    <w:name w:val="contextualspellingandgrammarerror"/>
    <w:basedOn w:val="Domylnaczcionkaakapitu"/>
    <w:rsid w:val="00E247AC"/>
  </w:style>
  <w:style w:type="character" w:styleId="normaltextrun" w:customStyle="1">
    <w:name w:val="normaltextrun"/>
    <w:basedOn w:val="Domylnaczcionkaakapitu"/>
    <w:rsid w:val="00E247AC"/>
  </w:style>
  <w:style w:type="character" w:styleId="spellingerror" w:customStyle="1">
    <w:name w:val="spellingerror"/>
    <w:basedOn w:val="Domylnaczcionkaakapitu"/>
    <w:rsid w:val="00E247AC"/>
  </w:style>
  <w:style w:type="paragraph" w:styleId="paragraph" w:customStyle="1">
    <w:name w:val="paragraph"/>
    <w:basedOn w:val="Normalny"/>
    <w:rsid w:val="001207A5"/>
    <w:pPr>
      <w:spacing w:after="100" w:afterAutospacing="1" w:before="100" w:beforeAutospacing="1"/>
    </w:pPr>
  </w:style>
  <w:style w:type="character" w:styleId="eop" w:customStyle="1">
    <w:name w:val="eop"/>
    <w:basedOn w:val="Domylnaczcionkaakapitu"/>
    <w:rsid w:val="001207A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28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njR2ILJogTW7DmVgTngburUqtA==">CgMxLjA4AHIhMW8wYUZ3aE1GcTd2emJ6bmZoX3pVUllnX1BIdzV3UDVu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2017-11-24T10:49:00Z</dcterms:created>
  <dc:creator>Aneta Ogorzałek</dc:creator>
</cp:coreProperties>
</file>