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FD" w:rsidRDefault="003A6BFD" w:rsidP="003A6BFD">
      <w:pPr>
        <w:pStyle w:val="Tekstpodstawowy"/>
        <w:spacing w:before="11"/>
        <w:jc w:val="right"/>
        <w:rPr>
          <w:b/>
        </w:rPr>
      </w:pPr>
      <w:r w:rsidRPr="009A69DD">
        <w:rPr>
          <w:b/>
        </w:rPr>
        <w:t xml:space="preserve">Załącznik nr </w:t>
      </w:r>
      <w:r w:rsidR="000046E1">
        <w:rPr>
          <w:b/>
        </w:rPr>
        <w:t>1</w:t>
      </w:r>
    </w:p>
    <w:p w:rsidR="003048E0" w:rsidRDefault="003048E0" w:rsidP="003A6BFD">
      <w:pPr>
        <w:pStyle w:val="Tekstpodstawowy"/>
        <w:spacing w:before="11"/>
        <w:jc w:val="right"/>
        <w:rPr>
          <w:b/>
        </w:rPr>
      </w:pPr>
    </w:p>
    <w:p w:rsidR="003048E0" w:rsidRDefault="003048E0" w:rsidP="003A6BFD">
      <w:pPr>
        <w:pStyle w:val="Tekstpodstawowy"/>
        <w:spacing w:before="11"/>
        <w:jc w:val="right"/>
        <w:rPr>
          <w:b/>
        </w:rPr>
      </w:pPr>
    </w:p>
    <w:p w:rsidR="003048E0" w:rsidRPr="009A69DD" w:rsidRDefault="003048E0" w:rsidP="003A6BFD">
      <w:pPr>
        <w:pStyle w:val="Tekstpodstawowy"/>
        <w:spacing w:before="11"/>
        <w:jc w:val="right"/>
        <w:rPr>
          <w:b/>
        </w:rPr>
      </w:pPr>
    </w:p>
    <w:p w:rsidR="003A6BFD" w:rsidRDefault="000046E1" w:rsidP="003A6BFD">
      <w:pPr>
        <w:pStyle w:val="Tekstpodstawowy"/>
        <w:rPr>
          <w:b/>
        </w:rPr>
      </w:pPr>
      <w:r>
        <w:rPr>
          <w:b/>
        </w:rPr>
        <w:t>OPIS PRZEDMIOTU ZAMÓWIENIA</w:t>
      </w:r>
    </w:p>
    <w:p w:rsidR="003A6BFD" w:rsidRDefault="003A6BFD" w:rsidP="003A6BFD">
      <w:pPr>
        <w:pStyle w:val="Tekstpodstawowy"/>
        <w:spacing w:before="8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88"/>
        <w:gridCol w:w="723"/>
        <w:gridCol w:w="3505"/>
      </w:tblGrid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Lp.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Nazwa sprzętu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Szt.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Specyfikacja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1.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PC REFLEKTOR ZE SZKRZYDEŁKAMI 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10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reflektor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pc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led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3200k ze skrzydełkami 360, temperatura barwowa min. 3200K, kąt świecenia min. 6 stopni, max. 70 stopni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moc od 200 do 300 W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2.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REFLEKTOR PROFILOWY 1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2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reflektor profilowy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led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25-50 kąt 200/30, Maksymalny pobór mocy: 250 W, źródło światła: 200 W COB LED, kąt świecenia min. 15°-28° / 20°-45°, tryby pracy DMX: min. 3/4 kanałów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3.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REFLEKTOR PROFILOWY 2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2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reflektor profilowy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led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25-50 kąt 200/30, Maksymalny pobór mocy: 250 W, źródło światła: 200 W COB LED, kąt świecenia min. 15°-28° / 20°-45°, tryby pracy DMX: min. 3/4 kanałów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4.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RUCHOMA GŁOWA TYPU WASH</w:t>
            </w:r>
            <w:r w:rsidRPr="00430889">
              <w:rPr>
                <w:rFonts w:ascii="Arial" w:hAnsi="Arial" w:cs="Arial"/>
                <w:lang w:bidi="ar-SA"/>
              </w:rPr>
              <w:tab/>
              <w:t>zmiana na LEDBAR RGBW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10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proofErr w:type="spellStart"/>
            <w:r w:rsidRPr="00430889">
              <w:rPr>
                <w:rFonts w:ascii="Arial" w:hAnsi="Arial" w:cs="Arial"/>
                <w:lang w:bidi="ar-SA"/>
              </w:rPr>
              <w:t>led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bar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rgbw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długość min. 18 x 10W 4w1 QCL RGBW (jednorodne mieszanie kolorów), kąt świecenia min. 45 stopni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5.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REFLEKTOR TYPU PAR 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4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par 64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led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cob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rgbwauv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300w ze skrzydełkami 360, Kąt świecenia (min) 10°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Kąt świecenia (max) 60°, Barwa Ciepły biały (2200K), naturalny biały (5200K)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Strumień świetlny 60° - 2900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lux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, 10° - 825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lux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(Dystans 5m), ZOOM Tak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lastRenderedPageBreak/>
              <w:t>6.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STEROWNIK OŚWIETLENIA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1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lang w:bidi="ar-SA"/>
              </w:rPr>
            </w:pPr>
            <w:r w:rsidRPr="00430889">
              <w:rPr>
                <w:rFonts w:ascii="Arial" w:hAnsi="Arial" w:cs="Arial"/>
                <w:b/>
                <w:bCs/>
                <w:lang w:bidi="ar-SA"/>
              </w:rPr>
              <w:t>Specyfikacja sprzętowa: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proofErr w:type="spellStart"/>
            <w:r w:rsidRPr="00430889">
              <w:rPr>
                <w:rFonts w:ascii="Arial" w:hAnsi="Arial" w:cs="Arial"/>
                <w:lang w:bidi="ar-SA"/>
              </w:rPr>
              <w:t>Uniwersy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bezpośrednio z konsolety (przez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Artnet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>/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sACN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>/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Pathport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>): min. 6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Bezpośrednie wyjścia DMX: min. 4, wbudowany moduł WIFI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Grand Master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Fader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: min. 1,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crossfade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Master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Fader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>: min. 1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proofErr w:type="spellStart"/>
            <w:r w:rsidRPr="00430889">
              <w:rPr>
                <w:rFonts w:ascii="Arial" w:hAnsi="Arial" w:cs="Arial"/>
                <w:lang w:bidi="ar-SA"/>
              </w:rPr>
              <w:t>Enkodery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atrybutów: min. 8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Wbudowany wyświetlacz min. 10,1" HD Multi-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Touch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>, zewnętrzny monitor o rozdzielczości do 1920x1200 - HDMI: 1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Porty USB: min. 5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lang w:bidi="ar-SA"/>
              </w:rPr>
            </w:pPr>
            <w:r w:rsidRPr="00430889">
              <w:rPr>
                <w:rFonts w:ascii="Arial" w:hAnsi="Arial" w:cs="Arial"/>
                <w:b/>
                <w:bCs/>
                <w:lang w:bidi="ar-SA"/>
              </w:rPr>
              <w:t>Specyfikacja oprogramowania: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Maks. liczba kanałów DMX: min. 3000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Maks. liczba obsługiwanych urządzeń: min. 3000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Liczba obsługiwanych warstw serwera mediów: min. 50 (każda inna zawartość)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7.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KOMPLET TRANSMITERÓW SYGNAŁÓW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2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Min. 8-kanałowy izolowany wzmacniacz i dystrybutor sygnału DMX, w pełni zgodny z DMX512, ze 100% izolacją elektryczną między wejściami i wyjścia, wskaźniki LED dla sygnału i zasilania, przełącznik rezystora zakończenia linii, wejście/przejście 3pin XLR.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Min. 1 wejście / 8 wyjść i DMX przez. elektroniczna izolacja między wejściami i wyjściami.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Przełącznik rezystora zakończenia linii.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Wejście i wyjście sygnału z 3-pinowym XLR.</w:t>
            </w:r>
          </w:p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lastRenderedPageBreak/>
              <w:t>Wskaźniki zasilania i sygnału: min. 2x wyjścia USB, 5 Volt 1 Amper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lastRenderedPageBreak/>
              <w:t>8.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CASE NA 2 SZT. RUCHOMEJ GŁOWY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1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 xml:space="preserve">Zestaw 2 </w:t>
            </w:r>
            <w:proofErr w:type="spellStart"/>
            <w:r w:rsidRPr="00430889">
              <w:rPr>
                <w:rFonts w:ascii="Arial" w:hAnsi="Arial" w:cs="Arial"/>
                <w:lang w:bidi="ar-SA"/>
              </w:rPr>
              <w:t>case’ów</w:t>
            </w:r>
            <w:proofErr w:type="spellEnd"/>
            <w:r w:rsidRPr="00430889">
              <w:rPr>
                <w:rFonts w:ascii="Arial" w:hAnsi="Arial" w:cs="Arial"/>
                <w:lang w:bidi="ar-SA"/>
              </w:rPr>
              <w:t xml:space="preserve"> typu walizka na 4 Led bary, środek wyklejony pianką techniczną, sklejka czarny fenol o grubości 6,5mm</w:t>
            </w:r>
          </w:p>
        </w:tc>
      </w:tr>
      <w:tr w:rsidR="0072427D" w:rsidRPr="00430889" w:rsidTr="0072427D">
        <w:tc>
          <w:tcPr>
            <w:tcW w:w="846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9.</w:t>
            </w:r>
          </w:p>
        </w:tc>
        <w:tc>
          <w:tcPr>
            <w:tcW w:w="3988" w:type="dxa"/>
            <w:shd w:val="clear" w:color="auto" w:fill="auto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CASE NA REFLEKTOR TYPU PAR</w:t>
            </w:r>
          </w:p>
        </w:tc>
        <w:tc>
          <w:tcPr>
            <w:tcW w:w="723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center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1</w:t>
            </w:r>
          </w:p>
        </w:tc>
        <w:tc>
          <w:tcPr>
            <w:tcW w:w="3505" w:type="dxa"/>
          </w:tcPr>
          <w:p w:rsidR="0072427D" w:rsidRPr="00430889" w:rsidRDefault="0072427D" w:rsidP="00430889">
            <w:pPr>
              <w:widowControl/>
              <w:autoSpaceDE/>
              <w:autoSpaceDN/>
              <w:spacing w:before="120" w:after="120" w:line="288" w:lineRule="auto"/>
              <w:jc w:val="both"/>
              <w:rPr>
                <w:rFonts w:ascii="Arial" w:hAnsi="Arial" w:cs="Arial"/>
                <w:lang w:bidi="ar-SA"/>
              </w:rPr>
            </w:pPr>
            <w:r w:rsidRPr="00430889">
              <w:rPr>
                <w:rFonts w:ascii="Arial" w:hAnsi="Arial" w:cs="Arial"/>
                <w:lang w:bidi="ar-SA"/>
              </w:rPr>
              <w:t>Zestaw 2 pokrowców 12-komorowych PAR LED, skrzynia z 4 kółkami z hamulcem, 2 zamki motylkowe, grubość ścianki min. 7mm gąbki wypełniającej, pasujące do dostarczonych reflektorów PAR LED</w:t>
            </w:r>
          </w:p>
        </w:tc>
      </w:tr>
    </w:tbl>
    <w:p w:rsidR="00FB7156" w:rsidRDefault="00FB7156" w:rsidP="00430889">
      <w:pPr>
        <w:ind w:left="496"/>
      </w:pPr>
    </w:p>
    <w:p w:rsidR="00430889" w:rsidRPr="003A6BFD" w:rsidRDefault="00430889" w:rsidP="00430889">
      <w:pPr>
        <w:ind w:left="496"/>
      </w:pPr>
      <w:r>
        <w:t xml:space="preserve">Dostawa </w:t>
      </w:r>
      <w:r w:rsidR="00B0202C">
        <w:t xml:space="preserve">sprzętu </w:t>
      </w:r>
      <w:r w:rsidR="00477B9D">
        <w:t xml:space="preserve">nastąpi </w:t>
      </w:r>
      <w:bookmarkStart w:id="0" w:name="_GoBack"/>
      <w:bookmarkEnd w:id="0"/>
      <w:r w:rsidR="00E77BE3">
        <w:t xml:space="preserve">najpóźniej </w:t>
      </w:r>
      <w:r>
        <w:t>do dnia 27.12.2023 r.</w:t>
      </w:r>
    </w:p>
    <w:sectPr w:rsidR="00430889" w:rsidRPr="003A6B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8BC" w:rsidRDefault="000118BC">
      <w:r>
        <w:separator/>
      </w:r>
    </w:p>
  </w:endnote>
  <w:endnote w:type="continuationSeparator" w:id="0">
    <w:p w:rsidR="000118BC" w:rsidRDefault="0001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8BC" w:rsidRDefault="000118BC">
      <w:r>
        <w:separator/>
      </w:r>
    </w:p>
  </w:footnote>
  <w:footnote w:type="continuationSeparator" w:id="0">
    <w:p w:rsidR="000118BC" w:rsidRDefault="0001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156" w:rsidRDefault="005E7C0B">
    <w:pPr>
      <w:pStyle w:val="Nagwek"/>
      <w:jc w:val="center"/>
    </w:pPr>
    <w:r>
      <w:rPr>
        <w:noProof/>
      </w:rPr>
      <w:drawing>
        <wp:inline distT="0" distB="0" distL="114300" distR="114300">
          <wp:extent cx="5745480" cy="638810"/>
          <wp:effectExtent l="0" t="0" r="7620" b="889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-feprreg-rrp-wl-ueefrr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C6DC3"/>
    <w:multiLevelType w:val="hybridMultilevel"/>
    <w:tmpl w:val="58E6E392"/>
    <w:lvl w:ilvl="0" w:tplc="E856D9DA">
      <w:start w:val="1"/>
      <w:numFmt w:val="lowerLetter"/>
      <w:lvlText w:val="%1)"/>
      <w:lvlJc w:val="left"/>
      <w:pPr>
        <w:ind w:left="12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296403E">
      <w:numFmt w:val="bullet"/>
      <w:lvlText w:val="•"/>
      <w:lvlJc w:val="left"/>
      <w:pPr>
        <w:ind w:left="2102" w:hanging="360"/>
      </w:pPr>
      <w:rPr>
        <w:rFonts w:hint="default"/>
        <w:lang w:val="pl-PL" w:eastAsia="pl-PL" w:bidi="pl-PL"/>
      </w:rPr>
    </w:lvl>
    <w:lvl w:ilvl="2" w:tplc="04883F52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3" w:tplc="9A320B5C">
      <w:numFmt w:val="bullet"/>
      <w:lvlText w:val="•"/>
      <w:lvlJc w:val="left"/>
      <w:pPr>
        <w:ind w:left="3867" w:hanging="360"/>
      </w:pPr>
      <w:rPr>
        <w:rFonts w:hint="default"/>
        <w:lang w:val="pl-PL" w:eastAsia="pl-PL" w:bidi="pl-PL"/>
      </w:rPr>
    </w:lvl>
    <w:lvl w:ilvl="4" w:tplc="238E5CFE">
      <w:numFmt w:val="bullet"/>
      <w:lvlText w:val="•"/>
      <w:lvlJc w:val="left"/>
      <w:pPr>
        <w:ind w:left="4750" w:hanging="360"/>
      </w:pPr>
      <w:rPr>
        <w:rFonts w:hint="default"/>
        <w:lang w:val="pl-PL" w:eastAsia="pl-PL" w:bidi="pl-PL"/>
      </w:rPr>
    </w:lvl>
    <w:lvl w:ilvl="5" w:tplc="EB026C38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10B8CA8A">
      <w:numFmt w:val="bullet"/>
      <w:lvlText w:val="•"/>
      <w:lvlJc w:val="left"/>
      <w:pPr>
        <w:ind w:left="6515" w:hanging="360"/>
      </w:pPr>
      <w:rPr>
        <w:rFonts w:hint="default"/>
        <w:lang w:val="pl-PL" w:eastAsia="pl-PL" w:bidi="pl-PL"/>
      </w:rPr>
    </w:lvl>
    <w:lvl w:ilvl="7" w:tplc="8376B4E8">
      <w:numFmt w:val="bullet"/>
      <w:lvlText w:val="•"/>
      <w:lvlJc w:val="left"/>
      <w:pPr>
        <w:ind w:left="7398" w:hanging="360"/>
      </w:pPr>
      <w:rPr>
        <w:rFonts w:hint="default"/>
        <w:lang w:val="pl-PL" w:eastAsia="pl-PL" w:bidi="pl-PL"/>
      </w:rPr>
    </w:lvl>
    <w:lvl w:ilvl="8" w:tplc="A7C6C918">
      <w:numFmt w:val="bullet"/>
      <w:lvlText w:val="•"/>
      <w:lvlJc w:val="left"/>
      <w:pPr>
        <w:ind w:left="828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5D"/>
    <w:rsid w:val="000046E1"/>
    <w:rsid w:val="000118BC"/>
    <w:rsid w:val="000A60FB"/>
    <w:rsid w:val="00142574"/>
    <w:rsid w:val="001F45A7"/>
    <w:rsid w:val="003048E0"/>
    <w:rsid w:val="0038268B"/>
    <w:rsid w:val="00396BE9"/>
    <w:rsid w:val="003A6BFD"/>
    <w:rsid w:val="00430889"/>
    <w:rsid w:val="004355A8"/>
    <w:rsid w:val="00477B9D"/>
    <w:rsid w:val="00485A3D"/>
    <w:rsid w:val="00502F48"/>
    <w:rsid w:val="00571810"/>
    <w:rsid w:val="005E286B"/>
    <w:rsid w:val="005E7C0B"/>
    <w:rsid w:val="00620AC6"/>
    <w:rsid w:val="0072427D"/>
    <w:rsid w:val="0076165D"/>
    <w:rsid w:val="008570DC"/>
    <w:rsid w:val="00864B2C"/>
    <w:rsid w:val="00964570"/>
    <w:rsid w:val="00981709"/>
    <w:rsid w:val="00A72DF9"/>
    <w:rsid w:val="00B0202C"/>
    <w:rsid w:val="00E77BE3"/>
    <w:rsid w:val="00EF14CC"/>
    <w:rsid w:val="00F05D2E"/>
    <w:rsid w:val="00F158F6"/>
    <w:rsid w:val="00F67D35"/>
    <w:rsid w:val="00F913DA"/>
    <w:rsid w:val="00FB7156"/>
    <w:rsid w:val="00FE46AA"/>
    <w:rsid w:val="16021A3F"/>
    <w:rsid w:val="1B39150C"/>
    <w:rsid w:val="21636B38"/>
    <w:rsid w:val="21CE7130"/>
    <w:rsid w:val="27D01EF5"/>
    <w:rsid w:val="2A527C17"/>
    <w:rsid w:val="2A9F243F"/>
    <w:rsid w:val="61252C1F"/>
    <w:rsid w:val="67CD5736"/>
    <w:rsid w:val="695059DE"/>
    <w:rsid w:val="6CD82F7E"/>
    <w:rsid w:val="794635C2"/>
    <w:rsid w:val="7E2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20ABB"/>
  <w15:docId w15:val="{40D16701-49FD-4F45-9CB7-E75BCAED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B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rsid w:val="003A6BFD"/>
    <w:pPr>
      <w:spacing w:before="87"/>
      <w:ind w:left="46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pPr>
      <w:ind w:left="720"/>
      <w:contextualSpacing/>
    </w:pPr>
  </w:style>
  <w:style w:type="paragraph" w:customStyle="1" w:styleId="mp0t0a">
    <w:name w:val="mp0t_0a"/>
    <w:basedOn w:val="Normalny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A6BFD"/>
    <w:rPr>
      <w:rFonts w:ascii="Calibri" w:eastAsia="Calibri" w:hAnsi="Calibri" w:cs="Calibri"/>
      <w:b/>
      <w:bCs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3A6BF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BFD"/>
    <w:rPr>
      <w:rFonts w:ascii="Calibri" w:eastAsia="Calibri" w:hAnsi="Calibri" w:cs="Calibri"/>
      <w:sz w:val="22"/>
      <w:szCs w:val="22"/>
      <w:lang w:bidi="pl-PL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3A6BFD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308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11F75773B604C9933642ACBF0D27F" ma:contentTypeVersion="18" ma:contentTypeDescription="Utwórz nowy dokument." ma:contentTypeScope="" ma:versionID="5988470fa675cc9951b163fe5f330d0c">
  <xsd:schema xmlns:xsd="http://www.w3.org/2001/XMLSchema" xmlns:xs="http://www.w3.org/2001/XMLSchema" xmlns:p="http://schemas.microsoft.com/office/2006/metadata/properties" xmlns:ns2="0fdbca29-fdbd-4821-825f-4e98795815b8" xmlns:ns3="28d2ed1e-056e-4f97-80b1-796aa4dbcab6" targetNamespace="http://schemas.microsoft.com/office/2006/metadata/properties" ma:root="true" ma:fieldsID="a98ab42f67acea54d7c8e454ed575289" ns2:_="" ns3:_="">
    <xsd:import namespace="0fdbca29-fdbd-4821-825f-4e98795815b8"/>
    <xsd:import namespace="28d2ed1e-056e-4f97-80b1-796aa4db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Dataprodukcji" minOccurs="0"/>
                <xsd:element ref="ns2:MediaLengthInSeconds" minOccurs="0"/>
                <xsd:element ref="ns2:MediaServiceLocation" minOccurs="0"/>
                <xsd:element ref="ns2:czego_x0020_dotyczy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bca29-fdbd-4821-825f-4e9879581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aprodukcji" ma:index="19" nillable="true" ma:displayName="Data produkcji" ma:format="DateOnly" ma:internalName="Dataprodukcji">
      <xsd:simpleType>
        <xsd:restriction base="dms:DateTim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zego_x0020_dotyczy" ma:index="22" nillable="true" ma:displayName="czego dotyczy" ma:internalName="czego_x0020_dotyczy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abde42ef-4216-424a-b609-aea4b0695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ed1e-056e-4f97-80b1-796aa4dbc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6789c2-dcc9-4977-b8d8-f14871b78bbf}" ma:internalName="TaxCatchAll" ma:showField="CatchAllData" ma:web="28d2ed1e-056e-4f97-80b1-796aa4dbc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44AC3-1C53-42D8-9B2B-FDAD558AF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93675-28EC-4FA2-AEFA-9081FEF20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bca29-fdbd-4821-825f-4e98795815b8"/>
    <ds:schemaRef ds:uri="28d2ed1e-056e-4f97-80b1-796aa4dbc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 Szymańska</dc:creator>
  <cp:lastModifiedBy>Monika Hibner</cp:lastModifiedBy>
  <cp:revision>8</cp:revision>
  <cp:lastPrinted>2022-09-23T10:55:00Z</cp:lastPrinted>
  <dcterms:created xsi:type="dcterms:W3CDTF">2023-11-29T12:41:00Z</dcterms:created>
  <dcterms:modified xsi:type="dcterms:W3CDTF">2023-12-11T19:53:00Z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1045-11.2.0.11306</vt:lpwstr>
  </property>
  <property fmtid="{D5CDD505-2E9C-101B-9397-08002B2CF9AE}" pid="3" name="ICV">
    <vt:lpwstr>BEAD0263A3C043AEB97A5A5842BE3BDC</vt:lpwstr>
  </property>
</Properties>
</file>