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A03D0" w14:textId="248DB168" w:rsidR="00CE6D4B" w:rsidRPr="008934EA" w:rsidRDefault="008934EA" w:rsidP="008934EA">
      <w:pPr>
        <w:jc w:val="right"/>
        <w:rPr>
          <w:b/>
          <w:bCs/>
        </w:rPr>
      </w:pPr>
      <w:r w:rsidRPr="008934EA">
        <w:rPr>
          <w:b/>
          <w:bCs/>
        </w:rPr>
        <w:t>Załącznik nr 1 do zapytania ofertowego – opis przedmiotu zamówienia</w:t>
      </w:r>
    </w:p>
    <w:p w14:paraId="2F211E47" w14:textId="77777777" w:rsidR="00CE6D4B" w:rsidRDefault="00CE6D4B">
      <w:pPr>
        <w:widowControl/>
        <w:suppressAutoHyphens w:val="0"/>
        <w:jc w:val="right"/>
        <w:outlineLvl w:val="0"/>
        <w:rPr>
          <w:b/>
          <w:bCs/>
          <w:sz w:val="22"/>
          <w:szCs w:val="22"/>
          <w:u w:val="single"/>
        </w:rPr>
      </w:pPr>
    </w:p>
    <w:p w14:paraId="249349DC" w14:textId="017D77F1" w:rsidR="00CE6D4B" w:rsidRDefault="008934EA">
      <w:pPr>
        <w:widowControl/>
        <w:suppressAutoHyphens w:val="0"/>
        <w:ind w:left="36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Luboń, dnia </w:t>
      </w:r>
      <w:r w:rsidR="00381023">
        <w:rPr>
          <w:sz w:val="22"/>
          <w:szCs w:val="22"/>
        </w:rPr>
        <w:t>30</w:t>
      </w:r>
      <w:r>
        <w:rPr>
          <w:sz w:val="22"/>
          <w:szCs w:val="22"/>
        </w:rPr>
        <w:t xml:space="preserve"> listopada 2023 r. </w:t>
      </w:r>
    </w:p>
    <w:p w14:paraId="41853C03" w14:textId="77777777" w:rsidR="00CE6D4B" w:rsidRDefault="00CE6D4B">
      <w:pPr>
        <w:widowControl/>
        <w:suppressAutoHyphens w:val="0"/>
        <w:ind w:left="360"/>
        <w:jc w:val="right"/>
        <w:outlineLvl w:val="0"/>
        <w:rPr>
          <w:b/>
          <w:bCs/>
          <w:sz w:val="22"/>
          <w:szCs w:val="22"/>
          <w:u w:val="single"/>
        </w:rPr>
      </w:pPr>
    </w:p>
    <w:p w14:paraId="2F5C16AF" w14:textId="3B0DB7BB" w:rsidR="00CE6D4B" w:rsidRDefault="00404356">
      <w:pPr>
        <w:widowControl/>
        <w:suppressAutoHyphens w:val="0"/>
        <w:ind w:left="360"/>
        <w:outlineLvl w:val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OPIS PRZEDMIOTU ZAMÓWIENIA (specyfikacja warunków zamówienia)</w:t>
      </w:r>
    </w:p>
    <w:p w14:paraId="7ADEF802" w14:textId="77777777" w:rsidR="00CE6D4B" w:rsidRDefault="008934EA">
      <w:pPr>
        <w:widowControl/>
        <w:suppressAutoHyphens w:val="0"/>
        <w:ind w:left="36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zwana dalej w skrócie SWZ</w:t>
      </w:r>
    </w:p>
    <w:p w14:paraId="56DD6D05" w14:textId="77777777" w:rsidR="00CE6D4B" w:rsidRDefault="00CE6D4B">
      <w:pPr>
        <w:widowControl/>
        <w:suppressAutoHyphens w:val="0"/>
        <w:ind w:left="360"/>
        <w:rPr>
          <w:b/>
          <w:bCs/>
          <w:sz w:val="22"/>
          <w:szCs w:val="22"/>
          <w:u w:val="single"/>
        </w:rPr>
      </w:pPr>
    </w:p>
    <w:p w14:paraId="07AC423F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>Rozdział I – Nazwa (firma) oraz adres zamawiającego</w:t>
      </w:r>
    </w:p>
    <w:p w14:paraId="76760DCD" w14:textId="77777777" w:rsidR="00CE6D4B" w:rsidRDefault="008934EA">
      <w:pPr>
        <w:pStyle w:val="Akapitzlist"/>
        <w:widowControl/>
        <w:numPr>
          <w:ilvl w:val="0"/>
          <w:numId w:val="1"/>
        </w:numPr>
        <w:suppressAutoHyphens w:val="0"/>
        <w:jc w:val="both"/>
      </w:pPr>
      <w:r>
        <w:rPr>
          <w:bCs/>
          <w:sz w:val="22"/>
          <w:szCs w:val="22"/>
        </w:rPr>
        <w:t>Miasto Luboń, 62-030 Luboń, pl. E Bojanowskiego 2.</w:t>
      </w:r>
    </w:p>
    <w:p w14:paraId="29FC640A" w14:textId="77777777" w:rsidR="00CE6D4B" w:rsidRDefault="008934EA">
      <w:pPr>
        <w:numPr>
          <w:ilvl w:val="0"/>
          <w:numId w:val="1"/>
        </w:numPr>
        <w:contextualSpacing/>
        <w:jc w:val="both"/>
      </w:pPr>
      <w:r>
        <w:rPr>
          <w:bCs/>
          <w:sz w:val="22"/>
          <w:szCs w:val="22"/>
          <w:u w:val="single"/>
        </w:rPr>
        <w:t>Jednostka prowadząca sprawę:</w:t>
      </w:r>
      <w:r>
        <w:rPr>
          <w:bCs/>
          <w:sz w:val="22"/>
          <w:szCs w:val="22"/>
        </w:rPr>
        <w:t xml:space="preserve"> </w:t>
      </w:r>
    </w:p>
    <w:p w14:paraId="5296A322" w14:textId="77777777" w:rsidR="00CE6D4B" w:rsidRDefault="008934EA">
      <w:pPr>
        <w:pStyle w:val="Akapitzlist"/>
        <w:widowControl/>
        <w:numPr>
          <w:ilvl w:val="1"/>
          <w:numId w:val="24"/>
        </w:numPr>
        <w:suppressAutoHyphens w:val="0"/>
        <w:ind w:left="1276" w:hanging="567"/>
        <w:jc w:val="both"/>
      </w:pPr>
      <w:r>
        <w:rPr>
          <w:bCs/>
          <w:sz w:val="22"/>
          <w:szCs w:val="22"/>
        </w:rPr>
        <w:t xml:space="preserve">Urząd Miasta </w:t>
      </w:r>
      <w:r>
        <w:rPr>
          <w:bCs/>
          <w:sz w:val="22"/>
          <w:szCs w:val="22"/>
        </w:rPr>
        <w:t>Luboń, 62-030 Luboń, pl. E Bojanowskiego 2.</w:t>
      </w:r>
    </w:p>
    <w:p w14:paraId="77FD1E79" w14:textId="77777777" w:rsidR="00CE6D4B" w:rsidRDefault="00CE6D4B">
      <w:pPr>
        <w:widowControl/>
        <w:suppressAutoHyphens w:val="0"/>
        <w:jc w:val="both"/>
        <w:rPr>
          <w:b/>
          <w:bCs/>
          <w:sz w:val="22"/>
          <w:szCs w:val="22"/>
        </w:rPr>
      </w:pPr>
    </w:p>
    <w:p w14:paraId="448700F7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>Rozdział II – Tryb udzielenia zamówienia</w:t>
      </w:r>
    </w:p>
    <w:p w14:paraId="0A3CEB0F" w14:textId="77777777" w:rsidR="00CE6D4B" w:rsidRDefault="008934EA">
      <w:pPr>
        <w:pStyle w:val="Akapitzlist"/>
        <w:widowControl/>
        <w:numPr>
          <w:ilvl w:val="0"/>
          <w:numId w:val="45"/>
        </w:numPr>
        <w:suppressAutoHyphens w:val="0"/>
        <w:jc w:val="both"/>
      </w:pPr>
      <w:r>
        <w:rPr>
          <w:sz w:val="22"/>
          <w:szCs w:val="22"/>
        </w:rPr>
        <w:t>Postępowanie prowadzone jest z pominięciem przepisów ustawy z dnia 11 września 2019 r. – Prawo zamówień publicznych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.: Dz.U. z 2023 r., poz. 1605 ze zm.), zgodnie z wymogami określonymi w niniejszej SWZ.</w:t>
      </w:r>
    </w:p>
    <w:p w14:paraId="4A179DAF" w14:textId="77777777" w:rsidR="00404356" w:rsidRPr="00404356" w:rsidRDefault="00404356" w:rsidP="00404356">
      <w:pPr>
        <w:pStyle w:val="Akapitzlist"/>
        <w:numPr>
          <w:ilvl w:val="0"/>
          <w:numId w:val="45"/>
        </w:numPr>
        <w:jc w:val="both"/>
        <w:rPr>
          <w:sz w:val="22"/>
          <w:szCs w:val="22"/>
        </w:rPr>
      </w:pPr>
      <w:bookmarkStart w:id="0" w:name="_Hlk152242492"/>
      <w:r w:rsidRPr="00404356">
        <w:rPr>
          <w:sz w:val="22"/>
          <w:szCs w:val="22"/>
        </w:rPr>
        <w:t>Postępowanie o udzielenie zamówienia w oparciu o zasadę konkurencyjności, określoną w „Wytyczne dotyczące kwalifikowalności wydatków na lata 2021-2027” z dn. 18 listopada 2022 r.”</w:t>
      </w:r>
    </w:p>
    <w:bookmarkEnd w:id="0"/>
    <w:p w14:paraId="5E12646E" w14:textId="589DE9AF" w:rsidR="00CE6D4B" w:rsidRDefault="00CE6D4B" w:rsidP="00404356">
      <w:pPr>
        <w:pStyle w:val="Akapitzlist"/>
        <w:widowControl/>
        <w:suppressAutoHyphens w:val="0"/>
        <w:ind w:left="1440"/>
        <w:jc w:val="both"/>
      </w:pPr>
    </w:p>
    <w:p w14:paraId="02A3C2D4" w14:textId="77777777" w:rsidR="00CE6D4B" w:rsidRDefault="00CE6D4B">
      <w:pPr>
        <w:widowControl/>
        <w:suppressAutoHyphens w:val="0"/>
        <w:jc w:val="both"/>
        <w:rPr>
          <w:b/>
          <w:bCs/>
          <w:sz w:val="22"/>
          <w:szCs w:val="22"/>
        </w:rPr>
      </w:pPr>
    </w:p>
    <w:p w14:paraId="5F7603F3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>Rozdział III – Opis przedmiotu zamówienia</w:t>
      </w:r>
    </w:p>
    <w:p w14:paraId="4D825F50" w14:textId="77777777" w:rsidR="00CE6D4B" w:rsidRDefault="008934EA">
      <w:pPr>
        <w:pStyle w:val="Akapitzlist"/>
        <w:widowControl/>
        <w:numPr>
          <w:ilvl w:val="0"/>
          <w:numId w:val="25"/>
        </w:numPr>
        <w:suppressAutoHyphens w:val="0"/>
        <w:jc w:val="both"/>
      </w:pPr>
      <w:bookmarkStart w:id="1" w:name="_Hlk150848830"/>
      <w:r>
        <w:rPr>
          <w:sz w:val="22"/>
          <w:szCs w:val="22"/>
        </w:rPr>
        <w:t>Przedmiotem postępowania i zamówienia jest dostawa i instalacja:</w:t>
      </w:r>
    </w:p>
    <w:p w14:paraId="1D8F6F55" w14:textId="77777777" w:rsidR="00CE6D4B" w:rsidRDefault="008934EA">
      <w:pPr>
        <w:pStyle w:val="Akapitzlist"/>
        <w:widowControl/>
        <w:numPr>
          <w:ilvl w:val="1"/>
          <w:numId w:val="25"/>
        </w:numPr>
        <w:suppressAutoHyphens w:val="0"/>
        <w:jc w:val="both"/>
      </w:pPr>
      <w:r>
        <w:rPr>
          <w:sz w:val="22"/>
          <w:szCs w:val="22"/>
        </w:rPr>
        <w:t xml:space="preserve">jednej sztuki serwera plików NAS </w:t>
      </w:r>
      <w:bookmarkStart w:id="2" w:name="_Hlk150865830"/>
      <w:r>
        <w:rPr>
          <w:sz w:val="22"/>
          <w:szCs w:val="22"/>
        </w:rPr>
        <w:t>wraz z dyskami twardymi</w:t>
      </w:r>
      <w:r>
        <w:rPr>
          <w:iCs/>
          <w:sz w:val="22"/>
          <w:szCs w:val="22"/>
        </w:rPr>
        <w:t xml:space="preserve">, </w:t>
      </w:r>
      <w:bookmarkEnd w:id="1"/>
      <w:bookmarkEnd w:id="2"/>
    </w:p>
    <w:p w14:paraId="22AEDF9B" w14:textId="77777777" w:rsidR="00CE6D4B" w:rsidRDefault="008934EA">
      <w:pPr>
        <w:pStyle w:val="Akapitzlist"/>
        <w:widowControl/>
        <w:numPr>
          <w:ilvl w:val="1"/>
          <w:numId w:val="25"/>
        </w:numPr>
        <w:suppressAutoHyphens w:val="0"/>
        <w:jc w:val="both"/>
      </w:pPr>
      <w:r>
        <w:rPr>
          <w:iCs/>
          <w:sz w:val="22"/>
          <w:szCs w:val="22"/>
        </w:rPr>
        <w:t>jednej sztuki zapasowego serwera UML.</w:t>
      </w:r>
    </w:p>
    <w:p w14:paraId="29C4FAFA" w14:textId="77777777" w:rsidR="00CE6D4B" w:rsidRDefault="008934EA">
      <w:pPr>
        <w:numPr>
          <w:ilvl w:val="0"/>
          <w:numId w:val="25"/>
        </w:numPr>
        <w:contextualSpacing/>
        <w:jc w:val="both"/>
      </w:pPr>
      <w:r>
        <w:rPr>
          <w:bCs/>
          <w:sz w:val="22"/>
          <w:szCs w:val="22"/>
        </w:rPr>
        <w:t xml:space="preserve">Szczegółowy opis przedmiotu zamówienia ze wskazaniem wymaganych, minimalnych parametrów technicznych, funkcjonalnych, użytkowych oraz ilościowych zawierają załączniki A i B do SWZ. </w:t>
      </w:r>
    </w:p>
    <w:p w14:paraId="04DD0F1B" w14:textId="77777777" w:rsidR="00CE6D4B" w:rsidRDefault="008934EA">
      <w:pPr>
        <w:numPr>
          <w:ilvl w:val="0"/>
          <w:numId w:val="25"/>
        </w:numPr>
        <w:contextualSpacing/>
        <w:jc w:val="both"/>
      </w:pPr>
      <w:r>
        <w:rPr>
          <w:bCs/>
          <w:sz w:val="22"/>
          <w:szCs w:val="22"/>
          <w:u w:val="single"/>
        </w:rPr>
        <w:t>Wymagania ogólne:</w:t>
      </w:r>
    </w:p>
    <w:p w14:paraId="2F9940D2" w14:textId="77777777" w:rsidR="00CE6D4B" w:rsidRDefault="008934EA">
      <w:pPr>
        <w:pStyle w:val="Akapitzlist"/>
        <w:numPr>
          <w:ilvl w:val="1"/>
          <w:numId w:val="25"/>
        </w:numPr>
        <w:jc w:val="both"/>
      </w:pPr>
      <w:r>
        <w:rPr>
          <w:bCs/>
          <w:sz w:val="22"/>
          <w:szCs w:val="22"/>
        </w:rPr>
        <w:t>wykonawca musi zaoferować przedmiot zamówienia zgodny z wymogami zamawiającego określonymi w SWZ i jej załącznikach, przy czym wymaga się od wykonawcy podania w treści załącznika nr 2 do formularza oferty /TREŚĆ OFERTY/ modelu, nazwy (firmy) producenta oferowanego sprzętu, liczby sztuk oraz przedłożenia wraz z ofertą przedmiotowych środków dowodowych, o których mowa poniżej;</w:t>
      </w:r>
    </w:p>
    <w:p w14:paraId="2558931B" w14:textId="77777777" w:rsidR="00CE6D4B" w:rsidRDefault="008934EA">
      <w:pPr>
        <w:pStyle w:val="Akapitzlist"/>
        <w:numPr>
          <w:ilvl w:val="1"/>
          <w:numId w:val="25"/>
        </w:numPr>
        <w:jc w:val="both"/>
      </w:pPr>
      <w:r>
        <w:rPr>
          <w:bCs/>
          <w:sz w:val="22"/>
          <w:szCs w:val="22"/>
        </w:rPr>
        <w:t>wykonawca musi zapewnić wykonanie zamówienia we wskazanym w rozdziale V terminie;</w:t>
      </w:r>
    </w:p>
    <w:p w14:paraId="52102BFA" w14:textId="77777777" w:rsidR="00CE6D4B" w:rsidRDefault="008934EA">
      <w:pPr>
        <w:pStyle w:val="Akapitzlist"/>
        <w:numPr>
          <w:ilvl w:val="1"/>
          <w:numId w:val="25"/>
        </w:numPr>
        <w:jc w:val="both"/>
      </w:pPr>
      <w:r>
        <w:rPr>
          <w:bCs/>
          <w:sz w:val="22"/>
          <w:szCs w:val="22"/>
        </w:rPr>
        <w:t>wykonawca musi przedłożyć kalkulację cenową oferty, sporządzoną zgodnie z SWZ, Załącznik nr 2 do formularza oferty</w:t>
      </w:r>
      <w:r>
        <w:rPr>
          <w:sz w:val="22"/>
          <w:szCs w:val="22"/>
        </w:rPr>
        <w:t>;</w:t>
      </w:r>
    </w:p>
    <w:p w14:paraId="5174065D" w14:textId="77777777" w:rsidR="00CE6D4B" w:rsidRDefault="008934EA">
      <w:pPr>
        <w:pStyle w:val="Akapitzlist"/>
        <w:numPr>
          <w:ilvl w:val="1"/>
          <w:numId w:val="25"/>
        </w:numPr>
        <w:jc w:val="both"/>
      </w:pPr>
      <w:r>
        <w:rPr>
          <w:bCs/>
          <w:sz w:val="22"/>
          <w:szCs w:val="22"/>
        </w:rPr>
        <w:t>wykonawca musi zapewnić termin, sposób i zasady płatności, o których mowa w projektowanych postanowieniach umowy (wzór umowy);</w:t>
      </w:r>
    </w:p>
    <w:p w14:paraId="6B24F0E1" w14:textId="77777777" w:rsidR="00CE6D4B" w:rsidRDefault="008934EA">
      <w:pPr>
        <w:pStyle w:val="Akapitzlist"/>
        <w:numPr>
          <w:ilvl w:val="1"/>
          <w:numId w:val="25"/>
        </w:numPr>
        <w:jc w:val="both"/>
      </w:pPr>
      <w:r>
        <w:rPr>
          <w:sz w:val="22"/>
          <w:szCs w:val="22"/>
        </w:rPr>
        <w:t xml:space="preserve">wykonawca musi zaoferować okres gwarancji producenta wskazany w załączniku A i B do SWZ oraz czas reakcji serwisu na co najmniej minimalnym poziomie wskazanym </w:t>
      </w:r>
      <w:r>
        <w:rPr>
          <w:sz w:val="22"/>
          <w:szCs w:val="22"/>
        </w:rPr>
        <w:br/>
        <w:t xml:space="preserve"> w załączniku A i B do SWZ oraz w projektowanych postanowieniach umowy (we wzorze umowy); </w:t>
      </w:r>
    </w:p>
    <w:p w14:paraId="0339D271" w14:textId="77777777" w:rsidR="00CE6D4B" w:rsidRDefault="008934EA">
      <w:pPr>
        <w:pStyle w:val="Akapitzlist"/>
        <w:numPr>
          <w:ilvl w:val="1"/>
          <w:numId w:val="25"/>
        </w:numPr>
        <w:jc w:val="both"/>
      </w:pPr>
      <w:r>
        <w:rPr>
          <w:sz w:val="22"/>
          <w:szCs w:val="22"/>
        </w:rPr>
        <w:t xml:space="preserve">warunki serwisu oraz </w:t>
      </w:r>
      <w:r>
        <w:rPr>
          <w:sz w:val="22"/>
          <w:szCs w:val="22"/>
        </w:rPr>
        <w:t>gwarancji (rękojmi) określone zostały również w ramach projektowanych postanowień umowy (</w:t>
      </w:r>
      <w:r>
        <w:rPr>
          <w:bCs/>
          <w:sz w:val="22"/>
          <w:szCs w:val="22"/>
        </w:rPr>
        <w:t>wzór umowy</w:t>
      </w:r>
      <w:r>
        <w:rPr>
          <w:sz w:val="22"/>
          <w:szCs w:val="22"/>
        </w:rPr>
        <w:t>). Gwarancja obejmuje między innymi, poza ujętymi prawnie aspektami, nieodpłatną (wliczoną w cenę oferty), naprawę oraz ewentualną konserwację i przeglądy wynikające z warunków gwarancji producenta w okresie gwarancyjnym przez osoby lub podmioty posiadające stosowną autoryzację producenta.</w:t>
      </w:r>
    </w:p>
    <w:p w14:paraId="5C4ADF56" w14:textId="77777777" w:rsidR="00CE6D4B" w:rsidRDefault="008934EA">
      <w:pPr>
        <w:numPr>
          <w:ilvl w:val="0"/>
          <w:numId w:val="25"/>
        </w:numPr>
        <w:contextualSpacing/>
        <w:jc w:val="both"/>
      </w:pPr>
      <w:r>
        <w:rPr>
          <w:bCs/>
          <w:sz w:val="22"/>
          <w:szCs w:val="22"/>
        </w:rPr>
        <w:t xml:space="preserve">Składanie ofert równoważnych – przedmiot zamówienia został opisany w sposób precyzyjny i zrozumiały, bez </w:t>
      </w:r>
      <w:r>
        <w:rPr>
          <w:color w:val="000000"/>
          <w:sz w:val="22"/>
          <w:szCs w:val="22"/>
        </w:rPr>
        <w:t>wskazania znaków towarowych, patentów lub pochodzenia, źródła lub szczególnego procesu, który charakteryzuje produkty dostarczane przez konkretnego wykonawcę.</w:t>
      </w:r>
    </w:p>
    <w:p w14:paraId="3F66DF7B" w14:textId="77777777" w:rsidR="00CE6D4B" w:rsidRDefault="008934EA">
      <w:pPr>
        <w:pStyle w:val="Akapitzlist"/>
        <w:numPr>
          <w:ilvl w:val="1"/>
          <w:numId w:val="25"/>
        </w:numPr>
        <w:jc w:val="both"/>
      </w:pPr>
      <w:r>
        <w:rPr>
          <w:bCs/>
          <w:sz w:val="22"/>
          <w:szCs w:val="22"/>
        </w:rPr>
        <w:t xml:space="preserve">Ewentualne wskazanie w treści załącznika A i B do SWZ nazw własnych, znaków </w:t>
      </w:r>
      <w:r>
        <w:rPr>
          <w:bCs/>
          <w:sz w:val="22"/>
          <w:szCs w:val="22"/>
        </w:rPr>
        <w:lastRenderedPageBreak/>
        <w:t>towarowych, patentów lub miejsc pochodzenia opisywanego przedmiotu zamówienia określa wyłącznie preferowaną jakość oraz poziom parametrów technicznych i/lub funkcjonalno-użytkowych, którymi zainteresowany jest zamawiający. Stąd też, wyraźnie podkreśla się, iż ww. nazwom, znakom towarowym, patentom lub miejscom pochodzenia towarzyszy zapis „lub równoważny”.</w:t>
      </w:r>
    </w:p>
    <w:p w14:paraId="6898381D" w14:textId="77777777" w:rsidR="00CE6D4B" w:rsidRDefault="008934EA">
      <w:pPr>
        <w:pStyle w:val="Akapitzlist"/>
        <w:numPr>
          <w:ilvl w:val="1"/>
          <w:numId w:val="25"/>
        </w:numPr>
        <w:jc w:val="both"/>
        <w:rPr>
          <w:shd w:val="clear" w:color="auto" w:fill="81D41A"/>
        </w:rPr>
      </w:pPr>
      <w:r>
        <w:rPr>
          <w:bCs/>
          <w:sz w:val="22"/>
          <w:szCs w:val="22"/>
        </w:rPr>
        <w:t>P</w:t>
      </w:r>
      <w:r>
        <w:rPr>
          <w:sz w:val="22"/>
          <w:szCs w:val="22"/>
        </w:rPr>
        <w:t>od pojęciem „równoważności</w:t>
      </w:r>
      <w:r>
        <w:rPr>
          <w:i/>
          <w:sz w:val="22"/>
          <w:szCs w:val="22"/>
        </w:rPr>
        <w:t>”</w:t>
      </w:r>
      <w:r>
        <w:rPr>
          <w:sz w:val="22"/>
          <w:szCs w:val="22"/>
        </w:rPr>
        <w:t xml:space="preserve"> rozumie się </w:t>
      </w:r>
      <w:r>
        <w:rPr>
          <w:color w:val="000000"/>
          <w:sz w:val="22"/>
          <w:szCs w:val="22"/>
        </w:rPr>
        <w:t>oferowanie sprzętu posiadającego: co najmniej te same cechy (tj. właściwości funkcjonalne i użytkowe), co podane w</w:t>
      </w:r>
      <w:r>
        <w:rPr>
          <w:color w:val="000000"/>
          <w:sz w:val="22"/>
          <w:szCs w:val="22"/>
          <w:shd w:val="clear" w:color="auto" w:fill="81D41A"/>
        </w:rPr>
        <w:t xml:space="preserve"> </w:t>
      </w:r>
      <w:r>
        <w:rPr>
          <w:color w:val="000000"/>
          <w:sz w:val="22"/>
          <w:szCs w:val="22"/>
        </w:rPr>
        <w:t>załącznik A i B do SWZ i parametry techniczne na poziomie co najmniej takim, jak wskazane przez zamawiającego (w tym zakresie zamawiający dopuszcza również rozwiązania lepsze niż opisane przez niego, w szczególności wynikające z unowocześnienia technologicznej linii produkcyjnej).</w:t>
      </w:r>
    </w:p>
    <w:p w14:paraId="32ADA6D9" w14:textId="77777777" w:rsidR="00CE6D4B" w:rsidRDefault="008934EA">
      <w:pPr>
        <w:pStyle w:val="Akapitzlist"/>
        <w:numPr>
          <w:ilvl w:val="1"/>
          <w:numId w:val="25"/>
        </w:numPr>
        <w:jc w:val="both"/>
      </w:pPr>
      <w:r>
        <w:rPr>
          <w:color w:val="000000"/>
          <w:sz w:val="22"/>
          <w:szCs w:val="22"/>
        </w:rPr>
        <w:t xml:space="preserve">Każdy wykonawca składający ofertę równoważną jest obowiązany wykazać w treści przedkładanej przez siebie oferty, że oferowany przez niego przedmiot zamówienia spełnia wymagania i parametry techniczne, funkcjonalne i użytkowe określone w SWZ, bądź też przewiduje rozwiązania lepsze niż opisywane. </w:t>
      </w:r>
    </w:p>
    <w:p w14:paraId="4AE6A567" w14:textId="77777777" w:rsidR="00CE6D4B" w:rsidRDefault="008934EA">
      <w:pPr>
        <w:pStyle w:val="Akapitzlist"/>
        <w:widowControl/>
        <w:numPr>
          <w:ilvl w:val="0"/>
          <w:numId w:val="25"/>
        </w:numPr>
        <w:suppressAutoHyphens w:val="0"/>
        <w:ind w:left="709" w:hanging="425"/>
        <w:jc w:val="both"/>
      </w:pPr>
      <w:r>
        <w:rPr>
          <w:sz w:val="22"/>
          <w:szCs w:val="22"/>
        </w:rPr>
        <w:t xml:space="preserve">Opis przedmiotu zamówienia zgodny z nomenklaturą Wspólnego Słownika Zamówień Publicznych (CPV): </w:t>
      </w:r>
      <w:r>
        <w:rPr>
          <w:i/>
          <w:iCs/>
          <w:sz w:val="22"/>
          <w:szCs w:val="22"/>
        </w:rPr>
        <w:t xml:space="preserve"> 48820000-2 - Serwery , 48823000-3 serwery plików.</w:t>
      </w:r>
    </w:p>
    <w:p w14:paraId="0D6440B4" w14:textId="77777777" w:rsidR="00CE6D4B" w:rsidRDefault="00CE6D4B">
      <w:pPr>
        <w:pStyle w:val="Akapitzlist"/>
        <w:widowControl/>
        <w:numPr>
          <w:ilvl w:val="0"/>
          <w:numId w:val="25"/>
        </w:numPr>
        <w:suppressAutoHyphens w:val="0"/>
        <w:ind w:left="709" w:hanging="425"/>
        <w:jc w:val="both"/>
        <w:rPr>
          <w:sz w:val="22"/>
          <w:szCs w:val="22"/>
        </w:rPr>
      </w:pPr>
    </w:p>
    <w:p w14:paraId="5A12FC86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>Rozdział IV – Przedmiotowe środki dowodowe (składane wraz z ofertą)</w:t>
      </w:r>
    </w:p>
    <w:p w14:paraId="256E974B" w14:textId="77777777" w:rsidR="00CE6D4B" w:rsidRDefault="008934EA">
      <w:pPr>
        <w:pStyle w:val="Akapitzlist"/>
        <w:widowControl/>
        <w:suppressAutoHyphens w:val="0"/>
        <w:jc w:val="both"/>
      </w:pPr>
      <w:bookmarkStart w:id="3" w:name="_Hlk150930126"/>
      <w:r>
        <w:rPr>
          <w:bCs/>
          <w:sz w:val="22"/>
          <w:szCs w:val="22"/>
        </w:rPr>
        <w:t>Zamawiający wymaga złożenia wraz z ofertą przedmiotowych środków dowodowych, tj.:</w:t>
      </w:r>
      <w:bookmarkEnd w:id="3"/>
    </w:p>
    <w:p w14:paraId="1EAEE054" w14:textId="77777777" w:rsidR="00CE6D4B" w:rsidRDefault="008934EA" w:rsidP="0085570B">
      <w:pPr>
        <w:pStyle w:val="Akapitzlist"/>
        <w:numPr>
          <w:ilvl w:val="0"/>
          <w:numId w:val="49"/>
        </w:numPr>
        <w:jc w:val="both"/>
      </w:pPr>
      <w:r>
        <w:rPr>
          <w:bCs/>
          <w:sz w:val="22"/>
          <w:szCs w:val="22"/>
          <w:u w:val="single"/>
        </w:rPr>
        <w:t>wypełnionego załącznika nr 3 do formularza oferty</w:t>
      </w:r>
      <w:r>
        <w:rPr>
          <w:bCs/>
          <w:sz w:val="22"/>
          <w:szCs w:val="22"/>
        </w:rPr>
        <w:t xml:space="preserve"> wraz z potwierdzeniem oferowanych parametrów technicznych, opisami technicznymi sporządzonymi przez producenta i/lub wydrukami ze stron internetowych producenta/ów, bądź katalogami producenta/ów oraz listą zgodności produktów producenta w zakresie, w którym jest to wymagane w opisie przedmiotu zamówienia (Załącznik nr A i B do SWZ), pozwalającymi na ocenę zgodności oferowanego serwera i serwera plików NAS wraz z urządzeniami stanowiącymi ich wyposażenie oraz ich parametrów technicznych, funkcjonalnych i uż</w:t>
      </w:r>
      <w:r>
        <w:rPr>
          <w:bCs/>
          <w:sz w:val="22"/>
          <w:szCs w:val="22"/>
        </w:rPr>
        <w:t xml:space="preserve">ytkowych, z wymaganiami postawionymi w treści SWZ. </w:t>
      </w:r>
    </w:p>
    <w:p w14:paraId="35E0C651" w14:textId="77777777" w:rsidR="00CE6D4B" w:rsidRDefault="008934EA">
      <w:pPr>
        <w:pStyle w:val="Akapitzlist"/>
        <w:numPr>
          <w:ilvl w:val="0"/>
          <w:numId w:val="2"/>
        </w:numPr>
        <w:jc w:val="both"/>
      </w:pPr>
      <w:r>
        <w:rPr>
          <w:bCs/>
          <w:sz w:val="22"/>
          <w:szCs w:val="22"/>
        </w:rPr>
        <w:t xml:space="preserve">Zamawiający dopuszcza złożenie wskazanych powyżej przedmiotowych środków </w:t>
      </w:r>
      <w:r>
        <w:rPr>
          <w:bCs/>
          <w:sz w:val="22"/>
          <w:szCs w:val="22"/>
        </w:rPr>
        <w:t xml:space="preserve">dowodowych w języku angielskim. </w:t>
      </w:r>
    </w:p>
    <w:p w14:paraId="0B24D610" w14:textId="77777777" w:rsidR="00CE6D4B" w:rsidRDefault="008934EA">
      <w:pPr>
        <w:pStyle w:val="Akapitzlist"/>
        <w:numPr>
          <w:ilvl w:val="0"/>
          <w:numId w:val="2"/>
        </w:numPr>
        <w:jc w:val="both"/>
      </w:pPr>
      <w:r>
        <w:rPr>
          <w:bCs/>
          <w:sz w:val="22"/>
          <w:szCs w:val="22"/>
          <w:u w:val="single"/>
        </w:rPr>
        <w:t xml:space="preserve">Wyżej wymienione </w:t>
      </w:r>
      <w:bookmarkStart w:id="4" w:name="_Hlk151536896"/>
      <w:r>
        <w:rPr>
          <w:bCs/>
          <w:sz w:val="22"/>
          <w:szCs w:val="22"/>
          <w:u w:val="single"/>
        </w:rPr>
        <w:t xml:space="preserve">opisy i/lub wydruki muszą zostać opatrzone podpisem kwalifikowanym, zaufanym lub osobistym, zgodnie z zasadami niniejszej SWZ. </w:t>
      </w:r>
      <w:bookmarkEnd w:id="4"/>
    </w:p>
    <w:p w14:paraId="1F34E5FA" w14:textId="77777777" w:rsidR="00CE6D4B" w:rsidRDefault="008934EA">
      <w:pPr>
        <w:pStyle w:val="Akapitzlist"/>
        <w:numPr>
          <w:ilvl w:val="0"/>
          <w:numId w:val="2"/>
        </w:numPr>
        <w:jc w:val="both"/>
      </w:pPr>
      <w:r>
        <w:rPr>
          <w:bCs/>
          <w:sz w:val="22"/>
          <w:szCs w:val="22"/>
        </w:rPr>
        <w:t>Zamawiający zaakceptuje równoważne przedmiotowe środki dowodowe, jeśli potwierdzą one, że oferowane dostawy spełniają określone przez Zamawiającego wymagania.</w:t>
      </w:r>
    </w:p>
    <w:p w14:paraId="4B676A35" w14:textId="77777777" w:rsidR="00CE6D4B" w:rsidRDefault="008934EA">
      <w:pPr>
        <w:pStyle w:val="Akapitzlist1"/>
        <w:numPr>
          <w:ilvl w:val="0"/>
          <w:numId w:val="2"/>
        </w:numPr>
      </w:pPr>
      <w:r>
        <w:rPr>
          <w:rFonts w:cs="Times New Roman"/>
          <w:sz w:val="22"/>
          <w:szCs w:val="22"/>
        </w:rPr>
        <w:t xml:space="preserve">Jeżeli wykonawca nie złożył przedmiotowych środków dowodowych lub złożone przedmiotowe środki dowodowe są niekompletne, zamawiający wzywa do ich złożenia lub uzupełnienia </w:t>
      </w:r>
      <w:r>
        <w:rPr>
          <w:rFonts w:cs="Times New Roman"/>
          <w:sz w:val="22"/>
          <w:szCs w:val="22"/>
        </w:rPr>
        <w:br/>
        <w:t>w wyznaczonym terminie, nie krótszym niż dwa (2) dni robocze.</w:t>
      </w:r>
    </w:p>
    <w:p w14:paraId="59624A8B" w14:textId="77777777" w:rsidR="00CE6D4B" w:rsidRDefault="008934EA">
      <w:pPr>
        <w:pStyle w:val="Akapitzlist1"/>
        <w:numPr>
          <w:ilvl w:val="0"/>
          <w:numId w:val="2"/>
        </w:numPr>
      </w:pPr>
      <w:r>
        <w:rPr>
          <w:rFonts w:cs="Times New Roman"/>
          <w:sz w:val="22"/>
          <w:szCs w:val="22"/>
        </w:rPr>
        <w:t xml:space="preserve">Przedmiotowe środki dowodowe służące potwierdzeniu </w:t>
      </w:r>
      <w:r>
        <w:rPr>
          <w:rFonts w:cs="Times New Roman"/>
          <w:sz w:val="22"/>
          <w:szCs w:val="22"/>
          <w:u w:val="single"/>
        </w:rPr>
        <w:t>równoważności, nie podlegają uzupełnieniu jako potwierdzające zgodność z kryteriami i cechami określonymi w opisie kryteriów oceny ofert</w:t>
      </w:r>
      <w:r>
        <w:rPr>
          <w:rFonts w:cs="Times New Roman"/>
          <w:sz w:val="22"/>
          <w:szCs w:val="22"/>
        </w:rPr>
        <w:t xml:space="preserve"> i pomimo złożenia przedmiotowego środka dowodowego, oferta podlega odrzuceniu albo zachodzą przesłanki unieważnienia postępowania. </w:t>
      </w:r>
    </w:p>
    <w:p w14:paraId="2AD2A7CA" w14:textId="77777777" w:rsidR="00CE6D4B" w:rsidRDefault="008934EA">
      <w:pPr>
        <w:pStyle w:val="Akapitzlist1"/>
        <w:numPr>
          <w:ilvl w:val="0"/>
          <w:numId w:val="2"/>
        </w:numPr>
      </w:pPr>
      <w:bookmarkStart w:id="5" w:name="_Hlk150930241"/>
      <w:r>
        <w:rPr>
          <w:rFonts w:cs="Times New Roman"/>
          <w:sz w:val="22"/>
          <w:szCs w:val="22"/>
        </w:rPr>
        <w:t>Zamawiający może żądać od wykonawców wyjaśnień dotyczących treści przedmiotowych środków dowodowych.</w:t>
      </w:r>
      <w:bookmarkEnd w:id="5"/>
    </w:p>
    <w:p w14:paraId="6E7BBC6F" w14:textId="77777777" w:rsidR="00CE6D4B" w:rsidRDefault="00CE6D4B">
      <w:pPr>
        <w:ind w:left="720"/>
        <w:contextualSpacing/>
        <w:jc w:val="both"/>
        <w:rPr>
          <w:rFonts w:cs="Calibri"/>
          <w:sz w:val="22"/>
          <w:szCs w:val="22"/>
        </w:rPr>
      </w:pPr>
    </w:p>
    <w:p w14:paraId="1BF8D62D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>Rozdział V – Termin wykonania zamówienia</w:t>
      </w:r>
    </w:p>
    <w:p w14:paraId="343D4CE6" w14:textId="77777777" w:rsidR="00CE6D4B" w:rsidRDefault="008934EA">
      <w:pPr>
        <w:pStyle w:val="Akapitzlist"/>
        <w:widowControl/>
        <w:numPr>
          <w:ilvl w:val="0"/>
          <w:numId w:val="3"/>
        </w:numPr>
        <w:suppressAutoHyphens w:val="0"/>
        <w:jc w:val="left"/>
      </w:pPr>
      <w:r>
        <w:rPr>
          <w:sz w:val="22"/>
          <w:szCs w:val="22"/>
        </w:rPr>
        <w:t xml:space="preserve">Przedmiot zamówienia </w:t>
      </w:r>
      <w:bookmarkStart w:id="6" w:name="_Hlk150335498"/>
      <w:bookmarkEnd w:id="6"/>
      <w:r>
        <w:rPr>
          <w:sz w:val="22"/>
          <w:szCs w:val="22"/>
        </w:rPr>
        <w:t xml:space="preserve">musi zostać wykonany w terminie do 29.12.2023 r. </w:t>
      </w:r>
      <w:r>
        <w:t xml:space="preserve"> </w:t>
      </w:r>
    </w:p>
    <w:p w14:paraId="2EBBD126" w14:textId="77777777" w:rsidR="00CE6D4B" w:rsidRDefault="008934EA">
      <w:pPr>
        <w:numPr>
          <w:ilvl w:val="0"/>
          <w:numId w:val="3"/>
        </w:numPr>
        <w:tabs>
          <w:tab w:val="left" w:pos="426"/>
          <w:tab w:val="left" w:pos="709"/>
          <w:tab w:val="left" w:pos="2084"/>
          <w:tab w:val="left" w:pos="2804"/>
          <w:tab w:val="left" w:pos="3524"/>
          <w:tab w:val="left" w:pos="4244"/>
          <w:tab w:val="left" w:pos="4964"/>
          <w:tab w:val="left" w:pos="5684"/>
          <w:tab w:val="left" w:pos="6404"/>
          <w:tab w:val="left" w:pos="7124"/>
          <w:tab w:val="left" w:pos="7844"/>
          <w:tab w:val="left" w:pos="8564"/>
          <w:tab w:val="left" w:pos="9284"/>
          <w:tab w:val="left" w:pos="10004"/>
          <w:tab w:val="left" w:pos="10724"/>
          <w:tab w:val="left" w:pos="11444"/>
          <w:tab w:val="left" w:pos="12164"/>
          <w:tab w:val="left" w:pos="12884"/>
          <w:tab w:val="left" w:pos="13604"/>
          <w:tab w:val="left" w:pos="14324"/>
          <w:tab w:val="left" w:pos="15044"/>
        </w:tabs>
        <w:contextualSpacing/>
        <w:jc w:val="left"/>
      </w:pPr>
      <w:r>
        <w:rPr>
          <w:sz w:val="22"/>
          <w:szCs w:val="22"/>
        </w:rPr>
        <w:t>Wykonawca zapewnia gotowość do realizacji zamówienia w dniu zawarcia umowy.</w:t>
      </w:r>
    </w:p>
    <w:p w14:paraId="76535E1E" w14:textId="77777777" w:rsidR="00CE6D4B" w:rsidRDefault="008934EA">
      <w:pPr>
        <w:numPr>
          <w:ilvl w:val="0"/>
          <w:numId w:val="3"/>
        </w:numPr>
        <w:tabs>
          <w:tab w:val="left" w:pos="426"/>
          <w:tab w:val="left" w:pos="709"/>
          <w:tab w:val="left" w:pos="2084"/>
          <w:tab w:val="left" w:pos="2804"/>
          <w:tab w:val="left" w:pos="3524"/>
          <w:tab w:val="left" w:pos="4244"/>
          <w:tab w:val="left" w:pos="4964"/>
          <w:tab w:val="left" w:pos="5684"/>
          <w:tab w:val="left" w:pos="6404"/>
          <w:tab w:val="left" w:pos="7124"/>
          <w:tab w:val="left" w:pos="7844"/>
          <w:tab w:val="left" w:pos="8564"/>
          <w:tab w:val="left" w:pos="9284"/>
          <w:tab w:val="left" w:pos="10004"/>
          <w:tab w:val="left" w:pos="10724"/>
          <w:tab w:val="left" w:pos="11444"/>
          <w:tab w:val="left" w:pos="12164"/>
          <w:tab w:val="left" w:pos="12884"/>
          <w:tab w:val="left" w:pos="13604"/>
          <w:tab w:val="left" w:pos="14324"/>
          <w:tab w:val="left" w:pos="15044"/>
        </w:tabs>
        <w:contextualSpacing/>
        <w:jc w:val="left"/>
      </w:pPr>
      <w:r>
        <w:rPr>
          <w:sz w:val="22"/>
          <w:szCs w:val="22"/>
        </w:rPr>
        <w:t xml:space="preserve">Zamawiający dopuszcza możliwość wcześniejszej realizacji zamówienia. </w:t>
      </w:r>
    </w:p>
    <w:p w14:paraId="774E9164" w14:textId="77777777" w:rsidR="00CE6D4B" w:rsidRDefault="00CE6D4B">
      <w:pPr>
        <w:widowControl/>
        <w:suppressAutoHyphens w:val="0"/>
        <w:jc w:val="both"/>
        <w:rPr>
          <w:b/>
          <w:bCs/>
          <w:sz w:val="22"/>
          <w:szCs w:val="22"/>
        </w:rPr>
      </w:pPr>
    </w:p>
    <w:p w14:paraId="1C2CAA22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>Rozdział VI – Opis warunków podmiotowych udziału w postępowaniu</w:t>
      </w:r>
    </w:p>
    <w:p w14:paraId="7887971E" w14:textId="77777777" w:rsidR="00CE6D4B" w:rsidRDefault="008934EA">
      <w:pPr>
        <w:pStyle w:val="Akapitzlist"/>
        <w:widowControl/>
        <w:numPr>
          <w:ilvl w:val="0"/>
          <w:numId w:val="4"/>
        </w:numPr>
        <w:suppressAutoHyphens w:val="0"/>
        <w:jc w:val="both"/>
      </w:pPr>
      <w:r>
        <w:rPr>
          <w:bCs/>
          <w:sz w:val="22"/>
          <w:szCs w:val="22"/>
        </w:rPr>
        <w:t>Zdolność do występowania w obrocie gospodarczym – zamawiający nie wyznacza warunku w tym zakresie.</w:t>
      </w:r>
    </w:p>
    <w:p w14:paraId="04BD3FA8" w14:textId="77777777" w:rsidR="00CE6D4B" w:rsidRDefault="008934EA">
      <w:pPr>
        <w:pStyle w:val="Akapitzlist"/>
        <w:widowControl/>
        <w:numPr>
          <w:ilvl w:val="0"/>
          <w:numId w:val="4"/>
        </w:numPr>
        <w:suppressAutoHyphens w:val="0"/>
        <w:jc w:val="both"/>
      </w:pPr>
      <w:r>
        <w:rPr>
          <w:bCs/>
          <w:sz w:val="22"/>
          <w:szCs w:val="22"/>
        </w:rPr>
        <w:t>Uprawnienia do prowadzenia określonej działalności gospodarczej lub zawodowej, o ile wynika to z odrębnych przepisów – zamawiający nie wyznacza warunku w tym zakresie.</w:t>
      </w:r>
    </w:p>
    <w:p w14:paraId="6B3FB6EB" w14:textId="77777777" w:rsidR="00CE6D4B" w:rsidRDefault="008934EA">
      <w:pPr>
        <w:pStyle w:val="Akapitzlist"/>
        <w:widowControl/>
        <w:numPr>
          <w:ilvl w:val="0"/>
          <w:numId w:val="4"/>
        </w:numPr>
        <w:suppressAutoHyphens w:val="0"/>
        <w:jc w:val="both"/>
      </w:pPr>
      <w:r>
        <w:rPr>
          <w:bCs/>
          <w:sz w:val="22"/>
          <w:szCs w:val="22"/>
        </w:rPr>
        <w:t>Sytuacja ekonomiczna lub finansowa – zamawiający nie wyznacza warunku w tym zakresie.</w:t>
      </w:r>
    </w:p>
    <w:p w14:paraId="065939A1" w14:textId="77777777" w:rsidR="00CE6D4B" w:rsidRDefault="008934EA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shd w:val="clear" w:color="auto" w:fill="81D41A"/>
        </w:rPr>
      </w:pPr>
      <w:r>
        <w:rPr>
          <w:bCs/>
          <w:sz w:val="22"/>
          <w:szCs w:val="22"/>
        </w:rPr>
        <w:lastRenderedPageBreak/>
        <w:t>Zdolność techniczna lub zawodowa – zamawiający nie wyznacza warunku w tym zakresie.</w:t>
      </w:r>
    </w:p>
    <w:p w14:paraId="28048A77" w14:textId="77777777" w:rsidR="00CE6D4B" w:rsidRDefault="00CE6D4B">
      <w:pPr>
        <w:widowControl/>
        <w:suppressAutoHyphens w:val="0"/>
        <w:jc w:val="both"/>
        <w:rPr>
          <w:b/>
          <w:bCs/>
          <w:sz w:val="22"/>
          <w:szCs w:val="22"/>
        </w:rPr>
      </w:pPr>
    </w:p>
    <w:p w14:paraId="5140BAD1" w14:textId="77777777" w:rsidR="00CE6D4B" w:rsidRDefault="00CE6D4B">
      <w:pPr>
        <w:widowControl/>
        <w:suppressAutoHyphens w:val="0"/>
        <w:jc w:val="both"/>
        <w:rPr>
          <w:b/>
          <w:bCs/>
          <w:sz w:val="22"/>
          <w:szCs w:val="22"/>
        </w:rPr>
      </w:pPr>
    </w:p>
    <w:p w14:paraId="3B4BB79F" w14:textId="77777777" w:rsidR="00CE6D4B" w:rsidRDefault="008934EA">
      <w:pPr>
        <w:widowControl/>
        <w:suppressAutoHyphens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Rozdział VII – </w:t>
      </w:r>
      <w:r>
        <w:rPr>
          <w:b/>
          <w:bCs/>
          <w:sz w:val="22"/>
          <w:szCs w:val="22"/>
        </w:rPr>
        <w:t>Informacje o sposobie porozumiewania się zamawiającego z wykonawcami oraz przekazywania oświadczeń i dokumentów wraz ze wskazaniem osób uprawnionych do kontaktów z wykonawcami</w:t>
      </w:r>
    </w:p>
    <w:p w14:paraId="4BBB2C28" w14:textId="77777777" w:rsidR="00381023" w:rsidRDefault="00381023">
      <w:pPr>
        <w:widowControl/>
        <w:suppressAutoHyphens w:val="0"/>
        <w:jc w:val="both"/>
        <w:rPr>
          <w:b/>
          <w:bCs/>
          <w:sz w:val="22"/>
          <w:szCs w:val="22"/>
        </w:rPr>
      </w:pPr>
    </w:p>
    <w:p w14:paraId="37F920BA" w14:textId="77777777" w:rsidR="00381023" w:rsidRPr="00381023" w:rsidRDefault="00381023">
      <w:pPr>
        <w:widowControl/>
        <w:suppressAutoHyphens w:val="0"/>
        <w:jc w:val="both"/>
        <w:rPr>
          <w:bCs/>
          <w:sz w:val="22"/>
          <w:szCs w:val="22"/>
        </w:rPr>
      </w:pPr>
    </w:p>
    <w:p w14:paraId="0CF8B445" w14:textId="75767E52" w:rsidR="00381023" w:rsidRPr="00381023" w:rsidRDefault="00381023" w:rsidP="00381023">
      <w:pPr>
        <w:pStyle w:val="Akapitzlist"/>
        <w:widowControl/>
        <w:numPr>
          <w:ilvl w:val="0"/>
          <w:numId w:val="5"/>
        </w:numPr>
        <w:tabs>
          <w:tab w:val="left" w:pos="1560"/>
        </w:tabs>
        <w:suppressAutoHyphens w:val="0"/>
        <w:jc w:val="both"/>
        <w:rPr>
          <w:bCs/>
          <w:sz w:val="22"/>
          <w:szCs w:val="22"/>
        </w:rPr>
      </w:pPr>
      <w:r w:rsidRPr="00381023">
        <w:rPr>
          <w:bCs/>
          <w:sz w:val="22"/>
          <w:szCs w:val="22"/>
        </w:rPr>
        <w:t xml:space="preserve">Postępowanie o udzielenie zamówienia publicznego prowadzone jest </w:t>
      </w:r>
      <w:r w:rsidRPr="00381023">
        <w:rPr>
          <w:sz w:val="22"/>
          <w:szCs w:val="22"/>
        </w:rPr>
        <w:t>za pomocą Bazy Konkurencyjności zwanej dalej BK2021. Z</w:t>
      </w:r>
      <w:r w:rsidRPr="00381023">
        <w:rPr>
          <w:bCs/>
          <w:sz w:val="22"/>
          <w:szCs w:val="22"/>
        </w:rPr>
        <w:t>godnie z pkt. 1) Sekcji 3.2.3. Wytycznych dotyczących kwalifikowalności wydatków na lata 2021-2027, dla zamówień udzielanych w projektach perspektywy 2021-2027, wszystkie oferty powinny być składane za pośrednictwem aplikacji BK2021. Komunikacja między zamawiającym a oferentem (pytania/odpowiedzi) również musi odbywać się za pośrednictwem aplikacji BK2021</w:t>
      </w:r>
      <w:r w:rsidR="004D5A9D">
        <w:rPr>
          <w:bCs/>
          <w:sz w:val="22"/>
          <w:szCs w:val="22"/>
        </w:rPr>
        <w:t xml:space="preserve">, tj. </w:t>
      </w:r>
      <w:r w:rsidR="004D5A9D" w:rsidRPr="004D5A9D">
        <w:rPr>
          <w:bCs/>
          <w:sz w:val="22"/>
          <w:szCs w:val="22"/>
        </w:rPr>
        <w:t>https://bazakonkurencyjnosci.funduszeeuropejskie.gov.pl/</w:t>
      </w:r>
    </w:p>
    <w:p w14:paraId="773D7D31" w14:textId="77777777" w:rsidR="00381023" w:rsidRPr="00381023" w:rsidRDefault="00381023">
      <w:pPr>
        <w:pStyle w:val="Akapitzlist"/>
        <w:widowControl/>
        <w:suppressAutoHyphens w:val="0"/>
        <w:jc w:val="both"/>
        <w:rPr>
          <w:bCs/>
          <w:sz w:val="22"/>
          <w:szCs w:val="22"/>
        </w:rPr>
      </w:pPr>
    </w:p>
    <w:p w14:paraId="46AE7103" w14:textId="77777777" w:rsidR="00CE6D4B" w:rsidRDefault="008934EA">
      <w:pPr>
        <w:pStyle w:val="Akapitzlist"/>
        <w:widowControl/>
        <w:numPr>
          <w:ilvl w:val="0"/>
          <w:numId w:val="5"/>
        </w:numPr>
        <w:suppressAutoHyphens w:val="0"/>
        <w:jc w:val="both"/>
      </w:pPr>
      <w:r>
        <w:rPr>
          <w:bCs/>
          <w:sz w:val="22"/>
          <w:szCs w:val="22"/>
        </w:rPr>
        <w:t xml:space="preserve">Do porozumiewania z wykonawcami upoważniona w zakresie formalno-prawnym jest – </w:t>
      </w:r>
      <w:proofErr w:type="spellStart"/>
      <w:r>
        <w:rPr>
          <w:bCs/>
          <w:sz w:val="22"/>
          <w:szCs w:val="22"/>
        </w:rPr>
        <w:t>Janusz.Piasecki</w:t>
      </w:r>
      <w:proofErr w:type="spellEnd"/>
      <w:r>
        <w:rPr>
          <w:bCs/>
          <w:sz w:val="22"/>
          <w:szCs w:val="22"/>
        </w:rPr>
        <w:t>, tel. +48 697630918</w:t>
      </w:r>
      <w:r>
        <w:rPr>
          <w:b/>
          <w:bCs/>
          <w:i/>
          <w:sz w:val="22"/>
          <w:szCs w:val="22"/>
        </w:rPr>
        <w:t>.</w:t>
      </w:r>
    </w:p>
    <w:p w14:paraId="2D324D44" w14:textId="77777777" w:rsidR="00CE6D4B" w:rsidRDefault="00CE6D4B">
      <w:pPr>
        <w:widowControl/>
        <w:suppressAutoHyphens w:val="0"/>
        <w:jc w:val="both"/>
        <w:rPr>
          <w:b/>
          <w:bCs/>
          <w:sz w:val="22"/>
          <w:szCs w:val="22"/>
        </w:rPr>
      </w:pPr>
    </w:p>
    <w:p w14:paraId="7DCB06FC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 xml:space="preserve">Rozdział VIII – Wymagania dotyczące </w:t>
      </w:r>
      <w:r>
        <w:rPr>
          <w:b/>
          <w:bCs/>
          <w:sz w:val="22"/>
          <w:szCs w:val="22"/>
        </w:rPr>
        <w:t>wadium</w:t>
      </w:r>
    </w:p>
    <w:p w14:paraId="70D7F737" w14:textId="77777777" w:rsidR="00CE6D4B" w:rsidRDefault="008934EA">
      <w:pPr>
        <w:pStyle w:val="Akapitzlist"/>
        <w:widowControl/>
        <w:numPr>
          <w:ilvl w:val="0"/>
          <w:numId w:val="6"/>
        </w:numPr>
        <w:suppressAutoHyphens w:val="0"/>
        <w:jc w:val="both"/>
      </w:pPr>
      <w:r>
        <w:rPr>
          <w:bCs/>
          <w:sz w:val="22"/>
          <w:szCs w:val="22"/>
        </w:rPr>
        <w:t>Zamawiający nie przewiduje konieczności wniesienia wadium.</w:t>
      </w:r>
    </w:p>
    <w:p w14:paraId="2833FAFC" w14:textId="77777777" w:rsidR="00CE6D4B" w:rsidRDefault="00CE6D4B">
      <w:pPr>
        <w:widowControl/>
        <w:suppressAutoHyphens w:val="0"/>
        <w:jc w:val="both"/>
        <w:rPr>
          <w:b/>
          <w:bCs/>
          <w:sz w:val="22"/>
          <w:szCs w:val="22"/>
        </w:rPr>
      </w:pPr>
    </w:p>
    <w:p w14:paraId="6D304EB7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>Rozdział IX – Termin związania ofertą</w:t>
      </w:r>
    </w:p>
    <w:p w14:paraId="7148B305" w14:textId="77777777" w:rsidR="00CE6D4B" w:rsidRDefault="008934EA">
      <w:pPr>
        <w:pStyle w:val="Akapitzlist"/>
        <w:widowControl/>
        <w:numPr>
          <w:ilvl w:val="0"/>
          <w:numId w:val="7"/>
        </w:numPr>
        <w:suppressAutoHyphens w:val="0"/>
        <w:jc w:val="both"/>
      </w:pPr>
      <w:r>
        <w:rPr>
          <w:bCs/>
          <w:sz w:val="22"/>
          <w:szCs w:val="22"/>
        </w:rPr>
        <w:t>Wykonawca jest związany złożoną ofertą 30 dni od dnia upływu terminu składania ofert (włącznie).</w:t>
      </w:r>
    </w:p>
    <w:p w14:paraId="0D08C06E" w14:textId="77777777" w:rsidR="00CE6D4B" w:rsidRDefault="008934EA">
      <w:pPr>
        <w:pStyle w:val="Akapitzlist"/>
        <w:widowControl/>
        <w:numPr>
          <w:ilvl w:val="0"/>
          <w:numId w:val="7"/>
        </w:numPr>
        <w:suppressAutoHyphens w:val="0"/>
        <w:jc w:val="both"/>
      </w:pPr>
      <w:r>
        <w:rPr>
          <w:sz w:val="22"/>
          <w:szCs w:val="22"/>
        </w:rPr>
        <w:t>W przypadku, gdy wybór najkorzystniejszej oferty nie nastąpi przed upływem terminu związania ofertą określonego w SWZ, zamawiający przed upływem terminu związania ofertą zwraca się jednokrotnie do wykonawców o wyrażenie zgody na przedłużenie tego terminu o wskazywany przez niego okres, nie dłuższy niż 30 dni.</w:t>
      </w:r>
    </w:p>
    <w:p w14:paraId="23CAE7F2" w14:textId="77777777" w:rsidR="00CE6D4B" w:rsidRDefault="008934EA">
      <w:pPr>
        <w:pStyle w:val="Akapitzlist"/>
        <w:widowControl/>
        <w:numPr>
          <w:ilvl w:val="0"/>
          <w:numId w:val="7"/>
        </w:numPr>
        <w:suppressAutoHyphens w:val="0"/>
        <w:jc w:val="both"/>
      </w:pPr>
      <w:r>
        <w:rPr>
          <w:sz w:val="22"/>
          <w:szCs w:val="22"/>
        </w:rPr>
        <w:t>Przedłużenie terminu związania oferta, o którym mowa w ust. 2, wymaga złożenia przez wykonawcę pisemnego oświadczenia o wyrażeniu zgody na przedłużenie terminu związania ofertą.</w:t>
      </w:r>
    </w:p>
    <w:p w14:paraId="3A30FA4B" w14:textId="77777777" w:rsidR="00CE6D4B" w:rsidRDefault="00CE6D4B">
      <w:pPr>
        <w:widowControl/>
        <w:suppressAutoHyphens w:val="0"/>
        <w:jc w:val="both"/>
        <w:rPr>
          <w:b/>
          <w:bCs/>
          <w:sz w:val="22"/>
          <w:szCs w:val="22"/>
        </w:rPr>
      </w:pPr>
    </w:p>
    <w:p w14:paraId="03FEDEC0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>Rozdział X – Opis sposobu przygotowania ofert</w:t>
      </w:r>
    </w:p>
    <w:p w14:paraId="63B41482" w14:textId="77777777" w:rsidR="00CE6D4B" w:rsidRDefault="008934EA">
      <w:pPr>
        <w:pStyle w:val="Akapitzlist"/>
        <w:widowControl/>
        <w:numPr>
          <w:ilvl w:val="0"/>
          <w:numId w:val="8"/>
        </w:numPr>
        <w:suppressAutoHyphens w:val="0"/>
        <w:jc w:val="both"/>
      </w:pPr>
      <w:r>
        <w:rPr>
          <w:bCs/>
          <w:sz w:val="22"/>
          <w:szCs w:val="22"/>
        </w:rPr>
        <w:t>Każdy wykonawca może złożyć tylko jedną ofertę na realizację całości przedmiotu zamówienia.</w:t>
      </w:r>
    </w:p>
    <w:p w14:paraId="0E83B83D" w14:textId="77777777" w:rsidR="00CE6D4B" w:rsidRDefault="008934EA">
      <w:pPr>
        <w:pStyle w:val="Akapitzlist"/>
        <w:widowControl/>
        <w:numPr>
          <w:ilvl w:val="0"/>
          <w:numId w:val="8"/>
        </w:numPr>
        <w:suppressAutoHyphens w:val="0"/>
        <w:jc w:val="both"/>
      </w:pPr>
      <w:r>
        <w:rPr>
          <w:bCs/>
          <w:sz w:val="22"/>
          <w:szCs w:val="22"/>
        </w:rPr>
        <w:t>Ofertę składa się z zachowaniem formy i sposobu opisanych w rozdziale IX niniejszej SWZ.</w:t>
      </w:r>
    </w:p>
    <w:p w14:paraId="6E3FBD0C" w14:textId="5EEEC858" w:rsidR="00CE6D4B" w:rsidRDefault="008934EA">
      <w:pPr>
        <w:pStyle w:val="Akapitzlist"/>
        <w:widowControl/>
        <w:numPr>
          <w:ilvl w:val="0"/>
          <w:numId w:val="8"/>
        </w:numPr>
        <w:suppressAutoHyphens w:val="0"/>
        <w:jc w:val="both"/>
      </w:pPr>
      <w:r>
        <w:rPr>
          <w:bCs/>
          <w:sz w:val="22"/>
          <w:szCs w:val="22"/>
        </w:rPr>
        <w:t>Nie</w:t>
      </w:r>
      <w:r w:rsidR="0040435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dopuszcza się możliwości złożenia oferty przez dwa lub więcej podmiotów wspólnie ubiegających się o udzielenie zamówienia publicznego. </w:t>
      </w:r>
    </w:p>
    <w:p w14:paraId="1E445ABD" w14:textId="77777777" w:rsidR="00CE6D4B" w:rsidRDefault="008934EA">
      <w:pPr>
        <w:pStyle w:val="Akapitzlist"/>
        <w:widowControl/>
        <w:numPr>
          <w:ilvl w:val="0"/>
          <w:numId w:val="8"/>
        </w:numPr>
        <w:suppressAutoHyphens w:val="0"/>
        <w:jc w:val="both"/>
      </w:pPr>
      <w:r>
        <w:rPr>
          <w:bCs/>
          <w:sz w:val="22"/>
          <w:szCs w:val="22"/>
        </w:rPr>
        <w:t xml:space="preserve">Oferta musi być napisana w </w:t>
      </w:r>
      <w:r>
        <w:rPr>
          <w:bCs/>
          <w:sz w:val="22"/>
          <w:szCs w:val="22"/>
          <w:u w:val="single"/>
        </w:rPr>
        <w:t>języku polskim.</w:t>
      </w:r>
    </w:p>
    <w:p w14:paraId="3F59D55C" w14:textId="77777777" w:rsidR="00CE6D4B" w:rsidRDefault="008934EA">
      <w:pPr>
        <w:pStyle w:val="Akapitzlist"/>
        <w:widowControl/>
        <w:numPr>
          <w:ilvl w:val="0"/>
          <w:numId w:val="8"/>
        </w:numPr>
        <w:suppressAutoHyphens w:val="0"/>
        <w:ind w:left="714" w:hanging="357"/>
        <w:jc w:val="both"/>
      </w:pPr>
      <w:r>
        <w:rPr>
          <w:bCs/>
          <w:sz w:val="22"/>
          <w:szCs w:val="22"/>
        </w:rPr>
        <w:t xml:space="preserve">Oferta wraz ze wszystkimi jej załącznikami musi być podpisana przez osobę (osoby) </w:t>
      </w:r>
      <w:r>
        <w:rPr>
          <w:bCs/>
          <w:sz w:val="22"/>
          <w:szCs w:val="22"/>
          <w:u w:val="single"/>
        </w:rPr>
        <w:t>uprawnioną do reprezentacji wykonawcy</w:t>
      </w:r>
      <w:r>
        <w:rPr>
          <w:bCs/>
          <w:sz w:val="22"/>
          <w:szCs w:val="22"/>
        </w:rPr>
        <w:t xml:space="preserve">, zgodnie z wpisem do Krajowego Rejestru Sądowego, Centralnej Ewidencji i Informacji o Działalności Gospodarczej lub do innego, właściwego rejestru. </w:t>
      </w:r>
      <w:r>
        <w:rPr>
          <w:bCs/>
          <w:sz w:val="22"/>
          <w:szCs w:val="22"/>
          <w:u w:val="single"/>
        </w:rPr>
        <w:t xml:space="preserve">KRS lub </w:t>
      </w:r>
      <w:proofErr w:type="spellStart"/>
      <w:r>
        <w:rPr>
          <w:bCs/>
          <w:sz w:val="22"/>
          <w:szCs w:val="22"/>
          <w:u w:val="single"/>
        </w:rPr>
        <w:t>CEiDG</w:t>
      </w:r>
      <w:proofErr w:type="spellEnd"/>
      <w:r>
        <w:rPr>
          <w:bCs/>
          <w:sz w:val="22"/>
          <w:szCs w:val="22"/>
          <w:u w:val="single"/>
        </w:rPr>
        <w:t xml:space="preserve"> wykonawca załącza wraz z ofertą</w:t>
      </w:r>
      <w:r>
        <w:rPr>
          <w:bCs/>
          <w:sz w:val="22"/>
          <w:szCs w:val="22"/>
        </w:rPr>
        <w:t xml:space="preserve">, chyba że zmawiający może uzyskać je za pomocą bezpłatnych i ogólnodostępnych baz danych, a </w:t>
      </w:r>
      <w:r>
        <w:rPr>
          <w:bCs/>
          <w:sz w:val="22"/>
          <w:szCs w:val="22"/>
          <w:u w:val="single"/>
        </w:rPr>
        <w:t>wykonawca wskazał dane umożliwiające dostęp do tych dokumentów</w:t>
      </w:r>
      <w:r>
        <w:rPr>
          <w:bCs/>
          <w:sz w:val="22"/>
          <w:szCs w:val="22"/>
        </w:rPr>
        <w:t xml:space="preserve"> w treści oferty. Jeżeli w imieniu wykonawcy działa osoba, której umocowanie nie wynika z ww. dokumentów, wykonawca wraz z ofe</w:t>
      </w:r>
      <w:r>
        <w:rPr>
          <w:bCs/>
          <w:sz w:val="22"/>
          <w:szCs w:val="22"/>
        </w:rPr>
        <w:t xml:space="preserve">rtą przedkłada pełnomocnictwo lub inny dokument potwierdzający umocowanie do reprezentowania wykonawcy. </w:t>
      </w:r>
      <w:r>
        <w:rPr>
          <w:sz w:val="22"/>
          <w:szCs w:val="22"/>
        </w:rPr>
        <w:t>Pełnomocnictwa sporządzone w języku obcym wykonawca składa wraz z  tłumaczeniem na język polski.</w:t>
      </w:r>
    </w:p>
    <w:p w14:paraId="745AF5F2" w14:textId="77777777" w:rsidR="00CE6D4B" w:rsidRDefault="008934EA">
      <w:pPr>
        <w:pStyle w:val="Akapitzlist"/>
        <w:widowControl/>
        <w:numPr>
          <w:ilvl w:val="0"/>
          <w:numId w:val="8"/>
        </w:numPr>
        <w:suppressAutoHyphens w:val="0"/>
        <w:jc w:val="both"/>
      </w:pPr>
      <w:r>
        <w:rPr>
          <w:sz w:val="22"/>
          <w:szCs w:val="22"/>
        </w:rPr>
        <w:t>Pełnomocnictwo przekazuje się w postaci elektronicznej, opatrzonej kwalifikowanym podpisem elektronicznym, podpisem zaufanym lub podpisem osobistym. Pełnomocnictwo sporządzone jako dokument w postaci papierowej i opatrzony własnoręcznym podpisem przekazuje się jako cyfrowe odwzorowanie tego dokumentu opatrzone kwalifikowanym podpisem elektronicznym, podpisem zaufanym lub podpisem osobistym, poświadczającym zgodność cyfrowego odwzorowania z dokumentem w postaci papierowej, przy czym poświadczenia dokonuje mo</w:t>
      </w:r>
      <w:r>
        <w:rPr>
          <w:sz w:val="22"/>
          <w:szCs w:val="22"/>
        </w:rPr>
        <w:t xml:space="preserve">codawca lub notariusz, zgodnie z art. 97 § 2 ustawy z dnia 14 lutego 1991 r.  </w:t>
      </w:r>
      <w:r>
        <w:rPr>
          <w:b/>
          <w:bCs/>
          <w:sz w:val="22"/>
          <w:szCs w:val="22"/>
        </w:rPr>
        <w:t>–</w:t>
      </w:r>
      <w:r>
        <w:rPr>
          <w:sz w:val="22"/>
          <w:szCs w:val="22"/>
        </w:rPr>
        <w:t xml:space="preserve"> Prawo  </w:t>
      </w:r>
      <w:r>
        <w:rPr>
          <w:sz w:val="22"/>
          <w:szCs w:val="22"/>
        </w:rPr>
        <w:br/>
        <w:t xml:space="preserve"> o notariacie (</w:t>
      </w:r>
      <w:r>
        <w:rPr>
          <w:iCs/>
          <w:sz w:val="22"/>
          <w:szCs w:val="22"/>
        </w:rPr>
        <w:t xml:space="preserve">Dz. U. 2022 r., poz. 1799 z </w:t>
      </w:r>
      <w:proofErr w:type="spellStart"/>
      <w:r>
        <w:rPr>
          <w:iCs/>
          <w:sz w:val="22"/>
          <w:szCs w:val="22"/>
        </w:rPr>
        <w:t>późn</w:t>
      </w:r>
      <w:proofErr w:type="spellEnd"/>
      <w:r>
        <w:rPr>
          <w:iCs/>
          <w:sz w:val="22"/>
          <w:szCs w:val="22"/>
        </w:rPr>
        <w:t>. zm</w:t>
      </w:r>
      <w:r>
        <w:rPr>
          <w:sz w:val="22"/>
          <w:szCs w:val="22"/>
        </w:rPr>
        <w:t>.)</w:t>
      </w:r>
      <w:r>
        <w:rPr>
          <w:bCs/>
          <w:sz w:val="22"/>
          <w:szCs w:val="22"/>
        </w:rPr>
        <w:t xml:space="preserve">. </w:t>
      </w:r>
    </w:p>
    <w:p w14:paraId="609A48B6" w14:textId="77777777" w:rsidR="00CE6D4B" w:rsidRDefault="008934EA">
      <w:pPr>
        <w:pStyle w:val="Akapitzlist"/>
        <w:widowControl/>
        <w:numPr>
          <w:ilvl w:val="0"/>
          <w:numId w:val="8"/>
        </w:numPr>
        <w:suppressAutoHyphens w:val="0"/>
        <w:jc w:val="both"/>
      </w:pPr>
      <w:r>
        <w:rPr>
          <w:bCs/>
          <w:sz w:val="22"/>
          <w:szCs w:val="22"/>
        </w:rPr>
        <w:lastRenderedPageBreak/>
        <w:t xml:space="preserve">Oferta </w:t>
      </w:r>
      <w:r>
        <w:rPr>
          <w:sz w:val="22"/>
          <w:szCs w:val="22"/>
        </w:rPr>
        <w:t>wraz ze stanowiącymi jej integralną część załącznikami musi być sporządzona przez wykonawcę, wedle treści postanowień niniejszej SWZ i jej załączników, a w szczególności musi zawierać:</w:t>
      </w:r>
    </w:p>
    <w:p w14:paraId="19E45B71" w14:textId="77777777" w:rsidR="00CE6D4B" w:rsidRDefault="008934EA">
      <w:pPr>
        <w:pStyle w:val="Akapitzlist"/>
        <w:widowControl/>
        <w:numPr>
          <w:ilvl w:val="1"/>
          <w:numId w:val="8"/>
        </w:numPr>
        <w:suppressAutoHyphens w:val="0"/>
        <w:jc w:val="both"/>
      </w:pPr>
      <w:r>
        <w:rPr>
          <w:sz w:val="22"/>
          <w:szCs w:val="22"/>
        </w:rPr>
        <w:t>formularz oferty wraz z załącznikami, w tym:</w:t>
      </w:r>
    </w:p>
    <w:p w14:paraId="6894B20D" w14:textId="77777777" w:rsidR="00CE6D4B" w:rsidRDefault="008934EA">
      <w:pPr>
        <w:pStyle w:val="Akapitzlist"/>
        <w:widowControl/>
        <w:numPr>
          <w:ilvl w:val="1"/>
          <w:numId w:val="8"/>
        </w:numPr>
        <w:suppressAutoHyphens w:val="0"/>
        <w:jc w:val="both"/>
      </w:pPr>
      <w:r>
        <w:rPr>
          <w:bCs/>
          <w:sz w:val="22"/>
          <w:szCs w:val="22"/>
        </w:rPr>
        <w:t xml:space="preserve"> ceny oferty, uwzględniającą wymagania i zapisy SWZ;</w:t>
      </w:r>
    </w:p>
    <w:p w14:paraId="2B7F78D0" w14:textId="77777777" w:rsidR="00CE6D4B" w:rsidRDefault="008934EA">
      <w:pPr>
        <w:pStyle w:val="Akapitzlist"/>
        <w:widowControl/>
        <w:numPr>
          <w:ilvl w:val="1"/>
          <w:numId w:val="8"/>
        </w:numPr>
        <w:suppressAutoHyphens w:val="0"/>
        <w:jc w:val="both"/>
      </w:pPr>
      <w:r>
        <w:rPr>
          <w:bCs/>
          <w:sz w:val="22"/>
          <w:szCs w:val="22"/>
        </w:rPr>
        <w:t>pełnomocnictwo lub inny dokument potwierdzający umocowanie do reprezentowania wykonawcy;</w:t>
      </w:r>
    </w:p>
    <w:p w14:paraId="544A801B" w14:textId="77777777" w:rsidR="00CE6D4B" w:rsidRDefault="008934EA">
      <w:pPr>
        <w:pStyle w:val="Akapitzlist"/>
        <w:widowControl/>
        <w:numPr>
          <w:ilvl w:val="1"/>
          <w:numId w:val="8"/>
        </w:numPr>
        <w:suppressAutoHyphens w:val="0"/>
        <w:jc w:val="both"/>
      </w:pPr>
      <w:r>
        <w:rPr>
          <w:bCs/>
          <w:sz w:val="22"/>
          <w:szCs w:val="22"/>
        </w:rPr>
        <w:t>przedmiotowe środki dowodowe, zgodnie z zapisami rozdziału IV;</w:t>
      </w:r>
    </w:p>
    <w:p w14:paraId="49215CA8" w14:textId="77777777" w:rsidR="00CE6D4B" w:rsidRDefault="008934EA">
      <w:pPr>
        <w:pStyle w:val="Akapitzlist"/>
        <w:widowControl/>
        <w:numPr>
          <w:ilvl w:val="1"/>
          <w:numId w:val="8"/>
        </w:numPr>
        <w:suppressAutoHyphens w:val="0"/>
        <w:jc w:val="both"/>
      </w:pPr>
      <w:bookmarkStart w:id="7" w:name="_Hlk150954011"/>
      <w:r>
        <w:rPr>
          <w:bCs/>
          <w:sz w:val="22"/>
          <w:szCs w:val="22"/>
        </w:rPr>
        <w:t xml:space="preserve">KRS lub </w:t>
      </w:r>
      <w:proofErr w:type="spellStart"/>
      <w:r>
        <w:rPr>
          <w:bCs/>
          <w:sz w:val="22"/>
          <w:szCs w:val="22"/>
        </w:rPr>
        <w:t>CEiDG</w:t>
      </w:r>
      <w:proofErr w:type="spellEnd"/>
      <w:r>
        <w:rPr>
          <w:bCs/>
          <w:sz w:val="22"/>
          <w:szCs w:val="22"/>
        </w:rPr>
        <w:t xml:space="preserve"> – o ile nie podano danych do ogólnodostępnych baz;</w:t>
      </w:r>
      <w:bookmarkEnd w:id="7"/>
    </w:p>
    <w:p w14:paraId="1FEC727F" w14:textId="77777777" w:rsidR="00CE6D4B" w:rsidRDefault="008934EA">
      <w:pPr>
        <w:pStyle w:val="Akapitzlist"/>
        <w:widowControl/>
        <w:numPr>
          <w:ilvl w:val="0"/>
          <w:numId w:val="8"/>
        </w:numPr>
        <w:suppressAutoHyphens w:val="0"/>
        <w:jc w:val="both"/>
      </w:pPr>
      <w:r>
        <w:rPr>
          <w:sz w:val="22"/>
          <w:szCs w:val="22"/>
        </w:rPr>
        <w:t xml:space="preserve">Jeżeli wykonawca </w:t>
      </w:r>
      <w:r>
        <w:rPr>
          <w:sz w:val="22"/>
          <w:szCs w:val="22"/>
          <w:u w:val="single"/>
        </w:rPr>
        <w:t>zastrzega sobie prawo do nieudostępnienia innym uczestnikom postępowania informacji stanowiących tajemnicę przedsiębiorstwa</w:t>
      </w:r>
      <w:r>
        <w:rPr>
          <w:sz w:val="22"/>
          <w:szCs w:val="22"/>
        </w:rPr>
        <w:t xml:space="preserve"> w rozumieniu przepisów o zwalczaniu nieuczciwej konkurencji, to składa w treści oferty stosowne oświadczenie zawierające wykaz zastrzeżonych dokumentów wraz z uzasadnieniem ich utajnienia. Dokumenty opatrzone klauzulą; „Dokument zastrzeżony” winny być załączone łącznie z ww. oświadczeniem, </w:t>
      </w:r>
      <w:r>
        <w:rPr>
          <w:sz w:val="22"/>
          <w:szCs w:val="22"/>
        </w:rPr>
        <w:br/>
        <w:t xml:space="preserve">na końcu oferty. </w:t>
      </w:r>
    </w:p>
    <w:p w14:paraId="4CF14754" w14:textId="77777777" w:rsidR="00CE6D4B" w:rsidRDefault="008934EA">
      <w:pPr>
        <w:pStyle w:val="Akapitzlist"/>
        <w:widowControl/>
        <w:numPr>
          <w:ilvl w:val="1"/>
          <w:numId w:val="44"/>
        </w:numPr>
        <w:suppressAutoHyphens w:val="0"/>
        <w:jc w:val="both"/>
      </w:pPr>
      <w:r>
        <w:rPr>
          <w:sz w:val="22"/>
          <w:szCs w:val="22"/>
        </w:rPr>
        <w:t>Wykonawca nie może zastrzec następujących informacji: nazw albo imion i nazwisk oraz siedzib lub miejsc prowadzonej działalności gospodarczej lub miejsc zamieszkania wykonawców, których oferty zostały otwarte; cen lub kosztów zawartych w ofertach.</w:t>
      </w:r>
    </w:p>
    <w:p w14:paraId="5F4A4F82" w14:textId="77777777" w:rsidR="00CE6D4B" w:rsidRDefault="008934EA">
      <w:pPr>
        <w:pStyle w:val="Akapitzlist"/>
        <w:widowControl/>
        <w:numPr>
          <w:ilvl w:val="0"/>
          <w:numId w:val="8"/>
        </w:numPr>
        <w:suppressAutoHyphens w:val="0"/>
        <w:jc w:val="both"/>
      </w:pPr>
      <w:r>
        <w:rPr>
          <w:bCs/>
          <w:sz w:val="22"/>
          <w:szCs w:val="22"/>
        </w:rPr>
        <w:t>Wszystkie koszty związane z przygotowaniem i złożeniem oferty ponosi wykonawca.</w:t>
      </w:r>
    </w:p>
    <w:p w14:paraId="40D920F1" w14:textId="77777777" w:rsidR="00CE6D4B" w:rsidRDefault="00CE6D4B">
      <w:pPr>
        <w:widowControl/>
        <w:suppressAutoHyphens w:val="0"/>
        <w:jc w:val="both"/>
        <w:rPr>
          <w:b/>
          <w:bCs/>
          <w:sz w:val="22"/>
          <w:szCs w:val="22"/>
        </w:rPr>
      </w:pPr>
    </w:p>
    <w:p w14:paraId="64D19AE9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>Rozdział XI – Miejsce oraz termin składania i otwarcia ofert</w:t>
      </w:r>
    </w:p>
    <w:p w14:paraId="5830C2EC" w14:textId="6E6D841F" w:rsidR="00CE6D4B" w:rsidRDefault="008934EA">
      <w:pPr>
        <w:numPr>
          <w:ilvl w:val="0"/>
          <w:numId w:val="9"/>
        </w:numPr>
        <w:contextualSpacing/>
        <w:jc w:val="both"/>
      </w:pPr>
      <w:r>
        <w:rPr>
          <w:bCs/>
          <w:sz w:val="22"/>
          <w:szCs w:val="22"/>
        </w:rPr>
        <w:t xml:space="preserve">Oferty należy składać w terminie </w:t>
      </w:r>
      <w:r>
        <w:rPr>
          <w:b/>
          <w:bCs/>
          <w:i/>
          <w:sz w:val="22"/>
          <w:szCs w:val="22"/>
        </w:rPr>
        <w:t xml:space="preserve">do dnia </w:t>
      </w:r>
      <w:r w:rsidR="00381023">
        <w:rPr>
          <w:b/>
          <w:bCs/>
          <w:i/>
          <w:sz w:val="22"/>
          <w:szCs w:val="22"/>
        </w:rPr>
        <w:t>8</w:t>
      </w:r>
      <w:r>
        <w:rPr>
          <w:b/>
          <w:bCs/>
          <w:i/>
          <w:sz w:val="22"/>
          <w:szCs w:val="22"/>
        </w:rPr>
        <w:t>.12.2023 r., do godziny 10:00.</w:t>
      </w:r>
    </w:p>
    <w:p w14:paraId="23D655CB" w14:textId="2B7E4E95" w:rsidR="004D5A9D" w:rsidRPr="004D5A9D" w:rsidRDefault="00404356">
      <w:pPr>
        <w:pStyle w:val="Akapitzlist"/>
        <w:widowControl/>
        <w:numPr>
          <w:ilvl w:val="0"/>
          <w:numId w:val="9"/>
        </w:numPr>
        <w:suppressAutoHyphens w:val="0"/>
        <w:jc w:val="both"/>
      </w:pPr>
      <w:r>
        <w:rPr>
          <w:bCs/>
          <w:sz w:val="22"/>
          <w:szCs w:val="22"/>
        </w:rPr>
        <w:t>O</w:t>
      </w:r>
      <w:r w:rsidRPr="00381023">
        <w:rPr>
          <w:bCs/>
          <w:sz w:val="22"/>
          <w:szCs w:val="22"/>
        </w:rPr>
        <w:t>ferty powinny być składane za pośrednictwem aplikacji BK2021</w:t>
      </w:r>
      <w:r>
        <w:rPr>
          <w:bCs/>
          <w:sz w:val="22"/>
          <w:szCs w:val="22"/>
        </w:rPr>
        <w:t>.</w:t>
      </w:r>
    </w:p>
    <w:p w14:paraId="1EFA0A16" w14:textId="69A2C116" w:rsidR="00CE6D4B" w:rsidRDefault="008934EA">
      <w:pPr>
        <w:pStyle w:val="Akapitzlist"/>
        <w:widowControl/>
        <w:numPr>
          <w:ilvl w:val="0"/>
          <w:numId w:val="9"/>
        </w:numPr>
        <w:suppressAutoHyphens w:val="0"/>
        <w:jc w:val="both"/>
      </w:pPr>
      <w:r>
        <w:rPr>
          <w:sz w:val="22"/>
          <w:szCs w:val="22"/>
        </w:rPr>
        <w:t>Zamawiający odrzuci ofertę złożoną po terminie składania ofert.</w:t>
      </w:r>
    </w:p>
    <w:p w14:paraId="4ABD13DD" w14:textId="009B3FE4" w:rsidR="00CE6D4B" w:rsidRDefault="008934EA" w:rsidP="00404356">
      <w:pPr>
        <w:pStyle w:val="Akapitzlist"/>
        <w:widowControl/>
        <w:numPr>
          <w:ilvl w:val="0"/>
          <w:numId w:val="9"/>
        </w:numPr>
        <w:suppressAutoHyphens w:val="0"/>
        <w:jc w:val="both"/>
      </w:pPr>
      <w:r>
        <w:rPr>
          <w:sz w:val="22"/>
          <w:szCs w:val="22"/>
        </w:rPr>
        <w:t xml:space="preserve">Otwarcie ofert nastąpi </w:t>
      </w:r>
      <w:r>
        <w:rPr>
          <w:b/>
          <w:i/>
          <w:iCs/>
          <w:sz w:val="22"/>
          <w:szCs w:val="22"/>
        </w:rPr>
        <w:t xml:space="preserve">w dniu </w:t>
      </w:r>
      <w:r w:rsidR="00404356">
        <w:rPr>
          <w:b/>
          <w:i/>
          <w:iCs/>
          <w:sz w:val="22"/>
          <w:szCs w:val="22"/>
        </w:rPr>
        <w:t>8</w:t>
      </w:r>
      <w:r>
        <w:rPr>
          <w:b/>
          <w:i/>
          <w:iCs/>
          <w:sz w:val="22"/>
          <w:szCs w:val="22"/>
        </w:rPr>
        <w:t>.12.2023 r., o godzinie 10:30</w:t>
      </w:r>
      <w:r w:rsidR="00404356">
        <w:rPr>
          <w:b/>
          <w:i/>
          <w:iCs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2AFF4B4" w14:textId="77777777" w:rsidR="00CE6D4B" w:rsidRDefault="008934EA">
      <w:pPr>
        <w:pStyle w:val="Nagwek"/>
        <w:widowControl/>
        <w:numPr>
          <w:ilvl w:val="0"/>
          <w:numId w:val="9"/>
        </w:numPr>
        <w:suppressAutoHyphens w:val="0"/>
        <w:jc w:val="both"/>
      </w:pPr>
      <w:r>
        <w:rPr>
          <w:sz w:val="22"/>
          <w:szCs w:val="22"/>
        </w:rPr>
        <w:t>Z</w:t>
      </w:r>
      <w:r>
        <w:rPr>
          <w:sz w:val="22"/>
          <w:szCs w:val="22"/>
        </w:rPr>
        <w:t>amawiający niezwłocznie po otwarciu ofert, udostępni na stronie internetowej prowadzonego postępowania informacje o:</w:t>
      </w:r>
    </w:p>
    <w:p w14:paraId="434B7B0D" w14:textId="77777777" w:rsidR="00CE6D4B" w:rsidRDefault="008934EA">
      <w:pPr>
        <w:pStyle w:val="Nagwek"/>
        <w:widowControl/>
        <w:numPr>
          <w:ilvl w:val="1"/>
          <w:numId w:val="9"/>
        </w:numPr>
        <w:tabs>
          <w:tab w:val="clear" w:pos="4536"/>
          <w:tab w:val="clear" w:pos="9072"/>
        </w:tabs>
        <w:suppressAutoHyphens w:val="0"/>
        <w:jc w:val="both"/>
      </w:pPr>
      <w:r>
        <w:rPr>
          <w:sz w:val="22"/>
          <w:szCs w:val="22"/>
        </w:rPr>
        <w:t xml:space="preserve">nazwach albo imionach i </w:t>
      </w:r>
      <w:r>
        <w:rPr>
          <w:sz w:val="22"/>
          <w:szCs w:val="22"/>
        </w:rPr>
        <w:t>nazwiskach oraz siedzibach lub miejscach prowadzonej działalności gospodarczej albo miejscach zamieszkania wykonawców, których oferty zostały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otwarte;</w:t>
      </w:r>
    </w:p>
    <w:p w14:paraId="41BC7D83" w14:textId="77777777" w:rsidR="00CE6D4B" w:rsidRDefault="008934EA">
      <w:pPr>
        <w:pStyle w:val="Nagwek"/>
        <w:widowControl/>
        <w:numPr>
          <w:ilvl w:val="1"/>
          <w:numId w:val="9"/>
        </w:numPr>
        <w:tabs>
          <w:tab w:val="clear" w:pos="4536"/>
          <w:tab w:val="clear" w:pos="9072"/>
        </w:tabs>
        <w:suppressAutoHyphens w:val="0"/>
        <w:jc w:val="both"/>
      </w:pPr>
      <w:r>
        <w:rPr>
          <w:sz w:val="22"/>
          <w:szCs w:val="22"/>
        </w:rPr>
        <w:t>cenach lub kosztach zawartych w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ofertach.</w:t>
      </w:r>
    </w:p>
    <w:p w14:paraId="7727D19E" w14:textId="77777777" w:rsidR="00CE6D4B" w:rsidRDefault="008934EA">
      <w:pPr>
        <w:pStyle w:val="Akapitzlist"/>
        <w:widowControl/>
        <w:numPr>
          <w:ilvl w:val="0"/>
          <w:numId w:val="9"/>
        </w:numPr>
        <w:suppressAutoHyphens w:val="0"/>
        <w:jc w:val="both"/>
      </w:pPr>
      <w:r>
        <w:rPr>
          <w:sz w:val="22"/>
          <w:szCs w:val="22"/>
          <w:u w:val="single"/>
        </w:rPr>
        <w:t>Zamawiający nie przewiduje przeprowadzania jawnej sesji otwarcia ofert z udziałem wykonawców, jak też transmitowania sesji otwarcia za pośrednictwem elektronicznych narzędzi do przekazu wideo on-line.</w:t>
      </w:r>
    </w:p>
    <w:p w14:paraId="4DA1A218" w14:textId="77777777" w:rsidR="00CE6D4B" w:rsidRDefault="00CE6D4B">
      <w:pPr>
        <w:widowControl/>
        <w:suppressAutoHyphens w:val="0"/>
        <w:jc w:val="both"/>
        <w:rPr>
          <w:b/>
          <w:bCs/>
          <w:sz w:val="22"/>
          <w:szCs w:val="22"/>
        </w:rPr>
      </w:pPr>
    </w:p>
    <w:p w14:paraId="4CD44AC2" w14:textId="77777777" w:rsidR="00CE6D4B" w:rsidRDefault="008934EA">
      <w:pPr>
        <w:widowControl/>
        <w:suppressAutoHyphens w:val="0"/>
        <w:spacing w:line="276" w:lineRule="auto"/>
        <w:jc w:val="both"/>
      </w:pPr>
      <w:r>
        <w:rPr>
          <w:b/>
          <w:bCs/>
          <w:sz w:val="22"/>
          <w:szCs w:val="22"/>
        </w:rPr>
        <w:t>Rozdział XI – Opis sposobu obliczania ceny</w:t>
      </w:r>
    </w:p>
    <w:p w14:paraId="0744DEBB" w14:textId="77777777" w:rsidR="00CE6D4B" w:rsidRDefault="008934EA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jc w:val="both"/>
      </w:pPr>
      <w:r>
        <w:rPr>
          <w:color w:val="000000"/>
          <w:sz w:val="22"/>
          <w:szCs w:val="22"/>
        </w:rPr>
        <w:t xml:space="preserve">Wykonawca musi przedstawić wyrażoną w PLN cenę za realizację całości przedmiotu zamówienia </w:t>
      </w:r>
      <w:r>
        <w:rPr>
          <w:i/>
          <w:iCs/>
          <w:sz w:val="22"/>
          <w:szCs w:val="22"/>
          <w:u w:val="single"/>
        </w:rPr>
        <w:t>z podaniem:</w:t>
      </w:r>
      <w:r>
        <w:rPr>
          <w:i/>
          <w:iCs/>
          <w:sz w:val="22"/>
          <w:szCs w:val="22"/>
        </w:rPr>
        <w:t xml:space="preserve"> </w:t>
      </w:r>
    </w:p>
    <w:p w14:paraId="78214EC6" w14:textId="77777777" w:rsidR="00CE6D4B" w:rsidRDefault="008934EA">
      <w:pPr>
        <w:widowControl/>
        <w:numPr>
          <w:ilvl w:val="1"/>
          <w:numId w:val="27"/>
        </w:numPr>
        <w:suppressAutoHyphens w:val="0"/>
        <w:ind w:left="1418" w:hanging="709"/>
        <w:jc w:val="both"/>
      </w:pPr>
      <w:r>
        <w:rPr>
          <w:sz w:val="22"/>
          <w:szCs w:val="22"/>
        </w:rPr>
        <w:t xml:space="preserve">ceny jednostkowej i sumarycznej netto, </w:t>
      </w:r>
    </w:p>
    <w:p w14:paraId="30D7ED87" w14:textId="77777777" w:rsidR="00CE6D4B" w:rsidRDefault="008934EA">
      <w:pPr>
        <w:widowControl/>
        <w:numPr>
          <w:ilvl w:val="1"/>
          <w:numId w:val="27"/>
        </w:numPr>
        <w:suppressAutoHyphens w:val="0"/>
        <w:ind w:left="1418" w:hanging="709"/>
        <w:jc w:val="both"/>
      </w:pPr>
      <w:r>
        <w:rPr>
          <w:sz w:val="22"/>
          <w:szCs w:val="22"/>
        </w:rPr>
        <w:t xml:space="preserve">wysokości należnego podatku od towarów i usług VAT oraz </w:t>
      </w:r>
    </w:p>
    <w:p w14:paraId="66C02796" w14:textId="77777777" w:rsidR="00CE6D4B" w:rsidRDefault="008934EA">
      <w:pPr>
        <w:widowControl/>
        <w:numPr>
          <w:ilvl w:val="1"/>
          <w:numId w:val="27"/>
        </w:numPr>
        <w:suppressAutoHyphens w:val="0"/>
        <w:ind w:left="1418" w:hanging="709"/>
        <w:jc w:val="both"/>
      </w:pPr>
      <w:r>
        <w:rPr>
          <w:sz w:val="22"/>
          <w:szCs w:val="22"/>
        </w:rPr>
        <w:t xml:space="preserve">ceny sumarycznej brutto, </w:t>
      </w:r>
    </w:p>
    <w:p w14:paraId="74BB93A2" w14:textId="77777777" w:rsidR="00CE6D4B" w:rsidRDefault="008934EA">
      <w:pPr>
        <w:tabs>
          <w:tab w:val="left" w:pos="900"/>
        </w:tabs>
        <w:ind w:left="709"/>
        <w:jc w:val="both"/>
      </w:pPr>
      <w:r>
        <w:rPr>
          <w:color w:val="000000"/>
          <w:sz w:val="22"/>
          <w:szCs w:val="22"/>
        </w:rPr>
        <w:t xml:space="preserve">przy uwzględnieniu wymagań i zapisów ujętych w niniejszej SWZ i jej załącznikach oraz przy </w:t>
      </w:r>
      <w:r>
        <w:rPr>
          <w:color w:val="000000"/>
          <w:sz w:val="22"/>
          <w:szCs w:val="22"/>
        </w:rPr>
        <w:t>uwzględnieniu rabatów, opustów, itp., których wykonawca zamierza udzielić.</w:t>
      </w:r>
    </w:p>
    <w:p w14:paraId="5B1BAE81" w14:textId="77777777" w:rsidR="00CE6D4B" w:rsidRDefault="008934EA">
      <w:pPr>
        <w:pStyle w:val="Akapitzlist"/>
        <w:widowControl/>
        <w:numPr>
          <w:ilvl w:val="0"/>
          <w:numId w:val="10"/>
        </w:numPr>
        <w:suppressAutoHyphens w:val="0"/>
        <w:jc w:val="both"/>
      </w:pPr>
      <w:r>
        <w:rPr>
          <w:color w:val="000000"/>
          <w:sz w:val="22"/>
          <w:szCs w:val="22"/>
        </w:rPr>
        <w:t xml:space="preserve">Sumaryczna cena za realizację całości </w:t>
      </w:r>
      <w:r>
        <w:rPr>
          <w:sz w:val="22"/>
          <w:szCs w:val="22"/>
        </w:rPr>
        <w:t>przedmiotu zamówienia</w:t>
      </w:r>
      <w:r>
        <w:rPr>
          <w:color w:val="000000"/>
          <w:sz w:val="22"/>
          <w:szCs w:val="22"/>
        </w:rPr>
        <w:t xml:space="preserve"> musi uwzględniać wszystkie koszty związane z prawidłową realizacją przedmiotu zamówienia.</w:t>
      </w:r>
    </w:p>
    <w:p w14:paraId="5002600E" w14:textId="77777777" w:rsidR="00CE6D4B" w:rsidRDefault="008934EA">
      <w:pPr>
        <w:pStyle w:val="Akapitzlist"/>
        <w:widowControl/>
        <w:numPr>
          <w:ilvl w:val="0"/>
          <w:numId w:val="10"/>
        </w:numPr>
        <w:suppressAutoHyphens w:val="0"/>
        <w:jc w:val="both"/>
      </w:pPr>
      <w:r>
        <w:rPr>
          <w:bCs/>
          <w:iCs/>
          <w:color w:val="000000"/>
          <w:sz w:val="22"/>
          <w:szCs w:val="22"/>
        </w:rPr>
        <w:t>Nie przewiduje się żadnych przedpłat ani zaliczek na poczet realizacji przedmiotu umowy.</w:t>
      </w:r>
    </w:p>
    <w:p w14:paraId="062BE716" w14:textId="77777777" w:rsidR="00CE6D4B" w:rsidRDefault="008934EA">
      <w:pPr>
        <w:pStyle w:val="Akapitzlist"/>
        <w:widowControl/>
        <w:numPr>
          <w:ilvl w:val="0"/>
          <w:numId w:val="10"/>
        </w:numPr>
        <w:suppressAutoHyphens w:val="0"/>
        <w:jc w:val="both"/>
      </w:pPr>
      <w:r>
        <w:rPr>
          <w:bCs/>
          <w:iCs/>
          <w:sz w:val="22"/>
          <w:szCs w:val="22"/>
        </w:rPr>
        <w:t xml:space="preserve">W przypadku złożenia oferty przez wykonawcę niezobowiązanego, bądź zwolnionego z obowiązku odprowadzania podatku od towarów i usług VAT, podczas czynności porównania ofert, zamawiający doliczy do zaoferowanej przez ww. wykonawcę ceny stosowny podatek, </w:t>
      </w:r>
      <w:r>
        <w:rPr>
          <w:bCs/>
          <w:iCs/>
          <w:sz w:val="22"/>
          <w:szCs w:val="22"/>
        </w:rPr>
        <w:br/>
        <w:t>do uiszczenia którego będzie obowiązany. W tym wypadku koszt podatku pokrywa zamawiający.</w:t>
      </w:r>
    </w:p>
    <w:p w14:paraId="5D4CDCFB" w14:textId="77777777" w:rsidR="00CE6D4B" w:rsidRDefault="008934EA">
      <w:pPr>
        <w:pStyle w:val="Akapitzlist"/>
        <w:widowControl/>
        <w:numPr>
          <w:ilvl w:val="0"/>
          <w:numId w:val="10"/>
        </w:numPr>
        <w:suppressAutoHyphens w:val="0"/>
        <w:jc w:val="both"/>
      </w:pPr>
      <w:r>
        <w:rPr>
          <w:bCs/>
          <w:iCs/>
          <w:sz w:val="22"/>
          <w:szCs w:val="22"/>
          <w:u w:val="single"/>
        </w:rPr>
        <w:t xml:space="preserve">Ceny muszą być podane i wyliczone w zaokrągleniu do dwóch miejsc po przecinku (zasada zaokrąglenia – poniżej 5 należy końcówkę pominąć, powyżej i równe 5 należy zaokrąglić w górę). </w:t>
      </w:r>
    </w:p>
    <w:p w14:paraId="68C6668B" w14:textId="77777777" w:rsidR="00CE6D4B" w:rsidRDefault="008934EA">
      <w:pPr>
        <w:numPr>
          <w:ilvl w:val="0"/>
          <w:numId w:val="10"/>
        </w:numPr>
        <w:contextualSpacing/>
        <w:jc w:val="both"/>
      </w:pPr>
      <w:r>
        <w:rPr>
          <w:bCs/>
          <w:color w:val="000000"/>
          <w:sz w:val="22"/>
          <w:szCs w:val="22"/>
        </w:rPr>
        <w:t>W</w:t>
      </w:r>
      <w:r>
        <w:rPr>
          <w:sz w:val="22"/>
          <w:szCs w:val="22"/>
        </w:rPr>
        <w:t xml:space="preserve"> czasie obowiązywania zawartej z wyłonionym wykonawcą umowy wysokość maksymalnego </w:t>
      </w:r>
      <w:r>
        <w:rPr>
          <w:sz w:val="22"/>
          <w:szCs w:val="22"/>
        </w:rPr>
        <w:lastRenderedPageBreak/>
        <w:t>wynagrodzenia należnego wykonawcy może ulec zmianie w drodze pisemnego aneksu w przypadkach opisanych w treści załączonego do niniejszej SWZ wzoru umowy.</w:t>
      </w:r>
    </w:p>
    <w:p w14:paraId="1E58C8C7" w14:textId="77777777" w:rsidR="00CE6D4B" w:rsidRDefault="00CE6D4B">
      <w:pPr>
        <w:widowControl/>
        <w:suppressAutoHyphens w:val="0"/>
        <w:jc w:val="both"/>
        <w:rPr>
          <w:shd w:val="clear" w:color="auto" w:fill="81D41A"/>
        </w:rPr>
      </w:pPr>
    </w:p>
    <w:p w14:paraId="4F1B2B72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>Rozdział XII</w:t>
      </w:r>
      <w:r>
        <w:rPr>
          <w:b/>
          <w:bCs/>
          <w:sz w:val="22"/>
          <w:szCs w:val="22"/>
        </w:rPr>
        <w:t xml:space="preserve"> – Opis kryteriów, którymi zamawiający będzie się kierował przy wyborze oferty wraz z podaniem ich znaczenia i sposobu oceny ofert</w:t>
      </w:r>
    </w:p>
    <w:p w14:paraId="605E943F" w14:textId="77777777" w:rsidR="00CE6D4B" w:rsidRDefault="008934EA">
      <w:pPr>
        <w:pStyle w:val="Akapitzlist"/>
        <w:widowControl/>
        <w:numPr>
          <w:ilvl w:val="0"/>
          <w:numId w:val="11"/>
        </w:numPr>
        <w:suppressAutoHyphens w:val="0"/>
        <w:jc w:val="both"/>
      </w:pPr>
      <w:r>
        <w:rPr>
          <w:bCs/>
          <w:sz w:val="22"/>
          <w:szCs w:val="22"/>
        </w:rPr>
        <w:t>Kryteria oceny ofert:</w:t>
      </w:r>
    </w:p>
    <w:p w14:paraId="276A1AF1" w14:textId="77777777" w:rsidR="00CE6D4B" w:rsidRDefault="008934EA">
      <w:pPr>
        <w:pStyle w:val="Akapitzlist"/>
        <w:widowControl/>
        <w:numPr>
          <w:ilvl w:val="1"/>
          <w:numId w:val="11"/>
        </w:numPr>
        <w:suppressAutoHyphens w:val="0"/>
        <w:jc w:val="both"/>
      </w:pPr>
      <w:r>
        <w:rPr>
          <w:b/>
          <w:bCs/>
          <w:i/>
          <w:iCs/>
          <w:sz w:val="22"/>
          <w:szCs w:val="22"/>
        </w:rPr>
        <w:t>Cena brutto za przedmiot zamówienia – 100%.</w:t>
      </w:r>
    </w:p>
    <w:p w14:paraId="2C98522A" w14:textId="77777777" w:rsidR="00CE6D4B" w:rsidRDefault="008934EA">
      <w:pPr>
        <w:pStyle w:val="Akapitzlist"/>
        <w:widowControl/>
        <w:numPr>
          <w:ilvl w:val="0"/>
          <w:numId w:val="11"/>
        </w:numPr>
        <w:suppressAutoHyphens w:val="0"/>
        <w:jc w:val="both"/>
      </w:pPr>
      <w:r>
        <w:rPr>
          <w:rFonts w:eastAsia="Calibri"/>
          <w:sz w:val="22"/>
          <w:szCs w:val="22"/>
          <w:lang w:eastAsia="en-US"/>
        </w:rPr>
        <w:t xml:space="preserve">Punkty przyznawane za kryterium </w:t>
      </w:r>
      <w:r>
        <w:rPr>
          <w:rFonts w:eastAsia="Calibri"/>
          <w:i/>
          <w:sz w:val="22"/>
          <w:szCs w:val="22"/>
          <w:lang w:eastAsia="en-US"/>
        </w:rPr>
        <w:t>„</w:t>
      </w:r>
      <w:r>
        <w:rPr>
          <w:rFonts w:eastAsia="Calibri"/>
          <w:bCs/>
          <w:i/>
          <w:iCs/>
          <w:color w:val="000000"/>
          <w:sz w:val="22"/>
          <w:szCs w:val="22"/>
          <w:lang w:eastAsia="en-US"/>
        </w:rPr>
        <w:t xml:space="preserve">cena brutto </w:t>
      </w:r>
      <w:r>
        <w:rPr>
          <w:rFonts w:eastAsia="Calibri"/>
          <w:i/>
          <w:color w:val="000000"/>
          <w:sz w:val="22"/>
          <w:szCs w:val="22"/>
          <w:lang w:eastAsia="en-US"/>
        </w:rPr>
        <w:t>za przedmiot zamówienia</w:t>
      </w:r>
      <w:r>
        <w:rPr>
          <w:rFonts w:eastAsia="Calibri"/>
          <w:sz w:val="22"/>
          <w:szCs w:val="22"/>
          <w:lang w:eastAsia="en-US"/>
        </w:rPr>
        <w:t>”, będą liczone wg następującego wzoru:</w:t>
      </w:r>
    </w:p>
    <w:p w14:paraId="6A94DB17" w14:textId="77777777" w:rsidR="00CE6D4B" w:rsidRDefault="00CE6D4B">
      <w:pPr>
        <w:pStyle w:val="Akapitzlist"/>
        <w:widowControl/>
        <w:suppressAutoHyphens w:val="0"/>
        <w:jc w:val="both"/>
        <w:rPr>
          <w:bCs/>
          <w:sz w:val="22"/>
          <w:szCs w:val="22"/>
        </w:rPr>
      </w:pPr>
    </w:p>
    <w:p w14:paraId="6BA5E648" w14:textId="77777777" w:rsidR="00CE6D4B" w:rsidRDefault="008934EA">
      <w:pPr>
        <w:pStyle w:val="Zwykytekst"/>
        <w:tabs>
          <w:tab w:val="left" w:pos="426"/>
        </w:tabs>
        <w:suppressAutoHyphens/>
        <w:ind w:left="1418"/>
        <w:jc w:val="both"/>
      </w:pPr>
      <w:r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C = (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C</w:t>
      </w:r>
      <w:r>
        <w:rPr>
          <w:rFonts w:ascii="Times New Roman" w:hAnsi="Times New Roman"/>
          <w:b/>
          <w:bCs/>
          <w:i/>
          <w:iCs/>
          <w:color w:val="000000"/>
          <w:sz w:val="22"/>
          <w:szCs w:val="22"/>
          <w:vertAlign w:val="subscript"/>
        </w:rPr>
        <w:t>naj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 xml:space="preserve"> /C</w:t>
      </w:r>
      <w:r>
        <w:rPr>
          <w:rFonts w:ascii="Times New Roman" w:hAnsi="Times New Roman"/>
          <w:b/>
          <w:bCs/>
          <w:i/>
          <w:iCs/>
          <w:color w:val="000000"/>
          <w:sz w:val="22"/>
          <w:szCs w:val="22"/>
          <w:vertAlign w:val="subscript"/>
        </w:rPr>
        <w:t>o</w:t>
      </w:r>
      <w:r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) x 100</w:t>
      </w:r>
    </w:p>
    <w:p w14:paraId="56804BB2" w14:textId="77777777" w:rsidR="00CE6D4B" w:rsidRDefault="008934EA">
      <w:pPr>
        <w:pStyle w:val="Zwykytekst"/>
        <w:tabs>
          <w:tab w:val="left" w:pos="426"/>
        </w:tabs>
        <w:suppressAutoHyphens/>
        <w:spacing w:before="60" w:after="60"/>
        <w:ind w:firstLine="709"/>
        <w:jc w:val="both"/>
      </w:pPr>
      <w:r>
        <w:rPr>
          <w:rFonts w:ascii="Times New Roman" w:hAnsi="Times New Roman"/>
          <w:color w:val="000000"/>
          <w:sz w:val="22"/>
          <w:szCs w:val="22"/>
        </w:rPr>
        <w:t>gdzie:</w:t>
      </w:r>
    </w:p>
    <w:p w14:paraId="12E4C91A" w14:textId="77777777" w:rsidR="00CE6D4B" w:rsidRDefault="008934EA">
      <w:pPr>
        <w:pStyle w:val="Zwykytekst"/>
        <w:suppressAutoHyphens/>
        <w:ind w:left="1418"/>
        <w:jc w:val="both"/>
      </w:pPr>
      <w:r>
        <w:rPr>
          <w:rFonts w:ascii="Times New Roman" w:hAnsi="Times New Roman"/>
          <w:color w:val="000000"/>
          <w:sz w:val="22"/>
          <w:szCs w:val="22"/>
        </w:rPr>
        <w:t>C – liczba punktów przyznana danej ofercie;</w:t>
      </w:r>
    </w:p>
    <w:p w14:paraId="6E03B153" w14:textId="77777777" w:rsidR="00CE6D4B" w:rsidRDefault="008934EA">
      <w:pPr>
        <w:pStyle w:val="Zwykytekst"/>
        <w:suppressAutoHyphens/>
        <w:ind w:left="1418"/>
        <w:jc w:val="both"/>
      </w:pPr>
      <w:proofErr w:type="spellStart"/>
      <w:r>
        <w:rPr>
          <w:rFonts w:ascii="Times New Roman" w:hAnsi="Times New Roman"/>
          <w:color w:val="000000"/>
          <w:sz w:val="22"/>
          <w:szCs w:val="22"/>
        </w:rPr>
        <w:t>C</w:t>
      </w:r>
      <w:r>
        <w:rPr>
          <w:rFonts w:ascii="Times New Roman" w:hAnsi="Times New Roman"/>
          <w:color w:val="000000"/>
          <w:sz w:val="22"/>
          <w:szCs w:val="22"/>
          <w:vertAlign w:val="subscript"/>
        </w:rPr>
        <w:t>naj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– najniższa cena wraz z należnym podatkiem od towarów i usług spośród ważnych ofert;</w:t>
      </w:r>
    </w:p>
    <w:p w14:paraId="1EB6B6EA" w14:textId="77777777" w:rsidR="00CE6D4B" w:rsidRDefault="008934EA">
      <w:pPr>
        <w:pStyle w:val="Zwykytekst"/>
        <w:suppressAutoHyphens/>
        <w:ind w:left="1418"/>
        <w:jc w:val="both"/>
      </w:pPr>
      <w:r>
        <w:rPr>
          <w:rFonts w:ascii="Times New Roman" w:hAnsi="Times New Roman"/>
          <w:color w:val="000000"/>
          <w:sz w:val="22"/>
          <w:szCs w:val="22"/>
        </w:rPr>
        <w:t>C</w:t>
      </w:r>
      <w:r>
        <w:rPr>
          <w:rFonts w:ascii="Times New Roman" w:hAnsi="Times New Roman"/>
          <w:color w:val="000000"/>
          <w:sz w:val="22"/>
          <w:szCs w:val="22"/>
          <w:vertAlign w:val="subscript"/>
        </w:rPr>
        <w:t>o</w:t>
      </w:r>
      <w:r>
        <w:rPr>
          <w:rFonts w:ascii="Times New Roman" w:hAnsi="Times New Roman"/>
          <w:color w:val="000000"/>
          <w:sz w:val="22"/>
          <w:szCs w:val="22"/>
        </w:rPr>
        <w:t xml:space="preserve"> – cena wraz z należnym podatkiem od towarów i usług podana przez wykonawcę, </w:t>
      </w:r>
      <w:r>
        <w:rPr>
          <w:rFonts w:ascii="Times New Roman" w:hAnsi="Times New Roman"/>
          <w:color w:val="000000"/>
          <w:sz w:val="22"/>
          <w:szCs w:val="22"/>
        </w:rPr>
        <w:br/>
        <w:t>dla którego wynik jest obliczany.</w:t>
      </w:r>
    </w:p>
    <w:p w14:paraId="6293E8ED" w14:textId="77777777" w:rsidR="00CE6D4B" w:rsidRDefault="008934EA">
      <w:pPr>
        <w:tabs>
          <w:tab w:val="left" w:pos="426"/>
        </w:tabs>
        <w:ind w:left="567" w:firstLine="142"/>
        <w:jc w:val="both"/>
      </w:pPr>
      <w:r>
        <w:rPr>
          <w:b/>
          <w:bCs/>
          <w:i/>
          <w:iCs/>
          <w:sz w:val="22"/>
          <w:szCs w:val="22"/>
          <w:u w:val="single"/>
        </w:rPr>
        <w:t>Maksymalna liczba punktów, które wykonawca może uzyskać w tym kryterium wynosi 100,00.</w:t>
      </w:r>
    </w:p>
    <w:p w14:paraId="5F5BB598" w14:textId="77777777" w:rsidR="00CE6D4B" w:rsidRDefault="008934EA">
      <w:pPr>
        <w:numPr>
          <w:ilvl w:val="0"/>
          <w:numId w:val="11"/>
        </w:numPr>
        <w:jc w:val="both"/>
      </w:pPr>
      <w:r>
        <w:rPr>
          <w:b/>
          <w:i/>
          <w:iCs/>
          <w:color w:val="000000"/>
          <w:sz w:val="22"/>
          <w:szCs w:val="22"/>
        </w:rPr>
        <w:t>Wszystkie obliczenia punktów będą dokonywane z dokładnością do dwóch miejsc po przecinku (bez zaokrągleń).</w:t>
      </w:r>
    </w:p>
    <w:p w14:paraId="5C527ED4" w14:textId="77777777" w:rsidR="00CE6D4B" w:rsidRDefault="008934EA">
      <w:pPr>
        <w:numPr>
          <w:ilvl w:val="0"/>
          <w:numId w:val="11"/>
        </w:numPr>
        <w:jc w:val="both"/>
      </w:pPr>
      <w:r>
        <w:rPr>
          <w:color w:val="000000"/>
          <w:sz w:val="22"/>
          <w:szCs w:val="22"/>
        </w:rPr>
        <w:t>Oferta wykonawcy, która uzyska najwyższą liczbę punktów, uznana zostanie za najkorzystniejszą.</w:t>
      </w:r>
    </w:p>
    <w:p w14:paraId="63D87975" w14:textId="77777777" w:rsidR="00CE6D4B" w:rsidRDefault="008934EA">
      <w:pPr>
        <w:pStyle w:val="Akapitzlist"/>
        <w:widowControl/>
        <w:numPr>
          <w:ilvl w:val="0"/>
          <w:numId w:val="11"/>
        </w:numPr>
        <w:suppressAutoHyphens w:val="0"/>
        <w:jc w:val="both"/>
      </w:pPr>
      <w:r>
        <w:rPr>
          <w:sz w:val="22"/>
          <w:szCs w:val="22"/>
        </w:rPr>
        <w:t>Jeżeli zostały złożone oferty o takiej samej cenie, zamawiający wzywa wykonawców, którzy złożyli te oferty, do złożenia w terminie określonym przez zamawiającego ofert dodatkowych zawierających nową cenę.</w:t>
      </w:r>
    </w:p>
    <w:p w14:paraId="02B873AB" w14:textId="77777777" w:rsidR="00CE6D4B" w:rsidRDefault="00CE6D4B">
      <w:pPr>
        <w:widowControl/>
        <w:suppressAutoHyphens w:val="0"/>
        <w:jc w:val="both"/>
        <w:rPr>
          <w:b/>
          <w:bCs/>
          <w:sz w:val="22"/>
          <w:szCs w:val="22"/>
        </w:rPr>
      </w:pPr>
    </w:p>
    <w:p w14:paraId="793A2BC1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>Rozdział XIV – Wymagania dotyczące zabezpieczenia należytego wykonania umowy</w:t>
      </w:r>
    </w:p>
    <w:p w14:paraId="47AD73A4" w14:textId="77777777" w:rsidR="00CE6D4B" w:rsidRDefault="008934EA">
      <w:pPr>
        <w:pStyle w:val="Akapitzlist"/>
        <w:widowControl/>
        <w:numPr>
          <w:ilvl w:val="0"/>
          <w:numId w:val="12"/>
        </w:numPr>
        <w:suppressAutoHyphens w:val="0"/>
        <w:jc w:val="both"/>
      </w:pPr>
      <w:r>
        <w:rPr>
          <w:bCs/>
          <w:sz w:val="22"/>
          <w:szCs w:val="22"/>
        </w:rPr>
        <w:t>Zamawiający nie przewiduje konieczności wniesienia zabezpieczenia należytego wykonania umowy.</w:t>
      </w:r>
    </w:p>
    <w:p w14:paraId="643A33F7" w14:textId="77777777" w:rsidR="00CE6D4B" w:rsidRDefault="00CE6D4B">
      <w:pPr>
        <w:widowControl/>
        <w:suppressAutoHyphens w:val="0"/>
        <w:jc w:val="both"/>
        <w:rPr>
          <w:b/>
          <w:bCs/>
          <w:sz w:val="22"/>
          <w:szCs w:val="22"/>
          <w:shd w:val="clear" w:color="auto" w:fill="81D41A"/>
        </w:rPr>
      </w:pPr>
    </w:p>
    <w:p w14:paraId="27E87F52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>Rozdział XV – Wzór umowy (projektowane postanowienia umowy) – załącznik nr 2 do SWZ</w:t>
      </w:r>
    </w:p>
    <w:p w14:paraId="1D69388B" w14:textId="77777777" w:rsidR="00CE6D4B" w:rsidRDefault="00CE6D4B">
      <w:pPr>
        <w:widowControl/>
        <w:suppressAutoHyphens w:val="0"/>
        <w:jc w:val="both"/>
        <w:rPr>
          <w:b/>
          <w:bCs/>
          <w:sz w:val="22"/>
          <w:szCs w:val="22"/>
          <w:shd w:val="clear" w:color="auto" w:fill="81D41A"/>
        </w:rPr>
      </w:pPr>
    </w:p>
    <w:p w14:paraId="68AAF879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 xml:space="preserve">Rozdział XVI – Pouczenie ośrodkach ochrony prawnej </w:t>
      </w:r>
      <w:r>
        <w:rPr>
          <w:b/>
          <w:bCs/>
          <w:sz w:val="22"/>
          <w:szCs w:val="22"/>
        </w:rPr>
        <w:t>przysługujących wykonawcy w toku postępowania o udzielenie zamówienia publicznego</w:t>
      </w:r>
    </w:p>
    <w:p w14:paraId="020B1AD8" w14:textId="77777777" w:rsidR="00CE6D4B" w:rsidRDefault="008934EA">
      <w:pPr>
        <w:pStyle w:val="Akapitzlist"/>
        <w:widowControl/>
        <w:numPr>
          <w:ilvl w:val="0"/>
          <w:numId w:val="13"/>
        </w:numPr>
        <w:suppressAutoHyphens w:val="0"/>
        <w:jc w:val="both"/>
      </w:pPr>
      <w:r>
        <w:rPr>
          <w:bCs/>
          <w:spacing w:val="-1"/>
          <w:sz w:val="22"/>
          <w:szCs w:val="22"/>
        </w:rPr>
        <w:t xml:space="preserve">Zamawiający nie przewiduje możliwości składania </w:t>
      </w:r>
      <w:proofErr w:type="spellStart"/>
      <w:r>
        <w:rPr>
          <w:bCs/>
          <w:spacing w:val="-1"/>
          <w:sz w:val="22"/>
          <w:szCs w:val="22"/>
        </w:rPr>
        <w:t>odwołań</w:t>
      </w:r>
      <w:proofErr w:type="spellEnd"/>
      <w:r>
        <w:rPr>
          <w:bCs/>
          <w:spacing w:val="-1"/>
          <w:sz w:val="22"/>
          <w:szCs w:val="22"/>
        </w:rPr>
        <w:t xml:space="preserve"> .</w:t>
      </w:r>
    </w:p>
    <w:p w14:paraId="7F117E9F" w14:textId="77777777" w:rsidR="00CE6D4B" w:rsidRDefault="00CE6D4B">
      <w:pPr>
        <w:pStyle w:val="Akapitzlist"/>
        <w:widowControl/>
        <w:tabs>
          <w:tab w:val="left" w:pos="1793"/>
        </w:tabs>
        <w:suppressAutoHyphens w:val="0"/>
        <w:jc w:val="both"/>
        <w:rPr>
          <w:spacing w:val="-1"/>
          <w:sz w:val="22"/>
          <w:szCs w:val="22"/>
        </w:rPr>
      </w:pPr>
    </w:p>
    <w:p w14:paraId="5D3395C5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>Rozdział XVII – Postanowienia ogólne</w:t>
      </w:r>
    </w:p>
    <w:p w14:paraId="1F0588A6" w14:textId="77777777" w:rsidR="00CE6D4B" w:rsidRDefault="008934EA">
      <w:pPr>
        <w:pStyle w:val="Akapitzlist"/>
        <w:widowControl/>
        <w:numPr>
          <w:ilvl w:val="0"/>
          <w:numId w:val="14"/>
        </w:numPr>
        <w:suppressAutoHyphens w:val="0"/>
        <w:jc w:val="both"/>
      </w:pPr>
      <w:r>
        <w:rPr>
          <w:bCs/>
          <w:sz w:val="22"/>
          <w:szCs w:val="22"/>
        </w:rPr>
        <w:t>Zamawiający nie dopuszcza składania ofert częściowych.</w:t>
      </w:r>
    </w:p>
    <w:p w14:paraId="3258193A" w14:textId="77777777" w:rsidR="00CE6D4B" w:rsidRDefault="008934EA">
      <w:pPr>
        <w:pStyle w:val="Akapitzlist"/>
        <w:widowControl/>
        <w:numPr>
          <w:ilvl w:val="0"/>
          <w:numId w:val="14"/>
        </w:numPr>
        <w:suppressAutoHyphens w:val="0"/>
        <w:jc w:val="both"/>
      </w:pPr>
      <w:r>
        <w:rPr>
          <w:bCs/>
          <w:sz w:val="22"/>
          <w:szCs w:val="22"/>
        </w:rPr>
        <w:t xml:space="preserve">Zamawiający nie </w:t>
      </w:r>
      <w:r>
        <w:rPr>
          <w:bCs/>
          <w:sz w:val="22"/>
          <w:szCs w:val="22"/>
        </w:rPr>
        <w:t>przewiduje zawarcia umowy ramowej.</w:t>
      </w:r>
    </w:p>
    <w:p w14:paraId="78CCA680" w14:textId="77777777" w:rsidR="00CE6D4B" w:rsidRDefault="008934EA">
      <w:pPr>
        <w:pStyle w:val="Akapitzlist"/>
        <w:widowControl/>
        <w:numPr>
          <w:ilvl w:val="0"/>
          <w:numId w:val="14"/>
        </w:numPr>
        <w:suppressAutoHyphens w:val="0"/>
        <w:jc w:val="both"/>
      </w:pPr>
      <w:r>
        <w:rPr>
          <w:sz w:val="22"/>
          <w:szCs w:val="22"/>
        </w:rPr>
        <w:t>Zamawiający nie przewiduje możliwości udzielenie zamówienia polegającego na powtórzeniu podobnych dostaw na podstawie art. 214 ust. 1 pkt 8 ustawy PZP.</w:t>
      </w:r>
    </w:p>
    <w:p w14:paraId="5E1C73EF" w14:textId="77777777" w:rsidR="00CE6D4B" w:rsidRDefault="008934EA">
      <w:pPr>
        <w:widowControl/>
        <w:numPr>
          <w:ilvl w:val="0"/>
          <w:numId w:val="14"/>
        </w:numPr>
        <w:suppressAutoHyphens w:val="0"/>
        <w:jc w:val="both"/>
      </w:pPr>
      <w:r>
        <w:rPr>
          <w:sz w:val="22"/>
          <w:szCs w:val="22"/>
        </w:rPr>
        <w:t>Zamawiający nie dopuszcza składania ofert wariantowych.</w:t>
      </w:r>
    </w:p>
    <w:p w14:paraId="04988659" w14:textId="77777777" w:rsidR="00CE6D4B" w:rsidRDefault="008934EA">
      <w:pPr>
        <w:widowControl/>
        <w:numPr>
          <w:ilvl w:val="0"/>
          <w:numId w:val="14"/>
        </w:numPr>
        <w:suppressAutoHyphens w:val="0"/>
        <w:jc w:val="both"/>
      </w:pPr>
      <w:r>
        <w:rPr>
          <w:sz w:val="22"/>
          <w:szCs w:val="22"/>
        </w:rPr>
        <w:t xml:space="preserve">Rozliczenia pomiędzy wykonawcą a zamawiającym będą dokonywane w złotych polskich (PLN). </w:t>
      </w:r>
    </w:p>
    <w:p w14:paraId="6A66B4BC" w14:textId="77777777" w:rsidR="00CE6D4B" w:rsidRDefault="008934EA">
      <w:pPr>
        <w:widowControl/>
        <w:numPr>
          <w:ilvl w:val="0"/>
          <w:numId w:val="14"/>
        </w:numPr>
        <w:suppressAutoHyphens w:val="0"/>
        <w:jc w:val="both"/>
      </w:pPr>
      <w:r>
        <w:rPr>
          <w:bCs/>
          <w:sz w:val="22"/>
          <w:szCs w:val="22"/>
        </w:rPr>
        <w:t>Zamawiający nie przewiduje aukcji elektronicznej.</w:t>
      </w:r>
    </w:p>
    <w:p w14:paraId="0130772D" w14:textId="77777777" w:rsidR="00CE6D4B" w:rsidRDefault="008934EA">
      <w:pPr>
        <w:widowControl/>
        <w:numPr>
          <w:ilvl w:val="0"/>
          <w:numId w:val="14"/>
        </w:numPr>
        <w:suppressAutoHyphens w:val="0"/>
        <w:jc w:val="both"/>
      </w:pPr>
      <w:r>
        <w:rPr>
          <w:bCs/>
          <w:sz w:val="22"/>
          <w:szCs w:val="22"/>
        </w:rPr>
        <w:t>Zamawiający nie przewiduje zwrotu kosztów udziału w postępowaniu.</w:t>
      </w:r>
    </w:p>
    <w:p w14:paraId="3B58BBE2" w14:textId="77777777" w:rsidR="00CE6D4B" w:rsidRDefault="00CE6D4B">
      <w:pPr>
        <w:widowControl/>
        <w:suppressAutoHyphens w:val="0"/>
        <w:jc w:val="both"/>
        <w:rPr>
          <w:b/>
          <w:bCs/>
          <w:sz w:val="22"/>
          <w:szCs w:val="22"/>
        </w:rPr>
      </w:pPr>
    </w:p>
    <w:p w14:paraId="562CB254" w14:textId="77777777" w:rsidR="00CE6D4B" w:rsidRDefault="008934EA">
      <w:pPr>
        <w:widowControl/>
        <w:suppressAutoHyphens w:val="0"/>
        <w:jc w:val="both"/>
      </w:pPr>
      <w:r>
        <w:rPr>
          <w:b/>
          <w:bCs/>
          <w:sz w:val="22"/>
          <w:szCs w:val="22"/>
        </w:rPr>
        <w:t>Rozdział XVIII – Informacje o przetwarzaniu danych osobowych</w:t>
      </w:r>
    </w:p>
    <w:p w14:paraId="0BC23508" w14:textId="77777777" w:rsidR="00CE6D4B" w:rsidRDefault="008934EA">
      <w:pPr>
        <w:jc w:val="both"/>
      </w:pPr>
      <w:r>
        <w:rPr>
          <w:sz w:val="22"/>
          <w:szCs w:val="22"/>
        </w:rPr>
        <w:t>Zgodnie z art. 13 i 14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dalej „RODO”) w zw. z art. 19 ust. 1 ustawy PZP, Miasto Luboń – Urząd Miasta Luboń informuje, że:</w:t>
      </w:r>
    </w:p>
    <w:p w14:paraId="347938B1" w14:textId="77777777" w:rsidR="00CE6D4B" w:rsidRDefault="008934EA" w:rsidP="0085570B">
      <w:pPr>
        <w:numPr>
          <w:ilvl w:val="3"/>
          <w:numId w:val="51"/>
        </w:numPr>
        <w:contextualSpacing/>
        <w:jc w:val="both"/>
      </w:pPr>
      <w:r>
        <w:rPr>
          <w:b/>
          <w:sz w:val="22"/>
          <w:szCs w:val="22"/>
        </w:rPr>
        <w:t>Administratorem</w:t>
      </w:r>
      <w:r>
        <w:rPr>
          <w:sz w:val="22"/>
          <w:szCs w:val="22"/>
        </w:rPr>
        <w:t xml:space="preserve"> Pani/Pana danych osobowych jest Burmistrz Miasta Luboń, pl. e. Bojanowskiego 2, 62-030 Luboń.</w:t>
      </w:r>
    </w:p>
    <w:p w14:paraId="2980AE67" w14:textId="77777777" w:rsidR="00CE6D4B" w:rsidRDefault="008934EA" w:rsidP="0085570B">
      <w:pPr>
        <w:numPr>
          <w:ilvl w:val="3"/>
          <w:numId w:val="52"/>
        </w:numPr>
        <w:contextualSpacing/>
        <w:jc w:val="both"/>
      </w:pPr>
      <w:r>
        <w:rPr>
          <w:b/>
          <w:sz w:val="22"/>
          <w:szCs w:val="22"/>
        </w:rPr>
        <w:lastRenderedPageBreak/>
        <w:t>Miasto Luboń – Urząd Miasta Luboń wyznaczył Inspektora Ochrony Danych</w:t>
      </w:r>
      <w:r>
        <w:rPr>
          <w:sz w:val="22"/>
          <w:szCs w:val="22"/>
        </w:rPr>
        <w:t xml:space="preserve">, pl. E. Bojanowskiego 2, 62-030 Luboń. Kontakt z Inspektorem możliwy jest przez e-mail: </w:t>
      </w:r>
      <w:hyperlink r:id="rId11">
        <w:r>
          <w:rPr>
            <w:color w:val="0000FF"/>
            <w:sz w:val="22"/>
            <w:szCs w:val="22"/>
            <w:u w:val="single"/>
          </w:rPr>
          <w:t>iodo@umlubon.pl</w:t>
        </w:r>
      </w:hyperlink>
      <w:r>
        <w:rPr>
          <w:sz w:val="22"/>
          <w:szCs w:val="22"/>
        </w:rPr>
        <w:t xml:space="preserve"> lub pod nr telefonu +48 699714678.</w:t>
      </w:r>
    </w:p>
    <w:p w14:paraId="48AF5F90" w14:textId="77777777" w:rsidR="00CE6D4B" w:rsidRDefault="008934EA" w:rsidP="0085570B">
      <w:pPr>
        <w:numPr>
          <w:ilvl w:val="3"/>
          <w:numId w:val="53"/>
        </w:numPr>
        <w:contextualSpacing/>
        <w:jc w:val="both"/>
      </w:pPr>
      <w:r>
        <w:rPr>
          <w:sz w:val="22"/>
          <w:szCs w:val="22"/>
        </w:rPr>
        <w:t>Pani/Pana dane osobowe przetwarzane będą na podstawie art. 6 ust. 1 lit. c) RODO w celu związanym z postępowaniem o udzielenie zamówienia publicznego</w:t>
      </w:r>
      <w:r>
        <w:rPr>
          <w:i/>
          <w:sz w:val="22"/>
          <w:szCs w:val="22"/>
        </w:rPr>
        <w:t>, nr sprawy W</w:t>
      </w:r>
      <w:r>
        <w:rPr>
          <w:b/>
          <w:i/>
          <w:sz w:val="22"/>
          <w:szCs w:val="22"/>
        </w:rPr>
        <w:t>AG.271.11.2023.</w:t>
      </w:r>
    </w:p>
    <w:p w14:paraId="0AF1EF5B" w14:textId="77777777" w:rsidR="00CE6D4B" w:rsidRDefault="008934EA" w:rsidP="0085570B">
      <w:pPr>
        <w:numPr>
          <w:ilvl w:val="3"/>
          <w:numId w:val="54"/>
        </w:numPr>
        <w:contextualSpacing/>
        <w:jc w:val="both"/>
      </w:pPr>
      <w:r>
        <w:rPr>
          <w:sz w:val="22"/>
          <w:szCs w:val="22"/>
        </w:rPr>
        <w:t xml:space="preserve">Podanie przez Panią/Pana danych osobowych jest wymogiem ustawowym określonym w przepisach ustawy PZP związanym z udziałem w postępowaniu o udzielenie zamówienia publicznego. </w:t>
      </w:r>
    </w:p>
    <w:p w14:paraId="7E7839F1" w14:textId="77777777" w:rsidR="00CE6D4B" w:rsidRDefault="008934EA" w:rsidP="0085570B">
      <w:pPr>
        <w:numPr>
          <w:ilvl w:val="3"/>
          <w:numId w:val="55"/>
        </w:numPr>
        <w:contextualSpacing/>
        <w:jc w:val="both"/>
      </w:pPr>
      <w:r>
        <w:rPr>
          <w:sz w:val="22"/>
          <w:szCs w:val="22"/>
        </w:rPr>
        <w:t>Konsekwencje niepodania danych osobowych wynikają z ustawy PZP.</w:t>
      </w:r>
    </w:p>
    <w:p w14:paraId="6553C21E" w14:textId="77777777" w:rsidR="00CE6D4B" w:rsidRDefault="008934EA" w:rsidP="0085570B">
      <w:pPr>
        <w:numPr>
          <w:ilvl w:val="3"/>
          <w:numId w:val="56"/>
        </w:numPr>
        <w:contextualSpacing/>
        <w:jc w:val="both"/>
      </w:pPr>
      <w:r>
        <w:rPr>
          <w:sz w:val="22"/>
          <w:szCs w:val="22"/>
        </w:rPr>
        <w:t>Odbiorcami Pani/Pana danych osobowych będą osoby lub podmioty, którym udostępniona zostanie dokumentacja postępowania w oparciu o art. 18 oraz art. 74 ust. 3 oraz 4 ustawy PZP, przy czym udostępnieniu nie podlegają dane osobowe, o których mowa w art. 9 ust. 1 RODO, zebrane w toku postępowania o udzielenie zamówienia.</w:t>
      </w:r>
    </w:p>
    <w:p w14:paraId="594AE492" w14:textId="77777777" w:rsidR="00CE6D4B" w:rsidRDefault="008934EA" w:rsidP="0085570B">
      <w:pPr>
        <w:numPr>
          <w:ilvl w:val="3"/>
          <w:numId w:val="57"/>
        </w:numPr>
        <w:contextualSpacing/>
        <w:jc w:val="both"/>
      </w:pPr>
      <w:r>
        <w:rPr>
          <w:sz w:val="22"/>
          <w:szCs w:val="22"/>
        </w:rPr>
        <w:t xml:space="preserve">Pani/Pana dane osobowe będą przechowywane (5 lat ) zgodnie z przepisami </w:t>
      </w:r>
      <w:r>
        <w:rPr>
          <w:color w:val="3D3D3D"/>
          <w:sz w:val="22"/>
          <w:szCs w:val="22"/>
        </w:rPr>
        <w:t>przez czas wynikający z kategorii archiwalnej przewidzianej dla danego rodzaju spraw określonej w Rozporządzeniu Prezesa Rady Ministrów z dnia 18.01.2011 r. w sprawie instrukcji kancelaryjnej, jednolitych rzeczowych wykazów akt oraz w sprawie organizacji i zakresu działania archiwów zakładowych albo do up</w:t>
      </w:r>
      <w:r>
        <w:rPr>
          <w:sz w:val="22"/>
          <w:szCs w:val="22"/>
        </w:rPr>
        <w:t xml:space="preserve">ływu terminu możliwości kontroli projektu współfinansowanego lub finansowanego ze </w:t>
      </w:r>
      <w:r>
        <w:rPr>
          <w:sz w:val="22"/>
          <w:szCs w:val="22"/>
        </w:rPr>
        <w:t>środków Unii Europejskiej albo jego trwałości takie projektu bądź innych umów czy zobowiązań wynikających z realizowanych projektów.</w:t>
      </w:r>
    </w:p>
    <w:p w14:paraId="292F8F8E" w14:textId="77777777" w:rsidR="00CE6D4B" w:rsidRDefault="008934EA" w:rsidP="0085570B">
      <w:pPr>
        <w:numPr>
          <w:ilvl w:val="3"/>
          <w:numId w:val="58"/>
        </w:numPr>
        <w:contextualSpacing/>
        <w:jc w:val="both"/>
      </w:pPr>
      <w:r>
        <w:rPr>
          <w:sz w:val="22"/>
          <w:szCs w:val="22"/>
        </w:rPr>
        <w:t xml:space="preserve">Posiada Pani/Pan prawo do: </w:t>
      </w:r>
    </w:p>
    <w:p w14:paraId="20A2FE40" w14:textId="77777777" w:rsidR="00CE6D4B" w:rsidRDefault="008934EA">
      <w:pPr>
        <w:numPr>
          <w:ilvl w:val="0"/>
          <w:numId w:val="16"/>
        </w:numPr>
        <w:ind w:left="1418" w:hanging="709"/>
        <w:contextualSpacing/>
        <w:jc w:val="both"/>
      </w:pPr>
      <w:r>
        <w:rPr>
          <w:sz w:val="22"/>
          <w:szCs w:val="22"/>
        </w:rPr>
        <w:t>na podstawie art. 15 RODO prawo dostępu do danych osobowych Pani/Pana dotyczących;</w:t>
      </w:r>
    </w:p>
    <w:p w14:paraId="2800918D" w14:textId="77777777" w:rsidR="00CE6D4B" w:rsidRDefault="008934EA">
      <w:pPr>
        <w:numPr>
          <w:ilvl w:val="0"/>
          <w:numId w:val="16"/>
        </w:numPr>
        <w:ind w:left="1418" w:hanging="709"/>
        <w:contextualSpacing/>
        <w:jc w:val="both"/>
      </w:pPr>
      <w:r>
        <w:rPr>
          <w:sz w:val="22"/>
          <w:szCs w:val="22"/>
        </w:rPr>
        <w:t>na podstawie art. 16 RODO prawo do sprostowania Pani/Pana danych osobowych;</w:t>
      </w:r>
    </w:p>
    <w:p w14:paraId="38DC9FD2" w14:textId="77777777" w:rsidR="00CE6D4B" w:rsidRDefault="008934EA">
      <w:pPr>
        <w:numPr>
          <w:ilvl w:val="0"/>
          <w:numId w:val="16"/>
        </w:numPr>
        <w:ind w:left="1418" w:hanging="709"/>
        <w:contextualSpacing/>
        <w:jc w:val="both"/>
      </w:pPr>
      <w:r>
        <w:rPr>
          <w:sz w:val="22"/>
          <w:szCs w:val="22"/>
        </w:rPr>
        <w:t>na podstawie art. 18 RODO prawo żądania od administratora ograniczenia przetwarzania danych osobowych,</w:t>
      </w:r>
    </w:p>
    <w:p w14:paraId="02EC0DB7" w14:textId="77777777" w:rsidR="00CE6D4B" w:rsidRDefault="008934EA">
      <w:pPr>
        <w:numPr>
          <w:ilvl w:val="0"/>
          <w:numId w:val="16"/>
        </w:numPr>
        <w:ind w:left="1418" w:hanging="709"/>
        <w:contextualSpacing/>
        <w:jc w:val="both"/>
      </w:pPr>
      <w:r>
        <w:rPr>
          <w:sz w:val="22"/>
          <w:szCs w:val="22"/>
        </w:rPr>
        <w:t>prawo do wniesienia skargi do Prezesa Urzędu Ochrony Danych Osobowych, gdy uzna Pani/Pan, że przetwarzanie danych osobowych Pani/Pana dotyczących narusza przepisy RODO.</w:t>
      </w:r>
    </w:p>
    <w:p w14:paraId="34D6D177" w14:textId="77777777" w:rsidR="00CE6D4B" w:rsidRDefault="008934EA" w:rsidP="0085570B">
      <w:pPr>
        <w:numPr>
          <w:ilvl w:val="3"/>
          <w:numId w:val="59"/>
        </w:numPr>
        <w:contextualSpacing/>
        <w:jc w:val="both"/>
      </w:pPr>
      <w:r>
        <w:rPr>
          <w:sz w:val="22"/>
          <w:szCs w:val="22"/>
        </w:rPr>
        <w:t>Nie przysługuje Pani/Panu prawo do:</w:t>
      </w:r>
    </w:p>
    <w:p w14:paraId="302E8D9D" w14:textId="77777777" w:rsidR="00CE6D4B" w:rsidRDefault="008934EA">
      <w:pPr>
        <w:numPr>
          <w:ilvl w:val="0"/>
          <w:numId w:val="17"/>
        </w:numPr>
        <w:ind w:left="1418" w:hanging="709"/>
        <w:contextualSpacing/>
        <w:jc w:val="both"/>
      </w:pPr>
      <w:r>
        <w:rPr>
          <w:sz w:val="22"/>
          <w:szCs w:val="22"/>
        </w:rPr>
        <w:t>prawo do usunięcia danych osobowych w zw. z art. 17 ust. 3 lit. b), d) lub e) RODO,</w:t>
      </w:r>
    </w:p>
    <w:p w14:paraId="04FB802D" w14:textId="77777777" w:rsidR="00CE6D4B" w:rsidRDefault="008934EA">
      <w:pPr>
        <w:numPr>
          <w:ilvl w:val="0"/>
          <w:numId w:val="17"/>
        </w:numPr>
        <w:ind w:left="1418" w:hanging="709"/>
        <w:contextualSpacing/>
        <w:jc w:val="both"/>
      </w:pPr>
      <w:r>
        <w:rPr>
          <w:sz w:val="22"/>
          <w:szCs w:val="22"/>
        </w:rPr>
        <w:t>prawo do przenoszenia danych osobowych, o którym mowa w art. 20 RODO,</w:t>
      </w:r>
    </w:p>
    <w:p w14:paraId="3F710468" w14:textId="77777777" w:rsidR="00CE6D4B" w:rsidRDefault="008934EA">
      <w:pPr>
        <w:numPr>
          <w:ilvl w:val="0"/>
          <w:numId w:val="17"/>
        </w:numPr>
        <w:ind w:left="1418" w:hanging="709"/>
        <w:contextualSpacing/>
        <w:jc w:val="both"/>
      </w:pPr>
      <w:r>
        <w:rPr>
          <w:sz w:val="22"/>
          <w:szCs w:val="22"/>
        </w:rPr>
        <w:t>prawo sprzeciwu, wobec przetwarzania danych osobowych, gdyż podstawą prawną przetwarzania Pani/Pana danych osobowych jest art. 6 ust. 1 lit. c) w zw. z art. 21 RODO.</w:t>
      </w:r>
    </w:p>
    <w:p w14:paraId="6DC2DD40" w14:textId="77777777" w:rsidR="00CE6D4B" w:rsidRDefault="008934EA" w:rsidP="0085570B">
      <w:pPr>
        <w:numPr>
          <w:ilvl w:val="3"/>
          <w:numId w:val="60"/>
        </w:numPr>
        <w:contextualSpacing/>
        <w:jc w:val="both"/>
      </w:pPr>
      <w:r>
        <w:rPr>
          <w:b/>
          <w:sz w:val="22"/>
          <w:szCs w:val="22"/>
        </w:rPr>
        <w:t>Pana/Pani dane osobowe, o których mowa w art. 10 RODO</w:t>
      </w:r>
      <w:r>
        <w:rPr>
          <w:sz w:val="22"/>
          <w:szCs w:val="22"/>
        </w:rPr>
        <w:t xml:space="preserve">, mogą zostać </w:t>
      </w:r>
      <w:r>
        <w:rPr>
          <w:sz w:val="22"/>
          <w:szCs w:val="22"/>
        </w:rPr>
        <w:t>udostępnione, w celu umożliwienia korzystania ze środków ochrony prawnej.</w:t>
      </w:r>
    </w:p>
    <w:p w14:paraId="67AEC76D" w14:textId="77777777" w:rsidR="00CE6D4B" w:rsidRDefault="008934EA" w:rsidP="0085570B">
      <w:pPr>
        <w:numPr>
          <w:ilvl w:val="3"/>
          <w:numId w:val="61"/>
        </w:numPr>
        <w:contextualSpacing/>
        <w:jc w:val="both"/>
      </w:pPr>
      <w:r>
        <w:rPr>
          <w:sz w:val="22"/>
          <w:szCs w:val="22"/>
        </w:rPr>
        <w:t xml:space="preserve">Zamawiający informuje, że </w:t>
      </w:r>
      <w:r>
        <w:rPr>
          <w:b/>
          <w:sz w:val="22"/>
          <w:szCs w:val="22"/>
        </w:rPr>
        <w:t>w odniesieniu do Pani/Pana danych osobowych</w:t>
      </w:r>
      <w:r>
        <w:rPr>
          <w:sz w:val="22"/>
          <w:szCs w:val="22"/>
        </w:rPr>
        <w:t xml:space="preserve"> decyzje nie będą podejmowane w sposób zautomatyzowany, stosownie do art. 22 RODO.</w:t>
      </w:r>
    </w:p>
    <w:p w14:paraId="37257F15" w14:textId="77777777" w:rsidR="00CE6D4B" w:rsidRDefault="008934EA" w:rsidP="0085570B">
      <w:pPr>
        <w:numPr>
          <w:ilvl w:val="3"/>
          <w:numId w:val="62"/>
        </w:numPr>
        <w:contextualSpacing/>
        <w:jc w:val="both"/>
      </w:pPr>
      <w:r>
        <w:rPr>
          <w:sz w:val="22"/>
          <w:szCs w:val="22"/>
        </w:rPr>
        <w:t xml:space="preserve">W przypadku gdy wykonanie obowiązków, o których mowa w art. 15 ust. 1 – 3 RODO, celem realizacji Pani/Pana uprawnienia wskazanego pkt 8 lit. a) powyżej, wymagałoby niewspółmiernie dużego wysiłku, </w:t>
      </w:r>
      <w:r>
        <w:rPr>
          <w:b/>
          <w:sz w:val="22"/>
          <w:szCs w:val="22"/>
        </w:rPr>
        <w:t>zamawiający może żądać od Pana/Pani</w:t>
      </w:r>
      <w:r>
        <w:rPr>
          <w:sz w:val="22"/>
          <w:szCs w:val="22"/>
        </w:rPr>
        <w:t>, wskazania dodatkowych informacji mających na celu sprecyzowanie żądania, w szczególności podania nazwy lub daty wszczętego albo zakończonego postępowania o udzielenie zamówienia publicznego.</w:t>
      </w:r>
    </w:p>
    <w:p w14:paraId="34892458" w14:textId="77777777" w:rsidR="00CE6D4B" w:rsidRDefault="008934EA" w:rsidP="0085570B">
      <w:pPr>
        <w:numPr>
          <w:ilvl w:val="3"/>
          <w:numId w:val="63"/>
        </w:numPr>
        <w:contextualSpacing/>
        <w:jc w:val="both"/>
      </w:pPr>
      <w:r>
        <w:rPr>
          <w:b/>
          <w:sz w:val="22"/>
          <w:szCs w:val="22"/>
        </w:rPr>
        <w:t>Skorzystanie przez Panią/Pana</w:t>
      </w:r>
      <w:r>
        <w:rPr>
          <w:sz w:val="22"/>
          <w:szCs w:val="22"/>
        </w:rPr>
        <w:t>, z uprawnienia wskazanego pkt 8 lit. b) powyżej, do sprostowania lub uzupełnienia danych osobowych, o którym mowa w art. 16 RODO, nie może skutkować zmianą wyniku postępowania o udzielenie zamówienia publicznego, ani zmianą postanowień umowy w zakresie niezgodnym z ustawą PZP, ani nie może naruszać integralności protokołu postępowania o udzielenie zamówienia publicznego oraz jego załączników.</w:t>
      </w:r>
    </w:p>
    <w:p w14:paraId="0C440409" w14:textId="77777777" w:rsidR="00CE6D4B" w:rsidRDefault="008934EA" w:rsidP="0085570B">
      <w:pPr>
        <w:numPr>
          <w:ilvl w:val="3"/>
          <w:numId w:val="64"/>
        </w:numPr>
        <w:contextualSpacing/>
        <w:jc w:val="both"/>
      </w:pPr>
      <w:r>
        <w:rPr>
          <w:b/>
          <w:sz w:val="22"/>
          <w:szCs w:val="22"/>
        </w:rPr>
        <w:t>Skorzystanie przez Panią/Pana</w:t>
      </w:r>
      <w:r>
        <w:rPr>
          <w:sz w:val="22"/>
          <w:szCs w:val="22"/>
        </w:rPr>
        <w:t>, z uprawnienia wskazanego pkt 8 lit. c) powyżej,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polegającym na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żądaniu ograniczenia przetwarzania danych, o którym mowa w art. 18 ust. 1 Rozporządzenia Ogólnego, nie ogranicza przetwarzania danych osobowych do czasu zakończenia postępowania o udzielenie zamówienia publicznego oraz również po postępowania w przypadku wystąpienia okoliczności, o których mowa w art. 18 ust. 2 RODO </w:t>
      </w:r>
      <w:r>
        <w:rPr>
          <w:sz w:val="22"/>
          <w:szCs w:val="22"/>
          <w:u w:val="single"/>
        </w:rPr>
        <w:t xml:space="preserve">(prawo do ograniczenia przetwarzania nie </w:t>
      </w:r>
      <w:r>
        <w:rPr>
          <w:sz w:val="22"/>
          <w:szCs w:val="22"/>
          <w:u w:val="single"/>
        </w:rPr>
        <w:lastRenderedPageBreak/>
        <w:t>ma zastosowania w odniesieniu do przechowywania, w celu zapewnienia korzystania ze środk</w:t>
      </w:r>
      <w:r>
        <w:rPr>
          <w:sz w:val="22"/>
          <w:szCs w:val="22"/>
          <w:u w:val="single"/>
        </w:rPr>
        <w:t>ów ochrony prawnej lub w celu ochrony praw innej osoby fizycznej lub prawnej, lub z uwagi na ważne względy interesu publicznego Unii Europejskiej lub państwa członkowskiego).</w:t>
      </w:r>
    </w:p>
    <w:p w14:paraId="285B8C5C" w14:textId="77777777" w:rsidR="00CE6D4B" w:rsidRDefault="00CE6D4B">
      <w:pPr>
        <w:pStyle w:val="Akapitzlist"/>
        <w:widowControl/>
        <w:suppressAutoHyphens w:val="0"/>
        <w:ind w:left="644"/>
        <w:jc w:val="both"/>
        <w:rPr>
          <w:b/>
          <w:sz w:val="22"/>
          <w:szCs w:val="22"/>
        </w:rPr>
      </w:pPr>
    </w:p>
    <w:p w14:paraId="5B247D03" w14:textId="77777777" w:rsidR="00CE6D4B" w:rsidRDefault="008934EA">
      <w:pPr>
        <w:pStyle w:val="Akapitzlist"/>
        <w:widowControl/>
        <w:suppressAutoHyphens w:val="0"/>
        <w:ind w:left="0"/>
        <w:jc w:val="both"/>
      </w:pPr>
      <w:r>
        <w:rPr>
          <w:b/>
          <w:bCs/>
          <w:sz w:val="22"/>
          <w:szCs w:val="22"/>
        </w:rPr>
        <w:t>Rozdział XIX – Załączniki do SWZ</w:t>
      </w:r>
    </w:p>
    <w:p w14:paraId="21DCC2E5" w14:textId="77777777" w:rsidR="00CE6D4B" w:rsidRDefault="008934EA">
      <w:pPr>
        <w:pStyle w:val="Akapitzlist"/>
        <w:widowControl/>
        <w:numPr>
          <w:ilvl w:val="0"/>
          <w:numId w:val="18"/>
        </w:numPr>
        <w:suppressAutoHyphens w:val="0"/>
        <w:jc w:val="both"/>
      </w:pPr>
      <w:r>
        <w:rPr>
          <w:sz w:val="22"/>
          <w:szCs w:val="22"/>
        </w:rPr>
        <w:t xml:space="preserve">Załącznik A i B – </w:t>
      </w:r>
      <w:r>
        <w:rPr>
          <w:bCs/>
          <w:sz w:val="22"/>
          <w:szCs w:val="22"/>
        </w:rPr>
        <w:t>Opisy przedmiotów zamówienia;</w:t>
      </w:r>
    </w:p>
    <w:p w14:paraId="435AEC54" w14:textId="77777777" w:rsidR="00CE6D4B" w:rsidRDefault="00CE6D4B">
      <w:pPr>
        <w:ind w:left="720"/>
        <w:contextualSpacing/>
        <w:jc w:val="both"/>
        <w:rPr>
          <w:bCs/>
          <w:sz w:val="22"/>
          <w:szCs w:val="22"/>
        </w:rPr>
      </w:pPr>
    </w:p>
    <w:p w14:paraId="122922D8" w14:textId="77777777" w:rsidR="00CE6D4B" w:rsidRDefault="008934EA">
      <w:pPr>
        <w:widowControl/>
        <w:suppressAutoHyphens w:val="0"/>
        <w:spacing w:after="160" w:line="259" w:lineRule="auto"/>
        <w:jc w:val="left"/>
        <w:rPr>
          <w:bCs/>
          <w:sz w:val="22"/>
          <w:szCs w:val="22"/>
          <w:u w:val="single"/>
        </w:rPr>
      </w:pPr>
      <w:r>
        <w:br w:type="page"/>
      </w:r>
    </w:p>
    <w:p w14:paraId="4F2A6127" w14:textId="77777777" w:rsidR="00CE6D4B" w:rsidRDefault="00CE6D4B">
      <w:pPr>
        <w:widowControl/>
        <w:suppressAutoHyphens w:val="0"/>
        <w:spacing w:after="160" w:line="259" w:lineRule="auto"/>
        <w:jc w:val="right"/>
        <w:rPr>
          <w:b/>
          <w:i/>
          <w:iCs/>
          <w:sz w:val="22"/>
          <w:szCs w:val="22"/>
          <w:highlight w:val="yellow"/>
        </w:rPr>
      </w:pPr>
    </w:p>
    <w:p w14:paraId="27DE0736" w14:textId="77777777" w:rsidR="00CE6D4B" w:rsidRDefault="008934EA">
      <w:pPr>
        <w:ind w:left="360"/>
        <w:jc w:val="right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Załącznik A do SWZ – Opis przedmiotu zamówienia</w:t>
      </w:r>
    </w:p>
    <w:p w14:paraId="0BC767A1" w14:textId="77777777" w:rsidR="00CE6D4B" w:rsidRDefault="008934EA">
      <w:pPr>
        <w:spacing w:afterAutospacing="1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br/>
      </w:r>
      <w:bookmarkStart w:id="8" w:name="_Hlk150342603"/>
      <w:r>
        <w:rPr>
          <w:b/>
          <w:sz w:val="22"/>
          <w:szCs w:val="22"/>
          <w:lang w:eastAsia="en-US"/>
        </w:rPr>
        <w:t xml:space="preserve">Serwer plików NAS wraz z urządzeniami stanowiącymi wyposażenie  </w:t>
      </w:r>
      <w:bookmarkEnd w:id="8"/>
    </w:p>
    <w:p w14:paraId="7BDF4A20" w14:textId="77777777" w:rsidR="00CE6D4B" w:rsidRDefault="008934EA">
      <w:pPr>
        <w:spacing w:afterAutospacing="1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SPECYFIKACJA TECHNICZNA</w:t>
      </w:r>
    </w:p>
    <w:tbl>
      <w:tblPr>
        <w:tblW w:w="1006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0"/>
        <w:gridCol w:w="5480"/>
      </w:tblGrid>
      <w:tr w:rsidR="00CE6D4B" w14:paraId="0FBCFC83" w14:textId="77777777">
        <w:trPr>
          <w:trHeight w:val="571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02BA822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DF997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Procesor  klasy serwerowej o taktowaniu min. 3,4 GHz, osiągający w teście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PassMark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Performance Test wynik minimum 12 900 punktów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Passmark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CPU Mark wg wyników ze strony : http://www.passmark.com/products/pt.htm</w:t>
            </w:r>
          </w:p>
        </w:tc>
      </w:tr>
      <w:tr w:rsidR="00CE6D4B" w14:paraId="5BD08CC0" w14:textId="77777777">
        <w:trPr>
          <w:trHeight w:val="28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02FDB38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Architektura procesora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9E4F0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64 bit x86</w:t>
            </w:r>
          </w:p>
        </w:tc>
      </w:tr>
      <w:tr w:rsidR="00CE6D4B" w14:paraId="4E5D6B0A" w14:textId="77777777">
        <w:trPr>
          <w:trHeight w:val="28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AB4791D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Procesor liczba rdzeni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45CC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Nie mniej niż 4</w:t>
            </w:r>
          </w:p>
        </w:tc>
      </w:tr>
      <w:tr w:rsidR="00CE6D4B" w14:paraId="33A8A409" w14:textId="77777777">
        <w:trPr>
          <w:trHeight w:val="28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0E046DB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Pamięć RAM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B32CC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Nie mniej niż 16GB DDR4 ECC</w:t>
            </w:r>
          </w:p>
        </w:tc>
      </w:tr>
      <w:tr w:rsidR="00CE6D4B" w14:paraId="74F1E777" w14:textId="77777777">
        <w:trPr>
          <w:trHeight w:val="28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7A9C4A2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Pamięć RAM liczba slotów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9731C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Minimum 4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sloty</w:t>
            </w:r>
            <w:proofErr w:type="spellEnd"/>
          </w:p>
        </w:tc>
      </w:tr>
      <w:tr w:rsidR="00CE6D4B" w14:paraId="1F9E19F6" w14:textId="77777777">
        <w:trPr>
          <w:trHeight w:val="28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F49A874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Pamięć RAM - możliwość </w:t>
            </w:r>
            <w:r>
              <w:rPr>
                <w:rFonts w:cs="Calibri"/>
                <w:color w:val="000000"/>
                <w:sz w:val="22"/>
                <w:szCs w:val="22"/>
              </w:rPr>
              <w:t>rozszerzenia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05D75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Nie mniej niż do 128 GB</w:t>
            </w:r>
          </w:p>
        </w:tc>
      </w:tr>
      <w:tr w:rsidR="00CE6D4B" w14:paraId="62802546" w14:textId="77777777">
        <w:trPr>
          <w:trHeight w:val="28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F56BEA6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Pamięć Flash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C9656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Nie mniej niż 5GB</w:t>
            </w:r>
          </w:p>
        </w:tc>
      </w:tr>
      <w:tr w:rsidR="00CE6D4B" w14:paraId="5F66A001" w14:textId="77777777">
        <w:trPr>
          <w:trHeight w:val="28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922EBEF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Liczba zatok na dyski twarde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2132D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Minimum 18</w:t>
            </w:r>
          </w:p>
        </w:tc>
      </w:tr>
      <w:tr w:rsidR="00CE6D4B" w14:paraId="6DF2DA3D" w14:textId="77777777">
        <w:trPr>
          <w:trHeight w:val="28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F152D89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Obsługiwane dyski twarde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0E58A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3.5" SATA oraz 2.5" SATA / SSD SATA</w:t>
            </w:r>
          </w:p>
        </w:tc>
      </w:tr>
      <w:tr w:rsidR="00CE6D4B" w14:paraId="5B0BDCBF" w14:textId="77777777">
        <w:trPr>
          <w:trHeight w:val="571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8AB40B6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Zainstalowane dyski twarde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E44FB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Min. 12 x 12TB 7200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obr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>/min, 256MB pamięci CACHE</w:t>
            </w:r>
          </w:p>
          <w:p w14:paraId="76093A3B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Dyski myszą być dedykowane do współpracy z serwerem NAS i znajdować się na liście kompatybilności opublikowanej przez producenta urządzenia</w:t>
            </w:r>
          </w:p>
        </w:tc>
      </w:tr>
      <w:tr w:rsidR="00CE6D4B" w14:paraId="5849AAF3" w14:textId="77777777">
        <w:trPr>
          <w:trHeight w:val="28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1207A34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Możliwość podłączenia modułu rozszerzającego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D0F89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Tak, do 8</w:t>
            </w:r>
          </w:p>
        </w:tc>
      </w:tr>
      <w:tr w:rsidR="00CE6D4B" w14:paraId="208E11E9" w14:textId="77777777">
        <w:trPr>
          <w:trHeight w:val="67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D2FFE40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Porty LAN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9AC26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  <w:lang w:val="en-US"/>
              </w:rPr>
              <w:t xml:space="preserve">Minimum 4 x 2,5Gb/s Ethernet, 2 x 10 Gb/s </w:t>
            </w:r>
            <w:r>
              <w:rPr>
                <w:rFonts w:cs="Calibri"/>
                <w:color w:val="000000"/>
                <w:sz w:val="22"/>
                <w:szCs w:val="22"/>
                <w:lang w:val="en-US"/>
              </w:rPr>
              <w:t>BASE-T</w:t>
            </w:r>
          </w:p>
        </w:tc>
      </w:tr>
      <w:tr w:rsidR="00CE6D4B" w14:paraId="3BC2359A" w14:textId="77777777">
        <w:trPr>
          <w:trHeight w:val="571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551E4E6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  <w:lang w:val="en-US"/>
              </w:rPr>
              <w:t>Porty USB 3.1 GEN 2 (10 Gb/s)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70972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Min. 4 gniazda typu A USB 3.2 Gen2</w:t>
            </w:r>
          </w:p>
        </w:tc>
      </w:tr>
      <w:tr w:rsidR="00CE6D4B" w14:paraId="12BBAC86" w14:textId="77777777">
        <w:trPr>
          <w:trHeight w:val="28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48F30F6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Przyciski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602F1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Reset, Zasilanie</w:t>
            </w:r>
          </w:p>
        </w:tc>
      </w:tr>
      <w:tr w:rsidR="00CE6D4B" w14:paraId="6579755F" w14:textId="77777777">
        <w:trPr>
          <w:trHeight w:val="28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4D64368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Typ obudowy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4C57E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RACK, 2U</w:t>
            </w:r>
          </w:p>
        </w:tc>
      </w:tr>
      <w:tr w:rsidR="00CE6D4B" w14:paraId="073E3B04" w14:textId="77777777">
        <w:trPr>
          <w:trHeight w:val="28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F98AE6D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Dopuszczalna temperatura pracy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8818A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od 0 do 40˚C</w:t>
            </w:r>
          </w:p>
        </w:tc>
      </w:tr>
      <w:tr w:rsidR="00CE6D4B" w14:paraId="67934AFD" w14:textId="77777777">
        <w:trPr>
          <w:trHeight w:val="28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96ABE8C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Wilgotność względna podczas pracy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D069C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5-95% R.H.</w:t>
            </w:r>
          </w:p>
        </w:tc>
      </w:tr>
      <w:tr w:rsidR="00CE6D4B" w14:paraId="3A3A2E45" w14:textId="77777777">
        <w:trPr>
          <w:trHeight w:val="28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8B0AE38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Zasilanie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859CF" w14:textId="77777777" w:rsidR="00CE6D4B" w:rsidRDefault="008934EA">
            <w:pPr>
              <w:jc w:val="left"/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Redundatne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min. 550 W</w:t>
            </w:r>
          </w:p>
        </w:tc>
      </w:tr>
      <w:tr w:rsidR="00CE6D4B" w14:paraId="5041F02F" w14:textId="77777777">
        <w:trPr>
          <w:trHeight w:val="28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50DDF43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Agregacja łączy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AF125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Tak</w:t>
            </w:r>
          </w:p>
        </w:tc>
      </w:tr>
      <w:tr w:rsidR="00CE6D4B" w14:paraId="21BE7155" w14:textId="77777777">
        <w:trPr>
          <w:trHeight w:val="571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CA80974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Obsługiwane systemy plików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F5A78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Dyski wewnętrzne: ZFS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Dyski zewnętrzne: EXT3, EXT4, NTFS, FAT32, HFS+</w:t>
            </w:r>
          </w:p>
        </w:tc>
      </w:tr>
      <w:tr w:rsidR="00CE6D4B" w14:paraId="60412CF3" w14:textId="77777777">
        <w:trPr>
          <w:trHeight w:val="28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20E8526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Możliwość podłączenia karty WLAN na USB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6D048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Tak</w:t>
            </w:r>
          </w:p>
        </w:tc>
      </w:tr>
      <w:tr w:rsidR="00CE6D4B" w14:paraId="413A0485" w14:textId="77777777">
        <w:trPr>
          <w:trHeight w:val="28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F665B77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Łączenie usług z interfejsem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FC15E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Tak</w:t>
            </w:r>
          </w:p>
        </w:tc>
      </w:tr>
      <w:tr w:rsidR="00CE6D4B" w14:paraId="124CBDA2" w14:textId="77777777">
        <w:trPr>
          <w:trHeight w:val="28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9CC4632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Szyfrowanie udziałów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CADF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Tak, min AES 256</w:t>
            </w:r>
          </w:p>
        </w:tc>
      </w:tr>
      <w:tr w:rsidR="00CE6D4B" w14:paraId="3C540B80" w14:textId="77777777">
        <w:trPr>
          <w:trHeight w:val="28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513A38E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Szyfrowanie dysków zewnętrznych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63ECC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Tak</w:t>
            </w:r>
          </w:p>
        </w:tc>
      </w:tr>
      <w:tr w:rsidR="00CE6D4B" w14:paraId="4CC6A2A4" w14:textId="77777777">
        <w:trPr>
          <w:trHeight w:val="3247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F49FCD8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lastRenderedPageBreak/>
              <w:t>Zarządzanie dyskami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5F862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RAID 0,1,5,50,6,60,10,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Triple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Parity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Triple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Mirror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Konfiguracja priorytetu odbudowy grup RAID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RAID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HotSpare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i Global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HotSpare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br/>
              <w:t xml:space="preserve">SSD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Trim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br/>
              <w:t>HDD S.M.A.R.T.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Skanowanie uszkodzonych bloków 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Wykrywanie uszkodzenia i naprawa danych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Cache odczytu z wykorzystaniem dysków SSD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Cache odczytu i dziennik zapisu  z wykorzystaniem dysków SSD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Funkcjonalność migawek udziałów oraz LUN, wraz z możliwością ich replikacji na drugie urządzenie</w:t>
            </w:r>
          </w:p>
        </w:tc>
      </w:tr>
      <w:tr w:rsidR="00CE6D4B" w14:paraId="1516AE21" w14:textId="77777777">
        <w:trPr>
          <w:trHeight w:val="153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B5A3BA6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Wbudowana obsługa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iSCSI</w:t>
            </w:r>
            <w:proofErr w:type="spellEnd"/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F59D9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Multi-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LUNs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na Target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 xml:space="preserve">Minimum do 256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LUNs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br/>
              <w:t xml:space="preserve">Obsługa LUN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Mapping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Masking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br/>
              <w:t xml:space="preserve">Obsługa SPC-3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Persistent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Reservation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br/>
              <w:t xml:space="preserve">Obsługa MPIO &amp; MC/S, Migawka / kopia zapasowa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iSCSI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LUN</w:t>
            </w:r>
          </w:p>
        </w:tc>
      </w:tr>
      <w:tr w:rsidR="00CE6D4B" w14:paraId="2EB1EEF5" w14:textId="77777777">
        <w:trPr>
          <w:trHeight w:val="571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222E8BA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Wbudowana obsługa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Fiber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Channel (FC SAN)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6FF03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Wsparcie opcjonalnych kart FC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Mapowanie LUN</w:t>
            </w:r>
          </w:p>
        </w:tc>
      </w:tr>
      <w:tr w:rsidR="00CE6D4B" w14:paraId="0162C89E" w14:textId="77777777">
        <w:trPr>
          <w:trHeight w:val="1712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B28F0D0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Zarządzanie prawami dostępu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B4429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Przypisanie pojemności dla użytkowników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Importowanie listy użytkowników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 xml:space="preserve">Zarządzanie kontami użytkowników 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 xml:space="preserve">Zarządzanie grupą użytkowników 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 xml:space="preserve">Zarządzanie współdzieleniem w sieci 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 xml:space="preserve">Obsługa zaawansowanych uprawnień dla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podfolderów</w:t>
            </w:r>
            <w:proofErr w:type="spellEnd"/>
          </w:p>
        </w:tc>
      </w:tr>
      <w:tr w:rsidR="00CE6D4B" w14:paraId="4B0389D6" w14:textId="77777777">
        <w:trPr>
          <w:trHeight w:val="85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45B70248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Obsługa Windows AD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F566E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Logowanie użytkowników do domeny poprzez CIFS/SMB, AFP, FTP oraz menadżera plików sieci Web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Funkcja serwera i klienta LDAP</w:t>
            </w:r>
          </w:p>
        </w:tc>
      </w:tr>
      <w:tr w:rsidR="00CE6D4B" w14:paraId="50089BA3" w14:textId="77777777">
        <w:trPr>
          <w:trHeight w:val="85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1CBA258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Funkcje backup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EE5F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Oprogramowanie do tworzenia kopii </w:t>
            </w:r>
            <w:r>
              <w:rPr>
                <w:rFonts w:cs="Calibri"/>
                <w:color w:val="000000"/>
                <w:sz w:val="22"/>
                <w:szCs w:val="22"/>
              </w:rPr>
              <w:t>bezpieczeństwa plików producenta urządzenia dla systemów Windows, backup na zewnętrzne dyski twarde.</w:t>
            </w:r>
          </w:p>
        </w:tc>
      </w:tr>
      <w:tr w:rsidR="00CE6D4B" w14:paraId="1AFC32CD" w14:textId="77777777">
        <w:trPr>
          <w:trHeight w:val="571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5478FFB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Współpraca z zewnętrznymi dostawcami usług chmury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B933B" w14:textId="77777777" w:rsidR="00CE6D4B" w:rsidRDefault="008934EA">
            <w:pPr>
              <w:jc w:val="left"/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  <w:lang w:val="en-US"/>
              </w:rPr>
              <w:t>Przynajmniej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  <w:lang w:val="en-US"/>
              </w:rPr>
              <w:t xml:space="preserve">: Amazon S3, Amazon Glacier, Microsoft Azure, Google Cloud Storage, Dropbox, </w:t>
            </w:r>
            <w:r>
              <w:rPr>
                <w:rFonts w:cs="Calibri"/>
                <w:color w:val="000000"/>
                <w:sz w:val="22"/>
                <w:szCs w:val="22"/>
                <w:lang w:val="en-US"/>
              </w:rPr>
              <w:t>OneDrive, Google Drive</w:t>
            </w:r>
          </w:p>
        </w:tc>
      </w:tr>
      <w:tr w:rsidR="00CE6D4B" w14:paraId="29494CC0" w14:textId="77777777">
        <w:trPr>
          <w:trHeight w:val="85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8359952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Darmowe aplikacje na urządzenia mobilne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7B722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Monitoring / Zarządzanie / Współdzielenie plików / obsługa kamer / Odtwarzacz muzyki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Dostępne na systemy iOS oraz Android</w:t>
            </w:r>
          </w:p>
        </w:tc>
      </w:tr>
      <w:tr w:rsidR="00CE6D4B" w14:paraId="3939FDC3" w14:textId="77777777">
        <w:trPr>
          <w:trHeight w:val="1427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C121A78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Minimum obsługiwane aplikacje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E5AB0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Serwer plików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Serwer FTP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Serwer WEB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</w:r>
            <w:r>
              <w:rPr>
                <w:rFonts w:cs="Calibri"/>
                <w:color w:val="000000"/>
                <w:sz w:val="22"/>
                <w:szCs w:val="22"/>
              </w:rPr>
              <w:t>Serwer kopii zapasowych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Serwer pobierania (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Bittorrent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>/HTTP/HTTPS/FTP)</w:t>
            </w:r>
          </w:p>
        </w:tc>
      </w:tr>
      <w:tr w:rsidR="00CE6D4B" w14:paraId="75127F26" w14:textId="77777777">
        <w:trPr>
          <w:trHeight w:val="28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0C8E3EE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VPN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DCE1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  <w:lang w:val="en-US"/>
              </w:rPr>
              <w:t xml:space="preserve">VPN client / VPN server.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  <w:lang w:val="en-US"/>
              </w:rPr>
              <w:t>Obsługa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  <w:lang w:val="en-US"/>
              </w:rPr>
              <w:t xml:space="preserve"> PPTP, OpenVPN</w:t>
            </w:r>
          </w:p>
        </w:tc>
      </w:tr>
      <w:tr w:rsidR="00CE6D4B" w14:paraId="2FF92D06" w14:textId="77777777">
        <w:trPr>
          <w:trHeight w:val="4744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1A4D12F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lastRenderedPageBreak/>
              <w:t>Administracja systemu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9E5FF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Połączenia HTTP/HTTPS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Powiadamianie przez e-mail (uwierzytelnianie SMTP)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Powiadamianie przez SMS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</w:r>
            <w:r>
              <w:rPr>
                <w:rFonts w:cs="Calibri"/>
                <w:color w:val="000000"/>
                <w:sz w:val="22"/>
                <w:szCs w:val="22"/>
              </w:rPr>
              <w:t>Ustawienia inteligentnego chłodzenia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DDNS oraz zdalny dostęp w chmurze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SNMP (v2 &amp; v3)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Obsługa UPS z zarządzaniem SNMP (USB)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Obsługa sieciowej jednostki UPS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Monitor zasobów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Monitor zasobów systemu w czasie rzeczywistym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Rejestr zdarzeń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Całkowity rejestr systemowy (poziom pliku)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Zarządzanie zdarzeniami systemowymi, rejestr, bieżące połączenie użytkowników on-line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Aktualizacja oprogramowania ręczna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Możliwość aktualizacji oprogramowania z powiadomieniem z serwerów producenta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 xml:space="preserve">Ustawienia: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Back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up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>, przywracania, re</w:t>
            </w:r>
            <w:r>
              <w:rPr>
                <w:rFonts w:cs="Calibri"/>
                <w:color w:val="000000"/>
                <w:sz w:val="22"/>
                <w:szCs w:val="22"/>
              </w:rPr>
              <w:t>setowania systemu</w:t>
            </w:r>
          </w:p>
        </w:tc>
      </w:tr>
      <w:tr w:rsidR="00CE6D4B" w14:paraId="2C5F4BA1" w14:textId="77777777">
        <w:trPr>
          <w:trHeight w:val="1142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540FA4D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Wirtualizacja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F1B83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Możliwość uruchomienia maszyn wirtualnych z systemem Windows, Linux, Unix i Android; import maszyn wirtualnych, klonowanie maszyn wirtualnych, migawki maszyn wirtualnych, GPU pass-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through</w:t>
            </w:r>
            <w:proofErr w:type="spellEnd"/>
          </w:p>
        </w:tc>
      </w:tr>
      <w:tr w:rsidR="00CE6D4B" w14:paraId="5B9EA2FE" w14:textId="77777777">
        <w:trPr>
          <w:trHeight w:val="2568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EE52D90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Zabezpieczenia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1D17F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Filtracja IP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</w:r>
            <w:r>
              <w:rPr>
                <w:rFonts w:cs="Calibri"/>
                <w:color w:val="000000"/>
                <w:sz w:val="22"/>
                <w:szCs w:val="22"/>
              </w:rPr>
              <w:t>Ochrona dostępu do sieci z  automatycznym blokowaniem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Połączenie HTTPS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FTP z SSL/TLS (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Explicit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</w:rPr>
              <w:t>)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Obsługa SFTP (tylko admin)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Szyfrowanie AES 256-bit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Import certyfikatu SSL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Powiadomienia o  zdarzeniach za pośrednictwem Email i SMS</w:t>
            </w:r>
          </w:p>
        </w:tc>
      </w:tr>
      <w:tr w:rsidR="00CE6D4B" w14:paraId="720CAF9B" w14:textId="77777777">
        <w:trPr>
          <w:trHeight w:val="1142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FDFCA67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Możliwość </w:t>
            </w:r>
            <w:r>
              <w:rPr>
                <w:rFonts w:cs="Calibri"/>
                <w:color w:val="000000"/>
                <w:sz w:val="22"/>
                <w:szCs w:val="22"/>
              </w:rPr>
              <w:t>instalacji dodatkowego oprogramowania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4D357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Tak, sklep z aplikacjami; możliwość instalacji z paczek oraz wbudowane narzędzia wirtualizacji umożliwiające zarówno obsługę kontenerów Docker/LXC jak i pełnych maszyn wirtualnych</w:t>
            </w:r>
          </w:p>
        </w:tc>
      </w:tr>
      <w:tr w:rsidR="00CE6D4B" w14:paraId="48BC14C1" w14:textId="77777777">
        <w:trPr>
          <w:trHeight w:val="28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BB9C903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Gwarancja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17418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Min. 3 lata świadczona przez producenta urządzenia.</w:t>
            </w:r>
          </w:p>
          <w:p w14:paraId="22AFAE3D" w14:textId="77777777" w:rsidR="00CE6D4B" w:rsidRDefault="008934EA">
            <w:pPr>
              <w:jc w:val="left"/>
            </w:pPr>
            <w:r>
              <w:rPr>
                <w:rFonts w:cs="Calibri"/>
                <w:color w:val="000000"/>
                <w:sz w:val="22"/>
                <w:szCs w:val="22"/>
              </w:rPr>
              <w:t>Załączyć dokument potwierdzający spełnienie tego warunku.</w:t>
            </w:r>
          </w:p>
        </w:tc>
      </w:tr>
    </w:tbl>
    <w:p w14:paraId="72750B99" w14:textId="77777777" w:rsidR="00CE6D4B" w:rsidRDefault="00CE6D4B">
      <w:pPr>
        <w:rPr>
          <w:sz w:val="20"/>
          <w:szCs w:val="20"/>
        </w:rPr>
      </w:pPr>
    </w:p>
    <w:p w14:paraId="0F4AE478" w14:textId="77777777" w:rsidR="00CE6D4B" w:rsidRDefault="00CE6D4B">
      <w:pPr>
        <w:pStyle w:val="Default"/>
        <w:rPr>
          <w:sz w:val="20"/>
          <w:szCs w:val="20"/>
        </w:rPr>
      </w:pPr>
    </w:p>
    <w:p w14:paraId="472B9B0C" w14:textId="77777777" w:rsidR="00CE6D4B" w:rsidRDefault="00CE6D4B">
      <w:pPr>
        <w:pStyle w:val="Default"/>
        <w:rPr>
          <w:sz w:val="20"/>
          <w:szCs w:val="20"/>
        </w:rPr>
      </w:pPr>
    </w:p>
    <w:p w14:paraId="6EE7F1D3" w14:textId="77777777" w:rsidR="00CE6D4B" w:rsidRDefault="00CE6D4B">
      <w:pPr>
        <w:pStyle w:val="Default"/>
        <w:rPr>
          <w:sz w:val="20"/>
          <w:szCs w:val="20"/>
        </w:rPr>
      </w:pPr>
    </w:p>
    <w:p w14:paraId="53351D05" w14:textId="77777777" w:rsidR="00CE6D4B" w:rsidRDefault="00CE6D4B">
      <w:pPr>
        <w:pStyle w:val="Default"/>
        <w:rPr>
          <w:sz w:val="20"/>
          <w:szCs w:val="20"/>
        </w:rPr>
      </w:pPr>
    </w:p>
    <w:p w14:paraId="37A71BEA" w14:textId="77777777" w:rsidR="00CE6D4B" w:rsidRDefault="00CE6D4B">
      <w:pPr>
        <w:pStyle w:val="Default"/>
        <w:rPr>
          <w:sz w:val="20"/>
          <w:szCs w:val="20"/>
        </w:rPr>
      </w:pPr>
    </w:p>
    <w:p w14:paraId="20E6A458" w14:textId="77777777" w:rsidR="00CE6D4B" w:rsidRDefault="00CE6D4B">
      <w:pPr>
        <w:jc w:val="both"/>
        <w:rPr>
          <w:b/>
          <w:bCs/>
          <w:iCs/>
          <w:sz w:val="20"/>
          <w:szCs w:val="20"/>
        </w:rPr>
      </w:pPr>
    </w:p>
    <w:p w14:paraId="4B3B909F" w14:textId="77777777" w:rsidR="00CE6D4B" w:rsidRDefault="008934EA">
      <w:pPr>
        <w:widowControl/>
        <w:suppressAutoHyphens w:val="0"/>
        <w:spacing w:after="160" w:line="259" w:lineRule="auto"/>
        <w:jc w:val="left"/>
        <w:rPr>
          <w:b/>
          <w:i/>
          <w:iCs/>
          <w:sz w:val="22"/>
          <w:szCs w:val="22"/>
        </w:rPr>
      </w:pPr>
      <w:r>
        <w:br w:type="page"/>
      </w:r>
    </w:p>
    <w:p w14:paraId="4727F6A2" w14:textId="77777777" w:rsidR="00CE6D4B" w:rsidRDefault="008934EA">
      <w:pPr>
        <w:ind w:left="360"/>
        <w:jc w:val="right"/>
      </w:pPr>
      <w:r>
        <w:rPr>
          <w:b/>
          <w:bCs/>
          <w:i/>
          <w:sz w:val="22"/>
          <w:szCs w:val="22"/>
        </w:rPr>
        <w:lastRenderedPageBreak/>
        <w:t>Załącznik B do SWZ – Opis przedmiotu zamówienia</w:t>
      </w:r>
    </w:p>
    <w:p w14:paraId="632D7AA5" w14:textId="77777777" w:rsidR="00CE6D4B" w:rsidRDefault="008934EA">
      <w:pPr>
        <w:spacing w:afterAutospacing="1"/>
      </w:pPr>
      <w:r>
        <w:rPr>
          <w:b/>
          <w:sz w:val="22"/>
          <w:szCs w:val="22"/>
          <w:lang w:eastAsia="en-US"/>
        </w:rPr>
        <w:br/>
      </w:r>
      <w:bookmarkStart w:id="9" w:name="_Hlk150342603_kopia_1"/>
      <w:r>
        <w:rPr>
          <w:b/>
          <w:sz w:val="22"/>
          <w:szCs w:val="22"/>
          <w:lang w:eastAsia="en-US"/>
        </w:rPr>
        <w:t xml:space="preserve">Serwer wraz z urządzeniami stanowiącymi wyposażenie  </w:t>
      </w:r>
      <w:bookmarkEnd w:id="9"/>
    </w:p>
    <w:p w14:paraId="62C6E4F4" w14:textId="77777777" w:rsidR="00CE6D4B" w:rsidRDefault="008934EA">
      <w:pPr>
        <w:spacing w:afterAutospacing="1"/>
      </w:pPr>
      <w:r>
        <w:rPr>
          <w:sz w:val="20"/>
          <w:szCs w:val="20"/>
          <w:lang w:eastAsia="en-US"/>
        </w:rPr>
        <w:t>SPECYFIKACJA TECHNICZNA</w:t>
      </w:r>
    </w:p>
    <w:tbl>
      <w:tblPr>
        <w:tblW w:w="9907" w:type="dxa"/>
        <w:tblInd w:w="-631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2391"/>
        <w:gridCol w:w="7516"/>
      </w:tblGrid>
      <w:tr w:rsidR="00CE6D4B" w14:paraId="47248647" w14:textId="77777777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A5CC1" w14:textId="77777777" w:rsidR="00CE6D4B" w:rsidRDefault="008934EA">
            <w:pPr>
              <w:textAlignment w:val="baseline"/>
            </w:pPr>
            <w:r>
              <w:rPr>
                <w:rFonts w:cs="Arial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D5121B" w14:textId="77777777" w:rsidR="00CE6D4B" w:rsidRDefault="008934EA">
            <w:pPr>
              <w:textAlignment w:val="baseline"/>
            </w:pPr>
            <w:r>
              <w:rPr>
                <w:rFonts w:cs="Arial"/>
                <w:b/>
                <w:bCs/>
                <w:sz w:val="22"/>
                <w:szCs w:val="22"/>
              </w:rPr>
              <w:t>Charakterystyka (wymagania minimalne)</w:t>
            </w:r>
          </w:p>
        </w:tc>
      </w:tr>
      <w:tr w:rsidR="00CE6D4B" w14:paraId="2166B383" w14:textId="77777777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034EC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b/>
                <w:bCs/>
                <w:sz w:val="22"/>
                <w:szCs w:val="22"/>
              </w:rPr>
              <w:t>Obudowa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B277D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Obudowa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Rack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 xml:space="preserve"> o wysokości max. 1U, z kompletem wysuwanych szyn umożliwiających montaż w szafie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rack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 xml:space="preserve"> i wysuwanie serwera do celów serwisowych.</w:t>
            </w:r>
          </w:p>
        </w:tc>
      </w:tr>
      <w:tr w:rsidR="00CE6D4B" w14:paraId="0773BA75" w14:textId="77777777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17EE7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b/>
                <w:bCs/>
                <w:sz w:val="22"/>
                <w:szCs w:val="22"/>
              </w:rPr>
              <w:t>Płyta główna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E6DB6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Płyta główna z możliwością </w:t>
            </w:r>
            <w:r>
              <w:rPr>
                <w:rFonts w:cs="Arial"/>
                <w:color w:val="000000"/>
                <w:sz w:val="22"/>
                <w:szCs w:val="22"/>
              </w:rPr>
              <w:t>zainstalowania dwóch procesorów. Płyta główna musi być zaprojektowana przez producenta serwera i oznaczona jego znakiem firmowym.</w:t>
            </w:r>
          </w:p>
        </w:tc>
      </w:tr>
      <w:tr w:rsidR="00CE6D4B" w14:paraId="13D48485" w14:textId="77777777">
        <w:trPr>
          <w:trHeight w:val="735"/>
        </w:trPr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4DE16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b/>
                <w:bCs/>
                <w:sz w:val="22"/>
                <w:szCs w:val="22"/>
              </w:rPr>
              <w:t>Chipset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8EC0E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sz w:val="22"/>
                <w:szCs w:val="22"/>
              </w:rPr>
              <w:t>Dedykowany przez producenta procesora do pracy w serwerach dwuprocesorowych</w:t>
            </w:r>
          </w:p>
        </w:tc>
      </w:tr>
      <w:tr w:rsidR="00CE6D4B" w14:paraId="609B7B76" w14:textId="77777777">
        <w:trPr>
          <w:trHeight w:val="705"/>
        </w:trPr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C94F7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b/>
                <w:bCs/>
                <w:sz w:val="22"/>
                <w:szCs w:val="22"/>
              </w:rPr>
              <w:t>Procesor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BBFD7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sz w:val="22"/>
                <w:szCs w:val="22"/>
              </w:rPr>
              <w:t>Zainstalowane dwa procesory min. ośmio-rdzeniowe klasy x86 do pracy z zaoferowanym serwerem umożliwiające osiągnięcie wyniku min. 176</w:t>
            </w:r>
            <w:r>
              <w:rPr>
                <w:rFonts w:cs="Arial"/>
                <w:color w:val="FF0000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punktów w teście SPECrate2017_int_base dostępnym na stronie www.spec.org dla dwóch procesorów.</w:t>
            </w:r>
          </w:p>
        </w:tc>
      </w:tr>
      <w:tr w:rsidR="00CE6D4B" w14:paraId="06F8D5F9" w14:textId="77777777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DC4E56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b/>
                <w:bCs/>
                <w:sz w:val="22"/>
                <w:szCs w:val="22"/>
              </w:rPr>
              <w:t>RAM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6055E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sz w:val="22"/>
                <w:szCs w:val="22"/>
              </w:rPr>
              <w:t xml:space="preserve">Min. 384GB DDR4 RDIMM 4800MT/s, na płycie </w:t>
            </w:r>
            <w:r>
              <w:rPr>
                <w:rFonts w:cs="Arial"/>
                <w:sz w:val="22"/>
                <w:szCs w:val="22"/>
              </w:rPr>
              <w:t>głównej powinno znajdować się minimum 16 slotów przeznaczonych do instalacji pamięci. Płyta główna powinna obsługiwać do 1TB pamięci RAM.</w:t>
            </w:r>
          </w:p>
        </w:tc>
      </w:tr>
      <w:tr w:rsidR="00CE6D4B" w14:paraId="57CD6151" w14:textId="77777777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355760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b/>
                <w:bCs/>
                <w:sz w:val="22"/>
                <w:szCs w:val="22"/>
              </w:rPr>
              <w:t>Zabezpieczenia pamięci RAM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65ADE9" w14:textId="77777777" w:rsidR="00CE6D4B" w:rsidRDefault="008934EA">
            <w:pPr>
              <w:jc w:val="left"/>
              <w:textAlignment w:val="baseline"/>
            </w:pPr>
            <w:proofErr w:type="spellStart"/>
            <w:r>
              <w:rPr>
                <w:rFonts w:cs="Arial"/>
                <w:sz w:val="22"/>
                <w:szCs w:val="22"/>
              </w:rPr>
              <w:t>Demand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Scrubbing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Patrol </w:t>
            </w:r>
            <w:proofErr w:type="spellStart"/>
            <w:r>
              <w:rPr>
                <w:rFonts w:cs="Arial"/>
                <w:sz w:val="22"/>
                <w:szCs w:val="22"/>
              </w:rPr>
              <w:t>Scrubbing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Permanent </w:t>
            </w:r>
            <w:proofErr w:type="spellStart"/>
            <w:r>
              <w:rPr>
                <w:rFonts w:cs="Arial"/>
                <w:sz w:val="22"/>
                <w:szCs w:val="22"/>
              </w:rPr>
              <w:t>Fault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Detection</w:t>
            </w:r>
            <w:proofErr w:type="spellEnd"/>
          </w:p>
        </w:tc>
      </w:tr>
      <w:tr w:rsidR="00CE6D4B" w14:paraId="77368384" w14:textId="77777777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B3791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Gniazda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PCIe</w:t>
            </w:r>
            <w:proofErr w:type="spellEnd"/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FA76B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- minimum dwa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sloty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PCIe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 xml:space="preserve"> x16 generacji 4 i dwa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sloty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PCIe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 xml:space="preserve"> x8 generacji 4</w:t>
            </w:r>
          </w:p>
        </w:tc>
      </w:tr>
      <w:tr w:rsidR="00CE6D4B" w14:paraId="357086E1" w14:textId="77777777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06262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b/>
                <w:bCs/>
                <w:sz w:val="22"/>
                <w:szCs w:val="22"/>
              </w:rPr>
              <w:t>Interfejsy sieciowe/FC/SAS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AAEDCA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sz w:val="22"/>
                <w:szCs w:val="22"/>
              </w:rPr>
              <w:t xml:space="preserve">Wbudowane </w:t>
            </w:r>
            <w:r>
              <w:rPr>
                <w:rFonts w:cs="Arial"/>
                <w:color w:val="000000"/>
                <w:sz w:val="22"/>
                <w:szCs w:val="22"/>
              </w:rPr>
              <w:t>cztery interfejsy sieciowe 25Gb Ethernet ze złączami SFP28 oraz</w:t>
            </w:r>
          </w:p>
          <w:p w14:paraId="5D715452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dwa interfejsy sieciowe 1Gb Ethernet w standardzie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BaseT</w:t>
            </w:r>
            <w:proofErr w:type="spellEnd"/>
          </w:p>
          <w:p w14:paraId="5FBCAF58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Możliwość instalacji </w:t>
            </w:r>
            <w:r>
              <w:rPr>
                <w:rFonts w:cs="Arial"/>
                <w:color w:val="000000"/>
                <w:sz w:val="22"/>
                <w:szCs w:val="22"/>
              </w:rPr>
              <w:t>wymiennie modułów udostępniających:</w:t>
            </w:r>
          </w:p>
          <w:p w14:paraId="649FAFD6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sz w:val="22"/>
                <w:szCs w:val="22"/>
              </w:rPr>
              <w:t xml:space="preserve">-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dwa interfejsy sieciowe 10Gb Ethernet w standardzie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BaseT</w:t>
            </w:r>
            <w:proofErr w:type="spellEnd"/>
          </w:p>
          <w:p w14:paraId="5D29A205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- dwa interfejsy sieciowe 25Gb Ethernet ze złączami SFP28</w:t>
            </w:r>
          </w:p>
          <w:p w14:paraId="21398EA2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- dwa interfejsy sieciowe 10Gb Ethernet w standardzie SFP+</w:t>
            </w:r>
          </w:p>
          <w:p w14:paraId="38219726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- cztery interfejsy sieciowe 10Gb Ethernet w standardzie SFP+</w:t>
            </w:r>
          </w:p>
          <w:p w14:paraId="7BB04C6A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- cztery interfejsy sieciowe 1Gb Ethernet w standardzie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BaseT</w:t>
            </w:r>
            <w:proofErr w:type="spellEnd"/>
          </w:p>
        </w:tc>
      </w:tr>
      <w:tr w:rsidR="00CE6D4B" w14:paraId="23DE0B42" w14:textId="77777777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32FB1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b/>
                <w:bCs/>
                <w:sz w:val="22"/>
                <w:szCs w:val="22"/>
              </w:rPr>
              <w:t>Dyski twarde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797DDA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 Zainstalowane dwa dyski hot-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swap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 xml:space="preserve"> M.2 o pojemności min. 480GB z możliwością konfiguracji RAID 1.</w:t>
            </w:r>
          </w:p>
        </w:tc>
      </w:tr>
      <w:tr w:rsidR="00CE6D4B" w14:paraId="0F2718DC" w14:textId="77777777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62AE82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b/>
                <w:bCs/>
                <w:sz w:val="22"/>
                <w:szCs w:val="22"/>
              </w:rPr>
              <w:t>Wbudowane porty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D684D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min. port USB 2.0 oraz port USB 3.0, port </w:t>
            </w:r>
            <w:r>
              <w:rPr>
                <w:rFonts w:cs="Arial"/>
                <w:color w:val="000000"/>
                <w:sz w:val="22"/>
                <w:szCs w:val="22"/>
              </w:rPr>
              <w:t>VGA,</w:t>
            </w:r>
          </w:p>
        </w:tc>
      </w:tr>
      <w:tr w:rsidR="00CE6D4B" w14:paraId="5630535D" w14:textId="77777777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F15CF4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b/>
                <w:bCs/>
                <w:sz w:val="22"/>
                <w:szCs w:val="22"/>
              </w:rPr>
              <w:t>Video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7DCD9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Zintegrowana karta graficzna umożliwiająca wyświetlenie rozdzielczości min. 1600x900</w:t>
            </w:r>
          </w:p>
        </w:tc>
      </w:tr>
      <w:tr w:rsidR="00CE6D4B" w14:paraId="4813D25F" w14:textId="77777777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AEB3B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b/>
                <w:bCs/>
                <w:sz w:val="22"/>
                <w:szCs w:val="22"/>
              </w:rPr>
              <w:t>Wentylatory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1F051C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Redundantne Hot-Plug</w:t>
            </w:r>
          </w:p>
        </w:tc>
      </w:tr>
      <w:tr w:rsidR="00CE6D4B" w14:paraId="3C5F67DE" w14:textId="77777777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A6020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b/>
                <w:bCs/>
                <w:sz w:val="22"/>
                <w:szCs w:val="22"/>
              </w:rPr>
              <w:t>Zasilacze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68EC1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sz w:val="22"/>
                <w:szCs w:val="22"/>
              </w:rPr>
              <w:t xml:space="preserve">Min. dwa zasilacze Hot-Plug min. 1100W </w:t>
            </w:r>
            <w:proofErr w:type="spellStart"/>
            <w:r>
              <w:rPr>
                <w:rFonts w:cs="Arial"/>
                <w:sz w:val="22"/>
                <w:szCs w:val="22"/>
              </w:rPr>
              <w:t>Titanium</w:t>
            </w:r>
            <w:proofErr w:type="spellEnd"/>
          </w:p>
        </w:tc>
      </w:tr>
      <w:tr w:rsidR="00CE6D4B" w14:paraId="54EC1482" w14:textId="77777777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07CC0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b/>
                <w:bCs/>
                <w:sz w:val="22"/>
                <w:szCs w:val="22"/>
              </w:rPr>
              <w:t>Karta Zarządzania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EA812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Niezależna karta zarządzająca od </w:t>
            </w:r>
            <w:r>
              <w:rPr>
                <w:rFonts w:cs="Arial"/>
                <w:color w:val="000000"/>
                <w:sz w:val="22"/>
                <w:szCs w:val="22"/>
              </w:rPr>
              <w:t>zainstalowanego na serwerze systemu operacyjnego posiadającej dedykowany port RJ-45 Gigabit Ethernet umożliwiającej:</w:t>
            </w:r>
          </w:p>
          <w:p w14:paraId="4A62779B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zdalny dostęp do graficznego interfejsu Web karty zarządzającej</w:t>
            </w:r>
          </w:p>
          <w:p w14:paraId="3E935093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szyfrowane połączenie (TLS) oraz autentykacje i autoryzację użytkownika</w:t>
            </w:r>
          </w:p>
          <w:p w14:paraId="3486E268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możliwość podmontowania zdalnych wirtualnych napędów</w:t>
            </w:r>
          </w:p>
          <w:p w14:paraId="35A882CE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wirtualną konsolę z dostępem do myszy, klawiatury</w:t>
            </w:r>
          </w:p>
          <w:p w14:paraId="1CAED634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wsparcie dla IPv6</w:t>
            </w:r>
          </w:p>
          <w:p w14:paraId="7A5C59A9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wsparcie dla SNMP; IPMI2.0, VLAN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tagging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>, SSH</w:t>
            </w:r>
          </w:p>
          <w:p w14:paraId="43E8A141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sz w:val="22"/>
                <w:szCs w:val="22"/>
              </w:rPr>
              <w:t>możliwość zdalnego monitorowania w czasie rzeczywistym poboru prądu przez serwer, dane historyczne powinny być dostępne przez min. 7 dni wstecz.</w:t>
            </w:r>
          </w:p>
          <w:p w14:paraId="4E7F1401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możliwość zdalnego ustawienia limitu poboru prądu przez konkretny serwer</w:t>
            </w:r>
          </w:p>
          <w:p w14:paraId="7C2F3896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integracja z Active Directory</w:t>
            </w:r>
          </w:p>
          <w:p w14:paraId="3A9AC49C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możliwość obsługi przez ośmiu administratorów jednocześnie</w:t>
            </w:r>
          </w:p>
          <w:p w14:paraId="5E7560B9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Wsparcie dla automatycznej rejestracji DNS</w:t>
            </w:r>
          </w:p>
          <w:p w14:paraId="580C810E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lastRenderedPageBreak/>
              <w:t>wsparcie dla LLDP</w:t>
            </w:r>
          </w:p>
          <w:p w14:paraId="72BFECD8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wysyłanie do administratora maila z powiadomieniem o awarii lub zmianie konfiguracji sprzętowej</w:t>
            </w:r>
          </w:p>
          <w:p w14:paraId="47EE16D9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możliwość podłączenia lokalnego poprzez złącze RS-232.</w:t>
            </w:r>
          </w:p>
          <w:p w14:paraId="13EF70C1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możliwość zarządzania bezpośredniego poprzez złącze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microUSB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 xml:space="preserve"> umieszczone na </w:t>
            </w:r>
            <w:r>
              <w:rPr>
                <w:rFonts w:cs="Arial"/>
                <w:color w:val="000000"/>
                <w:sz w:val="22"/>
                <w:szCs w:val="22"/>
              </w:rPr>
              <w:t>froncie obudowy.</w:t>
            </w:r>
          </w:p>
          <w:p w14:paraId="63C5617F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Monitorowanie zużycia dysków SSD</w:t>
            </w:r>
          </w:p>
          <w:p w14:paraId="263A269F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możliwość monitorowania z jednej konsoli min. 100 serwerami fizycznymi,</w:t>
            </w:r>
          </w:p>
          <w:p w14:paraId="1FE8614E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Automatyczne zgłaszanie alertów do centrum serwisowego producenta</w:t>
            </w:r>
          </w:p>
          <w:p w14:paraId="30E9A203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Automatyczne update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firmware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 xml:space="preserve"> dla wszystkich komponentów serwera</w:t>
            </w:r>
          </w:p>
          <w:p w14:paraId="0DF91B2B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Możliwość przywrócenia poprzednich wersji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firmware</w:t>
            </w:r>
            <w:proofErr w:type="spellEnd"/>
          </w:p>
          <w:p w14:paraId="2893FE70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Możliwość eksportu eksportu/importu konfiguracji (ustawienie karty zarządzającej,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BIOSu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>, kart sieciowych, HBA oraz konfiguracji kontrolera RAID) serwera do pliku XML lub JSON</w:t>
            </w:r>
          </w:p>
          <w:p w14:paraId="5094E2E8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Możliwość zaimportowania ustawień, poprzez bezpośrednie podłączenie plików konfiguracyjnych</w:t>
            </w:r>
          </w:p>
          <w:p w14:paraId="7AD1BE69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Automatyczne tworzenie kopii ustawień serwera w oparciu o harmonogram.</w:t>
            </w:r>
          </w:p>
          <w:p w14:paraId="5B82C412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sz w:val="22"/>
                <w:szCs w:val="22"/>
              </w:rPr>
              <w:t xml:space="preserve">Możliwość wykrywania odchyleń konfiguracji na poziomie konfiguracji UEFI oraz wersji </w:t>
            </w:r>
            <w:proofErr w:type="spellStart"/>
            <w:r>
              <w:rPr>
                <w:rFonts w:cs="Arial"/>
                <w:sz w:val="22"/>
                <w:szCs w:val="22"/>
              </w:rPr>
              <w:t>firmware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serwera</w:t>
            </w:r>
          </w:p>
          <w:p w14:paraId="42A8BF2E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sz w:val="22"/>
                <w:szCs w:val="22"/>
              </w:rPr>
              <w:t xml:space="preserve">możliwość wysyłania danych takich jak stan procesora, kart sieciowych, zasilaczy, kart GPU,  lokalnych dysków i urządzeń </w:t>
            </w:r>
            <w:proofErr w:type="spellStart"/>
            <w:r>
              <w:rPr>
                <w:rFonts w:cs="Arial"/>
                <w:sz w:val="22"/>
                <w:szCs w:val="22"/>
              </w:rPr>
              <w:t>NVMe</w:t>
            </w:r>
            <w:proofErr w:type="spellEnd"/>
            <w:r>
              <w:rPr>
                <w:rFonts w:cs="Arial"/>
                <w:sz w:val="22"/>
                <w:szCs w:val="22"/>
              </w:rPr>
              <w:t>, jak również dane wydajnościowe serwera do zewnętrznych</w:t>
            </w:r>
          </w:p>
          <w:p w14:paraId="5EBB1CFA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sz w:val="22"/>
                <w:szCs w:val="22"/>
              </w:rPr>
              <w:t>kontrola stanu BIOS pod kątem naruszenia integralności oprogramowania</w:t>
            </w:r>
          </w:p>
          <w:p w14:paraId="4B5397C8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sz w:val="22"/>
                <w:szCs w:val="22"/>
              </w:rPr>
              <w:t>Automatyczne odświeżanie certyfikatów SSL</w:t>
            </w:r>
          </w:p>
          <w:p w14:paraId="60F2C240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sz w:val="22"/>
                <w:szCs w:val="22"/>
              </w:rPr>
              <w:t xml:space="preserve">możliwość wykorzystania </w:t>
            </w:r>
            <w:proofErr w:type="spellStart"/>
            <w:r>
              <w:rPr>
                <w:rFonts w:cs="Arial"/>
                <w:sz w:val="22"/>
                <w:szCs w:val="22"/>
              </w:rPr>
              <w:t>tokenu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lub aplikacji </w:t>
            </w:r>
            <w:proofErr w:type="spellStart"/>
            <w:r>
              <w:rPr>
                <w:rFonts w:cs="Arial"/>
                <w:sz w:val="22"/>
                <w:szCs w:val="22"/>
              </w:rPr>
              <w:t>SecurID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do uwierzytelniania wielkoskładnikowego przy logowaniu do karty zarządzającej</w:t>
            </w:r>
          </w:p>
          <w:p w14:paraId="5C12EEFC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sz w:val="22"/>
                <w:szCs w:val="22"/>
              </w:rPr>
              <w:t xml:space="preserve">możliwość modyfikacji reguł chłodzenia kart w slotach </w:t>
            </w:r>
            <w:proofErr w:type="spellStart"/>
            <w:r>
              <w:rPr>
                <w:rFonts w:cs="Arial"/>
                <w:sz w:val="22"/>
                <w:szCs w:val="22"/>
              </w:rPr>
              <w:t>PCIe</w:t>
            </w:r>
            <w:proofErr w:type="spellEnd"/>
            <w:r>
              <w:rPr>
                <w:rFonts w:cs="Arial"/>
                <w:sz w:val="22"/>
                <w:szCs w:val="22"/>
              </w:rPr>
              <w:t>, z możliwością własnych ustawień</w:t>
            </w:r>
          </w:p>
          <w:p w14:paraId="5D671C4D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sz w:val="22"/>
                <w:szCs w:val="22"/>
              </w:rPr>
              <w:t xml:space="preserve">możliwość </w:t>
            </w:r>
            <w:r>
              <w:rPr>
                <w:rFonts w:cs="Arial"/>
                <w:sz w:val="22"/>
                <w:szCs w:val="22"/>
              </w:rPr>
              <w:t>ustawienia</w:t>
            </w:r>
            <w:r>
              <w:rPr>
                <w:rFonts w:cs="Arial"/>
                <w:sz w:val="22"/>
                <w:szCs w:val="22"/>
              </w:rPr>
              <w:t xml:space="preserve"> limitu temperatury powietrza wychodzącego z serwera</w:t>
            </w:r>
          </w:p>
          <w:p w14:paraId="57B59F3F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sz w:val="22"/>
                <w:szCs w:val="22"/>
              </w:rPr>
              <w:t>możliwość ustawienia dopuszczalnego wzrostu temperatury powietrza przepływającego przez serwer</w:t>
            </w:r>
          </w:p>
          <w:p w14:paraId="6DAB1597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sz w:val="22"/>
                <w:szCs w:val="22"/>
              </w:rPr>
              <w:t xml:space="preserve">możliwość ustawienia maksymalnej temperatury powietrza dochodzącego do slotów </w:t>
            </w:r>
            <w:proofErr w:type="spellStart"/>
            <w:r>
              <w:rPr>
                <w:rFonts w:cs="Arial"/>
                <w:sz w:val="22"/>
                <w:szCs w:val="22"/>
              </w:rPr>
              <w:t>PCIe</w:t>
            </w:r>
            <w:proofErr w:type="spellEnd"/>
          </w:p>
          <w:p w14:paraId="57683CA9" w14:textId="77777777" w:rsidR="00CE6D4B" w:rsidRDefault="008934EA">
            <w:pPr>
              <w:numPr>
                <w:ilvl w:val="0"/>
                <w:numId w:val="46"/>
              </w:numPr>
              <w:jc w:val="left"/>
              <w:textAlignment w:val="baseline"/>
            </w:pPr>
            <w:r>
              <w:rPr>
                <w:rFonts w:cs="Arial"/>
                <w:sz w:val="22"/>
                <w:szCs w:val="22"/>
              </w:rPr>
              <w:t>monitorowanie przepływu powietrza na bieżąco</w:t>
            </w:r>
          </w:p>
        </w:tc>
      </w:tr>
      <w:tr w:rsidR="00CE6D4B" w14:paraId="57A8A399" w14:textId="77777777">
        <w:trPr>
          <w:trHeight w:val="525"/>
        </w:trPr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DB9564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Oprogramowanie do zarządzania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FF1930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Możliwość zainstalowania oprogramowania producenta do zarządzania, spełniające poniższe wymagania:</w:t>
            </w:r>
          </w:p>
          <w:p w14:paraId="467603A7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Wsparcie dla serwerów, urządzeń sieciowych oraz pamięci masowych</w:t>
            </w:r>
          </w:p>
          <w:p w14:paraId="387706DE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integracja z Active Directory</w:t>
            </w:r>
          </w:p>
          <w:p w14:paraId="494F4D63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Możliwość zarządzania dostarczonymi serwerami bez udziału dedykowanego agenta</w:t>
            </w:r>
          </w:p>
          <w:p w14:paraId="0258A789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Wsparcie dla protokołów SNMP, IPMI, Linux SSH,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Redfish</w:t>
            </w:r>
            <w:proofErr w:type="spellEnd"/>
          </w:p>
          <w:p w14:paraId="1E1FDAB5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Możliwość uruchamiania procesu wykrywania urządzeń w oparciu o harmonogram</w:t>
            </w:r>
          </w:p>
          <w:p w14:paraId="4716247A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Szczegółowy opis wykrytych systemów oraz ich komponentów</w:t>
            </w:r>
          </w:p>
          <w:p w14:paraId="37823B2E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Możliwość eksportu raportu do CSV, HTML, XLS, PDF</w:t>
            </w:r>
          </w:p>
          <w:p w14:paraId="1A252BE7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Możliwość tworzenia własnych raportów w oparciu o wszystkie informacje zawarte w inwentarzu.</w:t>
            </w:r>
          </w:p>
          <w:p w14:paraId="1F120EBE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Grupowanie urządzeń w oparciu o kryteria użytkownika</w:t>
            </w:r>
          </w:p>
          <w:p w14:paraId="12CC4FFD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Tworzenie automatycznie grup urządzeń w oparciu o dowolny element konfiguracji serwera np. Nazwa, lokalizacja, system operacyjny, obsadzenie slotów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PCIe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>, pozostałego czasu gwarancji</w:t>
            </w:r>
          </w:p>
          <w:p w14:paraId="432562E5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Możliwość uruchamiania narzędzi zarządzających w poszczególnych </w:t>
            </w:r>
            <w:r>
              <w:rPr>
                <w:rFonts w:cs="Arial"/>
                <w:color w:val="000000"/>
                <w:sz w:val="22"/>
                <w:szCs w:val="22"/>
              </w:rPr>
              <w:lastRenderedPageBreak/>
              <w:t>urządzeniach</w:t>
            </w:r>
          </w:p>
          <w:p w14:paraId="0C4FB7B2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Szybki podgląd stanu środowiska</w:t>
            </w:r>
          </w:p>
          <w:p w14:paraId="6946EC99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Podsumowanie stanu dla każdego urządzenia</w:t>
            </w:r>
          </w:p>
          <w:p w14:paraId="60EF879E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Szczegółowy status urządzenia/elementu/komponentu</w:t>
            </w:r>
          </w:p>
          <w:p w14:paraId="603290AA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Generowanie alertów przy zmianie stanu urządzenia.</w:t>
            </w:r>
          </w:p>
          <w:p w14:paraId="0EE4A28D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Filtry raportów umożliwiające podgląd najważniejszych zdarzeń</w:t>
            </w:r>
          </w:p>
          <w:p w14:paraId="743CB810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Integracja z service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desk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 xml:space="preserve"> producenta dostarczonej </w:t>
            </w:r>
            <w:r>
              <w:rPr>
                <w:rFonts w:cs="Arial"/>
                <w:color w:val="000000"/>
                <w:sz w:val="22"/>
                <w:szCs w:val="22"/>
              </w:rPr>
              <w:t>platformy sprzętowej</w:t>
            </w:r>
          </w:p>
          <w:p w14:paraId="586E2A88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Możliwość przejęcia zdalnego pulpitu</w:t>
            </w:r>
          </w:p>
          <w:p w14:paraId="156292D4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Możliwość podmontowania wirtualnego napędu</w:t>
            </w:r>
          </w:p>
          <w:p w14:paraId="01A78651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Kreator umożliwiający dostosowanie akcji dla wybranych alertów</w:t>
            </w:r>
          </w:p>
          <w:p w14:paraId="12D886DA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Możliwość importu plików MIB</w:t>
            </w:r>
          </w:p>
          <w:p w14:paraId="17BA203B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Przesyłanie alertów „as-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is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>” do innych konsol firm trzecich</w:t>
            </w:r>
          </w:p>
          <w:p w14:paraId="5A733DE7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Możliwość definiowania ról administratorów</w:t>
            </w:r>
          </w:p>
          <w:p w14:paraId="121AAD89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Możliwość zdalnej aktualizacji oprogramowania wewnętrznego serwerów</w:t>
            </w:r>
          </w:p>
          <w:p w14:paraId="24801E10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Aktualizacja oparta o wybranie źródła bibliotek (lokalna, on-line producenta oferowanego rozwiązania)</w:t>
            </w:r>
          </w:p>
          <w:p w14:paraId="620E159D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Możliwość instalacji oprogramowania wewnętrznego bez potrzeby instalacji agenta</w:t>
            </w:r>
          </w:p>
          <w:p w14:paraId="51602504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Możliwość automatycznego generowania i zgłaszania incydentów awarii bezpośrednio do centrum serwisowego producenta serwerów</w:t>
            </w:r>
          </w:p>
          <w:p w14:paraId="7078E364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Moduł raportujący pozwalający na wygenerowanie następujących informacji: nr seryjne sprzętu, konfiguracja poszczególnych urządzeń, wersje oprogramowania wewnętrznego, obsadzenie slotów PCI i gniazd pamięci, informację o maszynach wirtualnych, aktualne informacje o stanie i poziomie gwarancji, adresy IP kart sieciowych, występujących alertów, MAC adresów kart sieciowych, stanie poszczególnych komponentów serwera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68B86478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sz w:val="22"/>
                <w:szCs w:val="22"/>
              </w:rPr>
              <w:t>Możliwość tworzenia sprzętowej konfiguracji bazowej i na jej podstawie weryfikacji środowiska w celu wykrycia rozbieżności.</w:t>
            </w:r>
          </w:p>
          <w:p w14:paraId="04F3343A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sz w:val="22"/>
                <w:szCs w:val="22"/>
              </w:rPr>
              <w:t xml:space="preserve">Wdrażanie serwerów, rozwiązań modularnych oraz </w:t>
            </w:r>
            <w:r>
              <w:rPr>
                <w:rFonts w:cs="Arial"/>
                <w:sz w:val="22"/>
                <w:szCs w:val="22"/>
              </w:rPr>
              <w:t>przełączników sieciowych w oparciu o profile</w:t>
            </w:r>
          </w:p>
          <w:p w14:paraId="01274661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sz w:val="22"/>
                <w:szCs w:val="22"/>
              </w:rPr>
              <w:t>Możliwość migracji ustawień serwera wraz z wirtualnymi adresami sieciowymi (MAC, WWN, IQN) między urządzeniami.</w:t>
            </w:r>
          </w:p>
          <w:p w14:paraId="5AC39848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sz w:val="22"/>
                <w:szCs w:val="22"/>
              </w:rPr>
              <w:t>Tworzenie gotowych paczek informacji umożliwiających zdiagnozowanie awarii urządzenia przez serwis producenta.</w:t>
            </w:r>
          </w:p>
          <w:p w14:paraId="1CB5DFF8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sz w:val="22"/>
                <w:szCs w:val="22"/>
              </w:rPr>
              <w:t>Zdalne uruchamianie diagnostyki serwera.</w:t>
            </w:r>
          </w:p>
          <w:p w14:paraId="085DFBEC" w14:textId="77777777" w:rsidR="00CE6D4B" w:rsidRDefault="008934EA">
            <w:pPr>
              <w:numPr>
                <w:ilvl w:val="0"/>
                <w:numId w:val="47"/>
              </w:numPr>
              <w:jc w:val="left"/>
              <w:textAlignment w:val="baseline"/>
            </w:pPr>
            <w:r>
              <w:rPr>
                <w:rFonts w:cs="Arial"/>
                <w:sz w:val="22"/>
                <w:szCs w:val="22"/>
              </w:rPr>
              <w:t>Dedykowana aplikacja na urządzenia mobilne integrująca się z wyżej opisanymi oprogramowaniem zarządzającym.</w:t>
            </w:r>
          </w:p>
          <w:p w14:paraId="18964382" w14:textId="77777777" w:rsidR="00CE6D4B" w:rsidRDefault="008934EA">
            <w:pPr>
              <w:numPr>
                <w:ilvl w:val="0"/>
                <w:numId w:val="47"/>
              </w:numPr>
              <w:jc w:val="left"/>
            </w:pPr>
            <w:r>
              <w:rPr>
                <w:rFonts w:cs="Arial"/>
                <w:sz w:val="22"/>
                <w:szCs w:val="22"/>
              </w:rPr>
              <w:t xml:space="preserve">Oprogramowanie dostarczane jako wirtualny </w:t>
            </w:r>
            <w:proofErr w:type="spellStart"/>
            <w:r>
              <w:rPr>
                <w:rFonts w:cs="Arial"/>
                <w:sz w:val="22"/>
                <w:szCs w:val="22"/>
              </w:rPr>
              <w:t>appliance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dla KVM, </w:t>
            </w:r>
            <w:proofErr w:type="spellStart"/>
            <w:r>
              <w:rPr>
                <w:rFonts w:cs="Arial"/>
                <w:sz w:val="22"/>
                <w:szCs w:val="22"/>
              </w:rPr>
              <w:t>ESXi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i Hyper-V.</w:t>
            </w:r>
          </w:p>
        </w:tc>
      </w:tr>
      <w:tr w:rsidR="00CE6D4B" w14:paraId="10775C06" w14:textId="77777777">
        <w:trPr>
          <w:trHeight w:val="525"/>
        </w:trPr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90875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 xml:space="preserve">System </w:t>
            </w:r>
            <w:r>
              <w:rPr>
                <w:rFonts w:cs="Arial"/>
                <w:b/>
                <w:bCs/>
                <w:sz w:val="22"/>
                <w:szCs w:val="22"/>
              </w:rPr>
              <w:t>Operacyjny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67594" w14:textId="77777777" w:rsidR="00CE6D4B" w:rsidRDefault="008934EA">
            <w:p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Zakres Przedmiotu Zamówienia obejmuje dostarczenie Oprogramowania Systemowego zwanego dalej SSO.</w:t>
            </w:r>
          </w:p>
          <w:p w14:paraId="7C397904" w14:textId="77777777" w:rsidR="00CE6D4B" w:rsidRDefault="008934EA">
            <w:p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Licencja musi uprawniać do uruchamiania SSO w środowisku fizycznym i dwie wirtualne środowiska SSO za pomocą wbudowanych mechanizmów wirtualizacji.</w:t>
            </w:r>
          </w:p>
          <w:p w14:paraId="43E48EE1" w14:textId="77777777" w:rsidR="00CE6D4B" w:rsidRDefault="008934EA">
            <w:p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SSO musi posiadać następujące, wbudowane cechy:</w:t>
            </w:r>
          </w:p>
          <w:p w14:paraId="324A3477" w14:textId="77777777" w:rsidR="00CE6D4B" w:rsidRDefault="008934EA">
            <w:pPr>
              <w:numPr>
                <w:ilvl w:val="0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możliwość wykorzystania, co najmniej 320 logicznych procesorów oraz co najmniej 4 TB pamięci RAM w środowisku fizycznym,</w:t>
            </w:r>
          </w:p>
          <w:p w14:paraId="63CB9431" w14:textId="77777777" w:rsidR="00CE6D4B" w:rsidRDefault="008934EA">
            <w:pPr>
              <w:numPr>
                <w:ilvl w:val="0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możliwość wykorzystywania 64 procesorów wirtualnych oraz 1TB pamięci RAM i dysku o pojemności min. 64TB przez każdy wirtualny serwerowy system operacyjny,</w:t>
            </w:r>
          </w:p>
          <w:p w14:paraId="14010946" w14:textId="77777777" w:rsidR="00CE6D4B" w:rsidRDefault="008934EA">
            <w:pPr>
              <w:numPr>
                <w:ilvl w:val="0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możliwość budowania klastrów składających się z 64 węzłów, z możliwością uruchamiania do 8000 maszyn wirtualnych,</w:t>
            </w:r>
          </w:p>
          <w:p w14:paraId="06CD845F" w14:textId="77777777" w:rsidR="00CE6D4B" w:rsidRDefault="008934EA">
            <w:pPr>
              <w:numPr>
                <w:ilvl w:val="0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możliwość migracji maszyn wirtualnych bez zatrzymywania ich pracy między fizycznymi serwerami z uruchomionym mechanizmem wirtualizacji </w:t>
            </w:r>
            <w:r>
              <w:rPr>
                <w:rFonts w:cs="Arial"/>
                <w:color w:val="000000"/>
                <w:sz w:val="22"/>
                <w:szCs w:val="22"/>
              </w:rPr>
              <w:lastRenderedPageBreak/>
              <w:t>(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hypervisor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>) przez sieć Ethernet, bez konieczności stosowania dodatkowych mechanizmów współdzielenia pamięci,</w:t>
            </w:r>
          </w:p>
          <w:p w14:paraId="155BDDFF" w14:textId="77777777" w:rsidR="00CE6D4B" w:rsidRDefault="008934EA">
            <w:pPr>
              <w:numPr>
                <w:ilvl w:val="0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wsparcie (na umożliwiającym to sprzęcie) dodawania i wymiany pamięci RAM bez przerywania pracy,</w:t>
            </w:r>
          </w:p>
          <w:p w14:paraId="00603CEF" w14:textId="77777777" w:rsidR="00CE6D4B" w:rsidRDefault="008934EA">
            <w:pPr>
              <w:numPr>
                <w:ilvl w:val="0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wsparcie (na umożliwiającym to sprzęcie) dodawania i wymiany procesorów bez przerywania pracy,</w:t>
            </w:r>
          </w:p>
          <w:p w14:paraId="070E4045" w14:textId="77777777" w:rsidR="00CE6D4B" w:rsidRDefault="008934EA">
            <w:pPr>
              <w:numPr>
                <w:ilvl w:val="0"/>
                <w:numId w:val="48"/>
              </w:numPr>
              <w:jc w:val="left"/>
            </w:pPr>
            <w:r>
              <w:rPr>
                <w:sz w:val="22"/>
                <w:szCs w:val="22"/>
              </w:rPr>
              <w:t xml:space="preserve">automatyczna weryfikacja cyfrowych sygnatur sterowników w celu sprawdzenia, czy sterownik przeszedł testy jakości przeprowadzone przez producenta systemu operacyjnego, możliwość dynamicznego obniżania poboru energii przez rdzenie procesorów niewykorzystywane w bieżącej pracy (mechanizm ten musi uwzględniać specyfikę procesorów wyposażonych w mechanizmy </w:t>
            </w:r>
            <w:proofErr w:type="spellStart"/>
            <w:r>
              <w:rPr>
                <w:sz w:val="22"/>
                <w:szCs w:val="22"/>
              </w:rPr>
              <w:t>Hyper-Threading</w:t>
            </w:r>
            <w:proofErr w:type="spellEnd"/>
            <w:r>
              <w:rPr>
                <w:sz w:val="22"/>
                <w:szCs w:val="22"/>
              </w:rPr>
              <w:t>),</w:t>
            </w:r>
          </w:p>
          <w:p w14:paraId="48C44752" w14:textId="77777777" w:rsidR="00CE6D4B" w:rsidRDefault="008934EA">
            <w:pPr>
              <w:numPr>
                <w:ilvl w:val="0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wbudowane wsparcie instalacji i pracy na wolumenach, które:</w:t>
            </w:r>
          </w:p>
          <w:p w14:paraId="2CF0FC1B" w14:textId="77777777" w:rsidR="00CE6D4B" w:rsidRDefault="008934EA">
            <w:pPr>
              <w:numPr>
                <w:ilvl w:val="1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pozwalają na zmianę rozmiaru w czasie pracy systemu,</w:t>
            </w:r>
          </w:p>
          <w:p w14:paraId="340474DF" w14:textId="77777777" w:rsidR="00CE6D4B" w:rsidRDefault="008934EA">
            <w:pPr>
              <w:numPr>
                <w:ilvl w:val="1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umożliwiają tworzenie w czasie pracy systemu migawek, dających użytkownikom końcowym (lokalnym i sieciowym) prosty wgląd w poprzednie wersje plików i folderów,</w:t>
            </w:r>
          </w:p>
          <w:p w14:paraId="2A04596B" w14:textId="77777777" w:rsidR="00CE6D4B" w:rsidRDefault="008934EA">
            <w:pPr>
              <w:numPr>
                <w:ilvl w:val="1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umożliwiają kompresję "w locie" dla wybranych plików i/lub folderów,</w:t>
            </w:r>
          </w:p>
          <w:p w14:paraId="03E71F83" w14:textId="77777777" w:rsidR="00CE6D4B" w:rsidRDefault="008934EA">
            <w:pPr>
              <w:numPr>
                <w:ilvl w:val="1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umożliwiają zdefiniowanie list kontroli dostępu (ACL),</w:t>
            </w:r>
          </w:p>
          <w:p w14:paraId="54B09C8F" w14:textId="77777777" w:rsidR="00CE6D4B" w:rsidRDefault="008934EA">
            <w:pPr>
              <w:numPr>
                <w:ilvl w:val="0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wbudowany mechanizm klasyfikowania i indeksowania plików (dokumentów) w oparciu o ich zawartość,</w:t>
            </w:r>
          </w:p>
          <w:p w14:paraId="16730E17" w14:textId="77777777" w:rsidR="00CE6D4B" w:rsidRDefault="008934EA">
            <w:pPr>
              <w:numPr>
                <w:ilvl w:val="0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wbudowane szyfrowanie dysków</w:t>
            </w:r>
          </w:p>
          <w:p w14:paraId="56F050A9" w14:textId="77777777" w:rsidR="00CE6D4B" w:rsidRDefault="008934EA">
            <w:pPr>
              <w:numPr>
                <w:ilvl w:val="0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możliwość uruchamiania aplikacji internetowych wykorzystujących technologię ASP.NET,</w:t>
            </w:r>
          </w:p>
          <w:p w14:paraId="5C534819" w14:textId="77777777" w:rsidR="00CE6D4B" w:rsidRDefault="008934EA">
            <w:pPr>
              <w:numPr>
                <w:ilvl w:val="0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możliwość dystrybucji ruchu sieciowego HTTP pomiędzy kilka serwerów,</w:t>
            </w:r>
          </w:p>
          <w:p w14:paraId="0201C5B8" w14:textId="77777777" w:rsidR="00CE6D4B" w:rsidRDefault="008934EA">
            <w:pPr>
              <w:numPr>
                <w:ilvl w:val="0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wbudowana zapora internetowa (firewall) z obsługą definiowanych reguł dla ochrony połączeń internetowych i intranetowych,</w:t>
            </w:r>
          </w:p>
          <w:p w14:paraId="190AE722" w14:textId="77777777" w:rsidR="00CE6D4B" w:rsidRDefault="008934EA">
            <w:pPr>
              <w:numPr>
                <w:ilvl w:val="0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graficzny interfejs użytkownika,</w:t>
            </w:r>
          </w:p>
          <w:p w14:paraId="5251BB2D" w14:textId="77777777" w:rsidR="00CE6D4B" w:rsidRDefault="008934EA">
            <w:pPr>
              <w:numPr>
                <w:ilvl w:val="0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zlokalizowane w języku polskim, co najmniej następujące elementy: menu, przeglądarka internetowa, pomoc, komunikaty systemowe,</w:t>
            </w:r>
          </w:p>
          <w:p w14:paraId="24868431" w14:textId="77777777" w:rsidR="00CE6D4B" w:rsidRDefault="008934EA">
            <w:pPr>
              <w:numPr>
                <w:ilvl w:val="0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Plug&amp;Play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>),</w:t>
            </w:r>
          </w:p>
          <w:p w14:paraId="578A1348" w14:textId="77777777" w:rsidR="00CE6D4B" w:rsidRDefault="008934EA">
            <w:pPr>
              <w:numPr>
                <w:ilvl w:val="0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możliwość zdalnej konfiguracji, administrowania oraz aktualizowania systemu,</w:t>
            </w:r>
          </w:p>
          <w:p w14:paraId="671295EF" w14:textId="77777777" w:rsidR="00CE6D4B" w:rsidRDefault="008934EA">
            <w:pPr>
              <w:numPr>
                <w:ilvl w:val="0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dostępność bezpłatnych narzędzi producenta systemu umożliwiających badanie i wdrażanie zdefiniowanego zestawu polityk bezpieczeństwa,</w:t>
            </w:r>
          </w:p>
          <w:p w14:paraId="4F0ED76D" w14:textId="77777777" w:rsidR="00CE6D4B" w:rsidRDefault="008934EA">
            <w:pPr>
              <w:numPr>
                <w:ilvl w:val="0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możliwość implementacji następujących funkcjonalności bez potrzeby instalowania dodatkowych produktów (oprogramowania) innych producentów wymagających dodatkowych licencji:</w:t>
            </w:r>
          </w:p>
          <w:p w14:paraId="076B5621" w14:textId="77777777" w:rsidR="00CE6D4B" w:rsidRDefault="008934EA">
            <w:pPr>
              <w:numPr>
                <w:ilvl w:val="1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podstawowe usługi sieciowe: DHCP oraz DNS wspierający DNSSEC,</w:t>
            </w:r>
          </w:p>
          <w:p w14:paraId="3BD3E82F" w14:textId="77777777" w:rsidR="00CE6D4B" w:rsidRDefault="008934EA">
            <w:pPr>
              <w:numPr>
                <w:ilvl w:val="1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usługi katalogowe oparte o LDAP i pozwalające na uwierzytelnianie użytkowników stacji roboczych, bez konieczności instalowania dodatkowego oprogramowania na tych stacjach, pozwalające na zarządzanie zasobami w sieci (użytkownicy, komputery, drukarki, udziały sieciowe), z możliwością wykorzystania następujących funkcji:</w:t>
            </w:r>
          </w:p>
          <w:p w14:paraId="4B7F35C1" w14:textId="77777777" w:rsidR="00CE6D4B" w:rsidRDefault="008934EA">
            <w:pPr>
              <w:numPr>
                <w:ilvl w:val="2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podłączenie SSO do domeny w trybie offline – bez dostępnego połączenia sieciowego z domeną,</w:t>
            </w:r>
          </w:p>
          <w:p w14:paraId="6A3E0F6B" w14:textId="77777777" w:rsidR="00CE6D4B" w:rsidRDefault="008934EA">
            <w:pPr>
              <w:numPr>
                <w:ilvl w:val="2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ustanawianie praw dostępu do zasobów domeny na bazie sposobu logowania użytkownika – na przykład typu </w:t>
            </w:r>
            <w:r>
              <w:rPr>
                <w:rFonts w:cs="Arial"/>
                <w:color w:val="000000"/>
                <w:sz w:val="22"/>
                <w:szCs w:val="22"/>
              </w:rPr>
              <w:t>certyfikatu użytego do logowania,</w:t>
            </w:r>
          </w:p>
          <w:p w14:paraId="69E261B2" w14:textId="77777777" w:rsidR="00CE6D4B" w:rsidRDefault="008934EA">
            <w:pPr>
              <w:numPr>
                <w:ilvl w:val="2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odzyskiwanie przypadkowo skasowanych obiektów usługi katalogowej z mechanizmu kosza,</w:t>
            </w:r>
          </w:p>
          <w:p w14:paraId="2CCAE419" w14:textId="77777777" w:rsidR="00CE6D4B" w:rsidRDefault="008934EA">
            <w:pPr>
              <w:numPr>
                <w:ilvl w:val="1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zdalna dystrybucja oprogramowania na stacje robocze,</w:t>
            </w:r>
          </w:p>
          <w:p w14:paraId="7E9D6546" w14:textId="77777777" w:rsidR="00CE6D4B" w:rsidRDefault="008934EA">
            <w:pPr>
              <w:numPr>
                <w:ilvl w:val="1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praca zdalna na serwerze z wykorzystaniem terminala (cienkiego </w:t>
            </w:r>
            <w:r>
              <w:rPr>
                <w:rFonts w:cs="Arial"/>
                <w:color w:val="000000"/>
                <w:sz w:val="22"/>
                <w:szCs w:val="22"/>
              </w:rPr>
              <w:lastRenderedPageBreak/>
              <w:t>klienta) lub odpowiednio skonfigurowanej stacji roboczej,</w:t>
            </w:r>
          </w:p>
          <w:p w14:paraId="77433898" w14:textId="77777777" w:rsidR="00CE6D4B" w:rsidRDefault="008934EA">
            <w:pPr>
              <w:numPr>
                <w:ilvl w:val="1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centrum Certyfikatów (CA), obsługa klucza publicznego i prywatnego) umożliwiające:</w:t>
            </w:r>
          </w:p>
          <w:p w14:paraId="68DF1D52" w14:textId="77777777" w:rsidR="00CE6D4B" w:rsidRDefault="008934EA">
            <w:pPr>
              <w:numPr>
                <w:ilvl w:val="2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dystrybucję certyfikatów poprzez http,</w:t>
            </w:r>
          </w:p>
          <w:p w14:paraId="5274C79A" w14:textId="77777777" w:rsidR="00CE6D4B" w:rsidRDefault="008934EA">
            <w:pPr>
              <w:numPr>
                <w:ilvl w:val="2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konsolidację CA dla wielu lasów domeny,</w:t>
            </w:r>
          </w:p>
          <w:p w14:paraId="651A3F9A" w14:textId="77777777" w:rsidR="00CE6D4B" w:rsidRDefault="008934EA">
            <w:pPr>
              <w:numPr>
                <w:ilvl w:val="2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automatyczne rejestrowania certyfikatów pomiędzy </w:t>
            </w:r>
            <w:r>
              <w:rPr>
                <w:rFonts w:cs="Arial"/>
                <w:color w:val="000000"/>
                <w:sz w:val="22"/>
                <w:szCs w:val="22"/>
              </w:rPr>
              <w:t>różnymi lasami domen,</w:t>
            </w:r>
          </w:p>
          <w:p w14:paraId="3B06DCEC" w14:textId="77777777" w:rsidR="00CE6D4B" w:rsidRDefault="008934EA">
            <w:pPr>
              <w:numPr>
                <w:ilvl w:val="1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szyfrowanie plików i folderów,</w:t>
            </w:r>
          </w:p>
          <w:p w14:paraId="11562BBE" w14:textId="77777777" w:rsidR="00CE6D4B" w:rsidRDefault="008934EA">
            <w:pPr>
              <w:numPr>
                <w:ilvl w:val="1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szyfrowanie połączeń sieciowych pomiędzy serwerami oraz serwerami i stacjami roboczymi (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IPSec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>),</w:t>
            </w:r>
          </w:p>
          <w:p w14:paraId="31D8E1FB" w14:textId="77777777" w:rsidR="00CE6D4B" w:rsidRDefault="008934EA">
            <w:pPr>
              <w:numPr>
                <w:ilvl w:val="1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możliwość tworzenia systemów wysokiej dostępności (klastry typu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fail-over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>) oraz rozłożenia obciążenia serwerów,</w:t>
            </w:r>
          </w:p>
          <w:p w14:paraId="6862185F" w14:textId="77777777" w:rsidR="00CE6D4B" w:rsidRDefault="008934EA">
            <w:pPr>
              <w:numPr>
                <w:ilvl w:val="1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serwis udostępniania stron WWW,</w:t>
            </w:r>
          </w:p>
          <w:p w14:paraId="164DEB93" w14:textId="77777777" w:rsidR="00CE6D4B" w:rsidRDefault="008934EA">
            <w:pPr>
              <w:numPr>
                <w:ilvl w:val="1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wsparcie dla protokołu IP w wersji 6 (IPv6),</w:t>
            </w:r>
          </w:p>
          <w:p w14:paraId="465331EE" w14:textId="77777777" w:rsidR="00CE6D4B" w:rsidRDefault="008934EA">
            <w:pPr>
              <w:numPr>
                <w:ilvl w:val="1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wbudowane mechanizmy wirtualizacji (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Hypervisor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 xml:space="preserve">) pozwalające na uruchamianie min. 1000 aktywnych środowisk wirtualnych systemów operacyjnych. Wirtualne maszyny w trakcie pracy i bez zauważalnego zmniejszenia ich dostępności mogą być przenoszone pomiędzy serwerami klastra typu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failover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 xml:space="preserve"> z jednoczesnym zachowaniem pozostałej funkcjonalności. Mechanizmy wirtualizacji mają zapewnić wsparcie dla:</w:t>
            </w:r>
          </w:p>
          <w:p w14:paraId="00AF54E7" w14:textId="77777777" w:rsidR="00CE6D4B" w:rsidRDefault="008934EA">
            <w:pPr>
              <w:numPr>
                <w:ilvl w:val="2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dynamicznego podłączania zasobów dyskowych typu hot-plug do maszyn wirtualnych,</w:t>
            </w:r>
          </w:p>
          <w:p w14:paraId="6158C26F" w14:textId="77777777" w:rsidR="00CE6D4B" w:rsidRDefault="008934EA">
            <w:pPr>
              <w:numPr>
                <w:ilvl w:val="2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obsługi ramek typu jumbo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frames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 xml:space="preserve"> dla maszyn wirtualnych,</w:t>
            </w:r>
          </w:p>
          <w:p w14:paraId="25281616" w14:textId="77777777" w:rsidR="00CE6D4B" w:rsidRDefault="008934EA">
            <w:pPr>
              <w:numPr>
                <w:ilvl w:val="2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obsługi 4-KB sektorów dysków,</w:t>
            </w:r>
          </w:p>
          <w:p w14:paraId="0DE40F4E" w14:textId="77777777" w:rsidR="00CE6D4B" w:rsidRDefault="008934EA">
            <w:pPr>
              <w:numPr>
                <w:ilvl w:val="2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nielimitowanej liczby jednocześnie przenoszonych maszyn wirtualnych pomiędzy węzłami klastra,</w:t>
            </w:r>
          </w:p>
          <w:p w14:paraId="012BD77D" w14:textId="77777777" w:rsidR="00CE6D4B" w:rsidRDefault="008934EA">
            <w:pPr>
              <w:numPr>
                <w:ilvl w:val="2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możliwości wirtualizacji sieci z zastosowaniem przełącznika, którego funkcjonalność może być rozszerzana jednocześnie poprzez oprogramowanie kilku innych dostawców poprzez otwarty interfejs API,</w:t>
            </w:r>
          </w:p>
          <w:p w14:paraId="09F69A13" w14:textId="77777777" w:rsidR="00CE6D4B" w:rsidRDefault="008934EA">
            <w:pPr>
              <w:numPr>
                <w:ilvl w:val="2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możliwości kierowania ruchu sieciowego z wielu sieci VLAN bezpośrednio do pojedynczej karty sieciowej maszyny wirtualnej (tzw.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trunk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 xml:space="preserve"> model),</w:t>
            </w:r>
          </w:p>
          <w:p w14:paraId="54817F34" w14:textId="77777777" w:rsidR="00CE6D4B" w:rsidRDefault="008934EA">
            <w:pPr>
              <w:numPr>
                <w:ilvl w:val="0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możliwość automatycznej aktualizacji w oparciu o poprawki publikowane przez producenta wraz z dostępnością bezpłatnego rozwiązania producenta SSO umożliwiającego lokalną dystrybucję poprawek zatwierdzonych przez administratora, bez połączenia z siecią Internet,</w:t>
            </w:r>
          </w:p>
          <w:p w14:paraId="06F9CAFE" w14:textId="77777777" w:rsidR="00CE6D4B" w:rsidRDefault="008934EA">
            <w:pPr>
              <w:numPr>
                <w:ilvl w:val="0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wsparcie dostępu do zasobu dyskowego SSO poprzez wiele ścieżek (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Multipath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>),</w:t>
            </w:r>
          </w:p>
          <w:p w14:paraId="37ED2D05" w14:textId="77777777" w:rsidR="00CE6D4B" w:rsidRDefault="008934EA">
            <w:pPr>
              <w:numPr>
                <w:ilvl w:val="0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możliwość instalacji poprawek poprzez wgranie ich do obrazu instalacyjnego,</w:t>
            </w:r>
          </w:p>
          <w:p w14:paraId="20E4DBE1" w14:textId="77777777" w:rsidR="00CE6D4B" w:rsidRDefault="008934EA">
            <w:pPr>
              <w:numPr>
                <w:ilvl w:val="0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mechanizmy zdalnej administracji oraz mechanizmy (również działające zdalnie) administracji przez skrypty,</w:t>
            </w:r>
          </w:p>
          <w:p w14:paraId="06D41006" w14:textId="77777777" w:rsidR="00CE6D4B" w:rsidRDefault="008934EA">
            <w:pPr>
              <w:numPr>
                <w:ilvl w:val="0"/>
                <w:numId w:val="48"/>
              </w:numPr>
              <w:jc w:val="left"/>
            </w:pPr>
            <w:r>
              <w:rPr>
                <w:rFonts w:cs="Arial"/>
                <w:color w:val="000000"/>
                <w:sz w:val="22"/>
                <w:szCs w:val="22"/>
              </w:rPr>
              <w:t>możliwość zarządzania przez wbudowane mechanizmy zgodne ze standardami WBEM oraz WS-Management organizacji DMTF.</w:t>
            </w:r>
          </w:p>
        </w:tc>
      </w:tr>
      <w:tr w:rsidR="00CE6D4B" w14:paraId="2FFB0BB3" w14:textId="77777777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11FB3D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Certyfikaty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E041AE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Serwer musi być wyprodukowany zgodnie z normą </w:t>
            </w:r>
            <w:r>
              <w:rPr>
                <w:rFonts w:cs="Arial"/>
                <w:color w:val="000000"/>
                <w:sz w:val="22"/>
                <w:szCs w:val="22"/>
              </w:rPr>
              <w:t>ISO-9001:2015 oraz ISO-14001.</w:t>
            </w:r>
            <w:r>
              <w:rPr>
                <w:rFonts w:cs="Arial"/>
                <w:color w:val="000000"/>
                <w:sz w:val="22"/>
                <w:szCs w:val="22"/>
              </w:rPr>
              <w:br/>
              <w:t>Serwer musi posiadać deklaracja CE.</w:t>
            </w:r>
          </w:p>
          <w:p w14:paraId="104486FB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Urządzenia wyprodukowane są przez producenta, zgodnie z normą PN-EN ISO 50001 lub oświadczenie producenta o stosowaniu w fabrykach polityki zarządzania energią, która jest zgodna z obowiązującymi przepisami na terenie Unii Europejskiej.</w:t>
            </w:r>
          </w:p>
        </w:tc>
      </w:tr>
      <w:tr w:rsidR="00CE6D4B" w14:paraId="6C29B17E" w14:textId="77777777">
        <w:trPr>
          <w:trHeight w:val="615"/>
        </w:trPr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C9490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b/>
                <w:bCs/>
                <w:sz w:val="22"/>
                <w:szCs w:val="22"/>
              </w:rPr>
              <w:t>Warunki gwarancji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DC3D8B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>36 miesięcy gwarancji producenta z czasem reakcji do następnego dnia roboczego od przyjęcia zgłoszenia, możliwość zgłaszania awarii w trybie 365x7x24 poprzez ogólnopolską linię telefoniczną producenta.</w:t>
            </w:r>
          </w:p>
          <w:p w14:paraId="6C31C02E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sz w:val="22"/>
                <w:szCs w:val="22"/>
              </w:rPr>
              <w:lastRenderedPageBreak/>
              <w:t>Wymagane dołączenie do oferty oświadczenia Producenta potwierdzając, że Serwis urządzeń będzie realizowany bezpośrednio przez Producenta i/lub we współpracy z Autoryzowanym Partnerem Serwisowym Producenta.</w:t>
            </w:r>
          </w:p>
          <w:p w14:paraId="4BA697E0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sz w:val="22"/>
                <w:szCs w:val="22"/>
              </w:rPr>
              <w:t>Oświadczenie producenta serwera, potwierdzające, że sprzęt pochodzi z oficjalnego kanału dystrybucyjnego producenta.</w:t>
            </w:r>
          </w:p>
          <w:p w14:paraId="511D4D42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Możliwość sprawdzenia statusu gwarancji poprzez stronę producenta podając unikatowy numer urządzenia, oraz pobieranie uaktualnień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</w:rPr>
              <w:t>mikrokodu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 xml:space="preserve"> oraz sterowników nawet w przypadku wygaśnięcia gwarancji systemu.</w:t>
            </w:r>
          </w:p>
        </w:tc>
      </w:tr>
      <w:tr w:rsidR="00CE6D4B" w14:paraId="293B552C" w14:textId="77777777">
        <w:trPr>
          <w:trHeight w:val="300"/>
        </w:trPr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B2AC8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Dokumentacja użytkownika</w:t>
            </w:r>
          </w:p>
        </w:tc>
        <w:tc>
          <w:tcPr>
            <w:tcW w:w="7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505CE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sz w:val="22"/>
                <w:szCs w:val="22"/>
              </w:rPr>
              <w:t>Zamawiający wymaga dokumentacji w języku polskim lub angi</w:t>
            </w:r>
            <w:r>
              <w:rPr>
                <w:rFonts w:cs="Arial"/>
                <w:i/>
                <w:iCs/>
                <w:sz w:val="22"/>
                <w:szCs w:val="22"/>
              </w:rPr>
              <w:t>e</w:t>
            </w:r>
            <w:r>
              <w:rPr>
                <w:rFonts w:cs="Arial"/>
                <w:sz w:val="22"/>
                <w:szCs w:val="22"/>
              </w:rPr>
              <w:t>lskim.</w:t>
            </w:r>
          </w:p>
          <w:p w14:paraId="19ECB729" w14:textId="77777777" w:rsidR="00CE6D4B" w:rsidRDefault="008934EA">
            <w:pPr>
              <w:jc w:val="left"/>
              <w:textAlignment w:val="baseline"/>
            </w:pPr>
            <w:r>
              <w:rPr>
                <w:rFonts w:cs="Arial"/>
                <w:sz w:val="22"/>
                <w:szCs w:val="22"/>
              </w:rPr>
              <w:t xml:space="preserve">Możliwość telefonicznego sprawdzenia konfiguracji sprzętowej serwera oraz warunków gwarancji po podaniu numeru seryjnego </w:t>
            </w:r>
            <w:r>
              <w:rPr>
                <w:rFonts w:cs="Arial"/>
                <w:sz w:val="22"/>
                <w:szCs w:val="22"/>
              </w:rPr>
              <w:t>bezpośrednio u producenta lub jego przedstawiciela.</w:t>
            </w:r>
          </w:p>
        </w:tc>
      </w:tr>
    </w:tbl>
    <w:p w14:paraId="40D5D045" w14:textId="2FE81134" w:rsidR="00CE6D4B" w:rsidRDefault="008934EA">
      <w:pPr>
        <w:keepNext/>
        <w:widowControl/>
        <w:tabs>
          <w:tab w:val="left" w:pos="567"/>
        </w:tabs>
        <w:suppressAutoHyphens w:val="0"/>
        <w:spacing w:after="160"/>
        <w:ind w:left="284"/>
        <w:jc w:val="left"/>
        <w:rPr>
          <w:b/>
          <w:i/>
          <w:iCs/>
          <w:sz w:val="22"/>
          <w:szCs w:val="22"/>
          <w:lang w:eastAsia="en-US"/>
        </w:rPr>
      </w:pPr>
      <w:r>
        <w:br w:type="page"/>
      </w:r>
    </w:p>
    <w:sectPr w:rsidR="00CE6D4B">
      <w:headerReference w:type="default" r:id="rId12"/>
      <w:footerReference w:type="even" r:id="rId13"/>
      <w:pgSz w:w="11906" w:h="16838"/>
      <w:pgMar w:top="426" w:right="1274" w:bottom="708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0571C" w14:textId="77777777" w:rsidR="008934EA" w:rsidRDefault="008934EA">
      <w:r>
        <w:separator/>
      </w:r>
    </w:p>
  </w:endnote>
  <w:endnote w:type="continuationSeparator" w:id="0">
    <w:p w14:paraId="1BBD81D0" w14:textId="77777777" w:rsidR="008934EA" w:rsidRDefault="008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89830" w14:textId="77777777" w:rsidR="00CE6D4B" w:rsidRDefault="00CE6D4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B8611" w14:textId="77777777" w:rsidR="008934EA" w:rsidRDefault="008934EA">
      <w:r>
        <w:separator/>
      </w:r>
    </w:p>
  </w:footnote>
  <w:footnote w:type="continuationSeparator" w:id="0">
    <w:p w14:paraId="2A91B335" w14:textId="77777777" w:rsidR="008934EA" w:rsidRDefault="0089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2FD6" w14:textId="7DB381D6" w:rsidR="00381023" w:rsidRDefault="0038102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663C9D" wp14:editId="30301546">
          <wp:simplePos x="0" y="0"/>
          <wp:positionH relativeFrom="margin">
            <wp:posOffset>0</wp:posOffset>
          </wp:positionH>
          <wp:positionV relativeFrom="page">
            <wp:posOffset>171450</wp:posOffset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7B1D66" w14:textId="77777777" w:rsidR="00381023" w:rsidRDefault="003810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DB9"/>
    <w:multiLevelType w:val="multilevel"/>
    <w:tmpl w:val="489CE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B92DAC"/>
    <w:multiLevelType w:val="multilevel"/>
    <w:tmpl w:val="AABA2A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2F563B"/>
    <w:multiLevelType w:val="multilevel"/>
    <w:tmpl w:val="DAF43D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0" w:hanging="69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440"/>
      </w:pPr>
    </w:lvl>
  </w:abstractNum>
  <w:abstractNum w:abstractNumId="3" w15:restartNumberingAfterBreak="0">
    <w:nsid w:val="03C13C70"/>
    <w:multiLevelType w:val="multilevel"/>
    <w:tmpl w:val="C9DEE01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4" w15:restartNumberingAfterBreak="0">
    <w:nsid w:val="0E837BCF"/>
    <w:multiLevelType w:val="multilevel"/>
    <w:tmpl w:val="284E9E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5" w15:restartNumberingAfterBreak="0">
    <w:nsid w:val="1A822594"/>
    <w:multiLevelType w:val="multilevel"/>
    <w:tmpl w:val="8AF8C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0337D3C"/>
    <w:multiLevelType w:val="multilevel"/>
    <w:tmpl w:val="9072DA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0" w:hanging="69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440"/>
      </w:pPr>
    </w:lvl>
  </w:abstractNum>
  <w:abstractNum w:abstractNumId="7" w15:restartNumberingAfterBreak="0">
    <w:nsid w:val="22D73FB7"/>
    <w:multiLevelType w:val="multilevel"/>
    <w:tmpl w:val="FEF6F052"/>
    <w:lvl w:ilvl="0">
      <w:start w:val="1"/>
      <w:numFmt w:val="lowerLetter"/>
      <w:lvlText w:val="%1."/>
      <w:lvlJc w:val="left"/>
      <w:pPr>
        <w:tabs>
          <w:tab w:val="num" w:pos="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8" w15:restartNumberingAfterBreak="0">
    <w:nsid w:val="23B04ED3"/>
    <w:multiLevelType w:val="multilevel"/>
    <w:tmpl w:val="78C6D4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5DF1C4F"/>
    <w:multiLevelType w:val="multilevel"/>
    <w:tmpl w:val="98069A8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206"/>
        </w:tabs>
        <w:ind w:left="1206" w:hanging="78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 w15:restartNumberingAfterBreak="0">
    <w:nsid w:val="26110EBC"/>
    <w:multiLevelType w:val="multilevel"/>
    <w:tmpl w:val="02D4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2E9828CC"/>
    <w:multiLevelType w:val="multilevel"/>
    <w:tmpl w:val="CF3479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6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3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404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89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74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23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728" w:hanging="1440"/>
      </w:pPr>
    </w:lvl>
  </w:abstractNum>
  <w:abstractNum w:abstractNumId="12" w15:restartNumberingAfterBreak="0">
    <w:nsid w:val="2ED56C32"/>
    <w:multiLevelType w:val="multilevel"/>
    <w:tmpl w:val="1B1662F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3D7E33"/>
    <w:multiLevelType w:val="multilevel"/>
    <w:tmpl w:val="8152A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upp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</w:lvl>
    <w:lvl w:ilvl="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3D51FD0"/>
    <w:multiLevelType w:val="multilevel"/>
    <w:tmpl w:val="371EE196"/>
    <w:lvl w:ilvl="0">
      <w:start w:val="1"/>
      <w:numFmt w:val="lowerLetter"/>
      <w:lvlText w:val="%1."/>
      <w:lvlJc w:val="left"/>
      <w:pPr>
        <w:tabs>
          <w:tab w:val="num" w:pos="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upperRoman"/>
      <w:lvlText w:val="%3."/>
      <w:lvlJc w:val="left"/>
      <w:pPr>
        <w:tabs>
          <w:tab w:val="num" w:pos="0"/>
        </w:tabs>
        <w:ind w:left="3750" w:hanging="7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</w:lvl>
  </w:abstractNum>
  <w:abstractNum w:abstractNumId="15" w15:restartNumberingAfterBreak="0">
    <w:nsid w:val="36A514DE"/>
    <w:multiLevelType w:val="multilevel"/>
    <w:tmpl w:val="908AA82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C5A7F7F"/>
    <w:multiLevelType w:val="multilevel"/>
    <w:tmpl w:val="FA4492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D900D71"/>
    <w:multiLevelType w:val="multilevel"/>
    <w:tmpl w:val="90881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351375B"/>
    <w:multiLevelType w:val="multilevel"/>
    <w:tmpl w:val="A0101DAA"/>
    <w:lvl w:ilvl="0">
      <w:start w:val="1"/>
      <w:numFmt w:val="lowerLetter"/>
      <w:lvlText w:val="%1."/>
      <w:lvlJc w:val="left"/>
      <w:pPr>
        <w:tabs>
          <w:tab w:val="num" w:pos="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19" w15:restartNumberingAfterBreak="0">
    <w:nsid w:val="435E4182"/>
    <w:multiLevelType w:val="multilevel"/>
    <w:tmpl w:val="9AA06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52732A7"/>
    <w:multiLevelType w:val="multilevel"/>
    <w:tmpl w:val="DB9EB94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21" w15:restartNumberingAfterBreak="0">
    <w:nsid w:val="481A4A7D"/>
    <w:multiLevelType w:val="multilevel"/>
    <w:tmpl w:val="BA6C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DA1B43"/>
    <w:multiLevelType w:val="multilevel"/>
    <w:tmpl w:val="FD7C02F0"/>
    <w:lvl w:ilvl="0">
      <w:start w:val="1"/>
      <w:numFmt w:val="decimal"/>
      <w:pStyle w:val="Akapitzlist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FDB50E6"/>
    <w:multiLevelType w:val="multilevel"/>
    <w:tmpl w:val="B0E0ED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2DD1D6A"/>
    <w:multiLevelType w:val="multilevel"/>
    <w:tmpl w:val="2396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4D77235"/>
    <w:multiLevelType w:val="multilevel"/>
    <w:tmpl w:val="6DB09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0" w:hanging="69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440"/>
      </w:pPr>
    </w:lvl>
  </w:abstractNum>
  <w:abstractNum w:abstractNumId="26" w15:restartNumberingAfterBreak="0">
    <w:nsid w:val="55B951D9"/>
    <w:multiLevelType w:val="multilevel"/>
    <w:tmpl w:val="95DCA16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62A4202"/>
    <w:multiLevelType w:val="multilevel"/>
    <w:tmpl w:val="F7727F94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8" w15:restartNumberingAfterBreak="0">
    <w:nsid w:val="564B35C5"/>
    <w:multiLevelType w:val="multilevel"/>
    <w:tmpl w:val="F676BE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84D3D79"/>
    <w:multiLevelType w:val="multilevel"/>
    <w:tmpl w:val="1C7287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0" w:hanging="69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440"/>
      </w:pPr>
    </w:lvl>
  </w:abstractNum>
  <w:abstractNum w:abstractNumId="30" w15:restartNumberingAfterBreak="0">
    <w:nsid w:val="5CD823ED"/>
    <w:multiLevelType w:val="multilevel"/>
    <w:tmpl w:val="E1A2A64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cs="Times New Roman"/>
        <w:color w:val="auto"/>
      </w:rPr>
    </w:lvl>
  </w:abstractNum>
  <w:abstractNum w:abstractNumId="31" w15:restartNumberingAfterBreak="0">
    <w:nsid w:val="5D1E207B"/>
    <w:multiLevelType w:val="multilevel"/>
    <w:tmpl w:val="A3184E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upperLetter"/>
      <w:pStyle w:val="Nagwek3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751153"/>
    <w:multiLevelType w:val="multilevel"/>
    <w:tmpl w:val="BD5E6F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0" w:hanging="69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440"/>
      </w:pPr>
    </w:lvl>
  </w:abstractNum>
  <w:abstractNum w:abstractNumId="33" w15:restartNumberingAfterBreak="0">
    <w:nsid w:val="61EB338B"/>
    <w:multiLevelType w:val="multilevel"/>
    <w:tmpl w:val="0DF48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4" w15:restartNumberingAfterBreak="0">
    <w:nsid w:val="62505A3D"/>
    <w:multiLevelType w:val="multilevel"/>
    <w:tmpl w:val="4784FC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79F7F1C"/>
    <w:multiLevelType w:val="multilevel"/>
    <w:tmpl w:val="750CD7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8943C72"/>
    <w:multiLevelType w:val="multilevel"/>
    <w:tmpl w:val="6942A4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9011E0C"/>
    <w:multiLevelType w:val="multilevel"/>
    <w:tmpl w:val="D8C227B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4055E6"/>
    <w:multiLevelType w:val="multilevel"/>
    <w:tmpl w:val="2CFAF2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410" w:hanging="69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440"/>
      </w:pPr>
    </w:lvl>
  </w:abstractNum>
  <w:abstractNum w:abstractNumId="39" w15:restartNumberingAfterBreak="0">
    <w:nsid w:val="6BB42785"/>
    <w:multiLevelType w:val="multilevel"/>
    <w:tmpl w:val="8DFA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C954EB8"/>
    <w:multiLevelType w:val="multilevel"/>
    <w:tmpl w:val="378A3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DBE603D"/>
    <w:multiLevelType w:val="multilevel"/>
    <w:tmpl w:val="806C35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6EF15F93"/>
    <w:multiLevelType w:val="multilevel"/>
    <w:tmpl w:val="9936166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F705BDB"/>
    <w:multiLevelType w:val="multilevel"/>
    <w:tmpl w:val="7140FD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0" w:hanging="69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440"/>
      </w:pPr>
    </w:lvl>
  </w:abstractNum>
  <w:abstractNum w:abstractNumId="44" w15:restartNumberingAfterBreak="0">
    <w:nsid w:val="71B50010"/>
    <w:multiLevelType w:val="multilevel"/>
    <w:tmpl w:val="228A8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5" w15:restartNumberingAfterBreak="0">
    <w:nsid w:val="72F91080"/>
    <w:multiLevelType w:val="multilevel"/>
    <w:tmpl w:val="6F7699B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789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7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0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9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01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44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872" w:hanging="1440"/>
      </w:pPr>
    </w:lvl>
  </w:abstractNum>
  <w:abstractNum w:abstractNumId="46" w15:restartNumberingAfterBreak="0">
    <w:nsid w:val="747756B8"/>
    <w:multiLevelType w:val="multilevel"/>
    <w:tmpl w:val="2EDE8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upperLetter"/>
      <w:lvlText w:val="%5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7" w15:restartNumberingAfterBreak="0">
    <w:nsid w:val="78C45871"/>
    <w:multiLevelType w:val="multilevel"/>
    <w:tmpl w:val="5A0004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79563147"/>
    <w:multiLevelType w:val="multilevel"/>
    <w:tmpl w:val="56986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AF7AC9"/>
    <w:multiLevelType w:val="multilevel"/>
    <w:tmpl w:val="77CC70B4"/>
    <w:lvl w:ilvl="0">
      <w:start w:val="2"/>
      <w:numFmt w:val="decimal"/>
      <w:pStyle w:val="Standardowyju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50" w15:restartNumberingAfterBreak="0">
    <w:nsid w:val="7EDE5465"/>
    <w:multiLevelType w:val="multilevel"/>
    <w:tmpl w:val="C5C6B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FAD64C2"/>
    <w:multiLevelType w:val="multilevel"/>
    <w:tmpl w:val="60E8FBA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018"/>
        </w:tabs>
        <w:ind w:left="1018" w:hanging="450"/>
      </w:pPr>
      <w:rPr>
        <w:rFonts w:cs="Corbel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num w:numId="1" w16cid:durableId="803888555">
    <w:abstractNumId w:val="23"/>
  </w:num>
  <w:num w:numId="2" w16cid:durableId="2063819325">
    <w:abstractNumId w:val="43"/>
  </w:num>
  <w:num w:numId="3" w16cid:durableId="547499386">
    <w:abstractNumId w:val="28"/>
  </w:num>
  <w:num w:numId="4" w16cid:durableId="1506945270">
    <w:abstractNumId w:val="25"/>
  </w:num>
  <w:num w:numId="5" w16cid:durableId="1334188716">
    <w:abstractNumId w:val="29"/>
  </w:num>
  <w:num w:numId="6" w16cid:durableId="167411146">
    <w:abstractNumId w:val="32"/>
  </w:num>
  <w:num w:numId="7" w16cid:durableId="1471938854">
    <w:abstractNumId w:val="34"/>
  </w:num>
  <w:num w:numId="8" w16cid:durableId="1539707032">
    <w:abstractNumId w:val="38"/>
  </w:num>
  <w:num w:numId="9" w16cid:durableId="13070279">
    <w:abstractNumId w:val="2"/>
  </w:num>
  <w:num w:numId="10" w16cid:durableId="318534063">
    <w:abstractNumId w:val="36"/>
  </w:num>
  <w:num w:numId="11" w16cid:durableId="828401605">
    <w:abstractNumId w:val="6"/>
  </w:num>
  <w:num w:numId="12" w16cid:durableId="1273824413">
    <w:abstractNumId w:val="11"/>
  </w:num>
  <w:num w:numId="13" w16cid:durableId="41296593">
    <w:abstractNumId w:val="8"/>
  </w:num>
  <w:num w:numId="14" w16cid:durableId="431167410">
    <w:abstractNumId w:val="1"/>
  </w:num>
  <w:num w:numId="15" w16cid:durableId="330107397">
    <w:abstractNumId w:val="31"/>
  </w:num>
  <w:num w:numId="16" w16cid:durableId="1403915442">
    <w:abstractNumId w:val="18"/>
  </w:num>
  <w:num w:numId="17" w16cid:durableId="656228895">
    <w:abstractNumId w:val="7"/>
  </w:num>
  <w:num w:numId="18" w16cid:durableId="524832171">
    <w:abstractNumId w:val="41"/>
  </w:num>
  <w:num w:numId="19" w16cid:durableId="761606339">
    <w:abstractNumId w:val="13"/>
  </w:num>
  <w:num w:numId="20" w16cid:durableId="297804159">
    <w:abstractNumId w:val="26"/>
  </w:num>
  <w:num w:numId="21" w16cid:durableId="643508839">
    <w:abstractNumId w:val="22"/>
  </w:num>
  <w:num w:numId="22" w16cid:durableId="232081190">
    <w:abstractNumId w:val="14"/>
  </w:num>
  <w:num w:numId="23" w16cid:durableId="1761028099">
    <w:abstractNumId w:val="49"/>
  </w:num>
  <w:num w:numId="24" w16cid:durableId="2100328398">
    <w:abstractNumId w:val="45"/>
  </w:num>
  <w:num w:numId="25" w16cid:durableId="660085801">
    <w:abstractNumId w:val="16"/>
  </w:num>
  <w:num w:numId="26" w16cid:durableId="1265966373">
    <w:abstractNumId w:val="44"/>
  </w:num>
  <w:num w:numId="27" w16cid:durableId="352616190">
    <w:abstractNumId w:val="30"/>
  </w:num>
  <w:num w:numId="28" w16cid:durableId="1357806689">
    <w:abstractNumId w:val="21"/>
  </w:num>
  <w:num w:numId="29" w16cid:durableId="980580427">
    <w:abstractNumId w:val="48"/>
  </w:num>
  <w:num w:numId="30" w16cid:durableId="984317246">
    <w:abstractNumId w:val="42"/>
  </w:num>
  <w:num w:numId="31" w16cid:durableId="54203697">
    <w:abstractNumId w:val="35"/>
  </w:num>
  <w:num w:numId="32" w16cid:durableId="669674869">
    <w:abstractNumId w:val="40"/>
  </w:num>
  <w:num w:numId="33" w16cid:durableId="1863859771">
    <w:abstractNumId w:val="15"/>
  </w:num>
  <w:num w:numId="34" w16cid:durableId="578757068">
    <w:abstractNumId w:val="12"/>
  </w:num>
  <w:num w:numId="35" w16cid:durableId="1612393651">
    <w:abstractNumId w:val="9"/>
  </w:num>
  <w:num w:numId="36" w16cid:durableId="211961580">
    <w:abstractNumId w:val="0"/>
  </w:num>
  <w:num w:numId="37" w16cid:durableId="27993711">
    <w:abstractNumId w:val="50"/>
  </w:num>
  <w:num w:numId="38" w16cid:durableId="405805657">
    <w:abstractNumId w:val="37"/>
  </w:num>
  <w:num w:numId="39" w16cid:durableId="1583489781">
    <w:abstractNumId w:val="51"/>
  </w:num>
  <w:num w:numId="40" w16cid:durableId="1397246220">
    <w:abstractNumId w:val="33"/>
  </w:num>
  <w:num w:numId="41" w16cid:durableId="1780294568">
    <w:abstractNumId w:val="10"/>
  </w:num>
  <w:num w:numId="42" w16cid:durableId="2034839946">
    <w:abstractNumId w:val="46"/>
  </w:num>
  <w:num w:numId="43" w16cid:durableId="855266237">
    <w:abstractNumId w:val="27"/>
  </w:num>
  <w:num w:numId="44" w16cid:durableId="1515221366">
    <w:abstractNumId w:val="20"/>
  </w:num>
  <w:num w:numId="45" w16cid:durableId="844976000">
    <w:abstractNumId w:val="4"/>
  </w:num>
  <w:num w:numId="46" w16cid:durableId="727416652">
    <w:abstractNumId w:val="19"/>
  </w:num>
  <w:num w:numId="47" w16cid:durableId="1389525040">
    <w:abstractNumId w:val="39"/>
  </w:num>
  <w:num w:numId="48" w16cid:durableId="817574296">
    <w:abstractNumId w:val="17"/>
  </w:num>
  <w:num w:numId="49" w16cid:durableId="1483353677">
    <w:abstractNumId w:val="24"/>
  </w:num>
  <w:num w:numId="50" w16cid:durableId="985626149">
    <w:abstractNumId w:val="5"/>
  </w:num>
  <w:num w:numId="51" w16cid:durableId="8304198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52" w16cid:durableId="313414572">
    <w:abstractNumId w:val="47"/>
  </w:num>
  <w:num w:numId="53" w16cid:durableId="1934893680">
    <w:abstractNumId w:val="47"/>
  </w:num>
  <w:num w:numId="54" w16cid:durableId="393478181">
    <w:abstractNumId w:val="47"/>
  </w:num>
  <w:num w:numId="55" w16cid:durableId="118500237">
    <w:abstractNumId w:val="47"/>
  </w:num>
  <w:num w:numId="56" w16cid:durableId="1657227996">
    <w:abstractNumId w:val="47"/>
  </w:num>
  <w:num w:numId="57" w16cid:durableId="408583355">
    <w:abstractNumId w:val="47"/>
  </w:num>
  <w:num w:numId="58" w16cid:durableId="783034265">
    <w:abstractNumId w:val="47"/>
  </w:num>
  <w:num w:numId="59" w16cid:durableId="172839784">
    <w:abstractNumId w:val="47"/>
  </w:num>
  <w:num w:numId="60" w16cid:durableId="684134119">
    <w:abstractNumId w:val="47"/>
  </w:num>
  <w:num w:numId="61" w16cid:durableId="1508211385">
    <w:abstractNumId w:val="47"/>
  </w:num>
  <w:num w:numId="62" w16cid:durableId="330790601">
    <w:abstractNumId w:val="47"/>
  </w:num>
  <w:num w:numId="63" w16cid:durableId="809979617">
    <w:abstractNumId w:val="47"/>
  </w:num>
  <w:num w:numId="64" w16cid:durableId="1871524155">
    <w:abstractNumId w:val="47"/>
  </w:num>
  <w:num w:numId="65" w16cid:durableId="176771951">
    <w:abstractNumId w:val="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2MzIzsTQ3M7UwMDVV0lEKTi0uzszPAykwrAUAMRwF7ywAAAA="/>
  </w:docVars>
  <w:rsids>
    <w:rsidRoot w:val="00CE6D4B"/>
    <w:rsid w:val="00381023"/>
    <w:rsid w:val="00404356"/>
    <w:rsid w:val="004D5A9D"/>
    <w:rsid w:val="0085570B"/>
    <w:rsid w:val="008934EA"/>
    <w:rsid w:val="00AB4313"/>
    <w:rsid w:val="00C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5201"/>
  <w15:docId w15:val="{B87A04C3-8C8D-4EFA-81E9-4CCE7E90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D67"/>
    <w:pPr>
      <w:widowControl w:val="0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56809"/>
    <w:pPr>
      <w:keepNext/>
      <w:widowControl/>
      <w:numPr>
        <w:ilvl w:val="4"/>
        <w:numId w:val="15"/>
      </w:numPr>
      <w:tabs>
        <w:tab w:val="left" w:pos="709"/>
      </w:tabs>
      <w:suppressAutoHyphens w:val="0"/>
      <w:spacing w:line="360" w:lineRule="auto"/>
      <w:ind w:left="709" w:firstLine="0"/>
      <w:jc w:val="left"/>
      <w:outlineLvl w:val="2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D7BF3"/>
  </w:style>
  <w:style w:type="character" w:customStyle="1" w:styleId="StopkaZnak">
    <w:name w:val="Stopka Znak"/>
    <w:basedOn w:val="Domylnaczcionkaakapitu"/>
    <w:link w:val="Stopka"/>
    <w:uiPriority w:val="99"/>
    <w:qFormat/>
    <w:rsid w:val="004D7BF3"/>
  </w:style>
  <w:style w:type="character" w:customStyle="1" w:styleId="StopkaZnak1">
    <w:name w:val="Stopka Znak1"/>
    <w:uiPriority w:val="99"/>
    <w:qFormat/>
    <w:locked/>
    <w:rsid w:val="00967DBA"/>
    <w:rPr>
      <w:rFonts w:ascii="Arial" w:hAnsi="Arial" w:cs="Arial"/>
      <w:sz w:val="24"/>
      <w:szCs w:val="24"/>
      <w:lang w:val="pl-PL" w:eastAsia="pl-PL" w:bidi="ar-SA"/>
    </w:rPr>
  </w:style>
  <w:style w:type="character" w:styleId="Hipercze">
    <w:name w:val="Hyperlink"/>
    <w:rsid w:val="00967DBA"/>
    <w:rPr>
      <w:color w:val="0000FF"/>
      <w:u w:val="single"/>
    </w:rPr>
  </w:style>
  <w:style w:type="character" w:customStyle="1" w:styleId="NagwekZnak1">
    <w:name w:val="Nagłówek Znak1"/>
    <w:qFormat/>
    <w:rsid w:val="00967DBA"/>
    <w:rPr>
      <w:rFonts w:ascii="Arial" w:hAnsi="Arial" w:cs="Arial"/>
      <w:sz w:val="24"/>
      <w:szCs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A56809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132D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qFormat/>
    <w:rsid w:val="0072208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link w:val="Tekstpodstawowy"/>
    <w:qFormat/>
    <w:locked/>
    <w:rsid w:val="0072208B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2018C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grame">
    <w:name w:val="grame"/>
    <w:basedOn w:val="Domylnaczcionkaakapitu"/>
    <w:uiPriority w:val="99"/>
    <w:qFormat/>
    <w:rsid w:val="00EB7F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046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unhideWhenUsed/>
    <w:qFormat/>
    <w:rsid w:val="00E04648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0269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606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kocowych">
    <w:name w:val="Znaki przypisów końcowych"/>
    <w:uiPriority w:val="99"/>
    <w:semiHidden/>
    <w:unhideWhenUsed/>
    <w:qFormat/>
    <w:rsid w:val="00E606EB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dokomentarza">
    <w:name w:val="annotation reference"/>
    <w:uiPriority w:val="99"/>
    <w:qFormat/>
    <w:rsid w:val="008B6C3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B6C3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E7209F"/>
    <w:rPr>
      <w:color w:val="605E5C"/>
      <w:shd w:val="clear" w:color="auto" w:fill="E1DFDD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1600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301D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1">
    <w:name w:val="Tekst przypisu dolnego Znak1"/>
    <w:uiPriority w:val="99"/>
    <w:qFormat/>
    <w:rsid w:val="00301D18"/>
    <w:rPr>
      <w:sz w:val="22"/>
      <w:szCs w:val="22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9913A9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751848"/>
    <w:rPr>
      <w:color w:val="605E5C"/>
      <w:shd w:val="clear" w:color="auto" w:fill="E1DFDD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0474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D448C"/>
    <w:rPr>
      <w:rFonts w:ascii="Consolas" w:eastAsia="Times New Roman" w:hAnsi="Consolas" w:cs="Times New Roman"/>
      <w:sz w:val="21"/>
      <w:szCs w:val="21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C5061"/>
    <w:rPr>
      <w:color w:val="954F72" w:themeColor="followedHyperlink"/>
      <w:u w:val="single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D7BF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qFormat/>
    <w:rsid w:val="0072208B"/>
    <w:pPr>
      <w:widowControl/>
      <w:suppressAutoHyphens w:val="0"/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D7BF3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6467F2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2018CF"/>
    <w:pPr>
      <w:widowControl/>
      <w:suppressAutoHyphens w:val="0"/>
      <w:spacing w:after="120" w:line="276" w:lineRule="auto"/>
      <w:ind w:left="283"/>
      <w:jc w:val="left"/>
    </w:pPr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04648"/>
    <w:rPr>
      <w:sz w:val="20"/>
      <w:szCs w:val="20"/>
    </w:rPr>
  </w:style>
  <w:style w:type="paragraph" w:customStyle="1" w:styleId="ZnakZnak9ZnakZnakZnakZnakZnakZnak1">
    <w:name w:val="Znak Znak9 Znak Znak Znak Znak Znak Znak1"/>
    <w:basedOn w:val="Normalny"/>
    <w:qFormat/>
    <w:rsid w:val="00FA2FDB"/>
    <w:pPr>
      <w:widowControl/>
      <w:suppressAutoHyphens w:val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0269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72037E"/>
    <w:rPr>
      <w:rFonts w:cs="Times New Roman"/>
    </w:rPr>
  </w:style>
  <w:style w:type="paragraph" w:customStyle="1" w:styleId="Akapitzlist1">
    <w:name w:val="Akapit z listą1"/>
    <w:basedOn w:val="Normalny"/>
    <w:uiPriority w:val="99"/>
    <w:qFormat/>
    <w:rsid w:val="002C5FB2"/>
    <w:pPr>
      <w:widowControl/>
      <w:numPr>
        <w:numId w:val="21"/>
      </w:numPr>
      <w:suppressAutoHyphens w:val="0"/>
      <w:contextualSpacing/>
      <w:jc w:val="both"/>
    </w:pPr>
    <w:rPr>
      <w:rFonts w:cs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06EB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qFormat/>
    <w:rsid w:val="008B6C3F"/>
    <w:rPr>
      <w:sz w:val="20"/>
      <w:szCs w:val="20"/>
      <w:lang w:val="x-none" w:eastAsia="ar-SA"/>
    </w:rPr>
  </w:style>
  <w:style w:type="paragraph" w:styleId="NormalnyWeb">
    <w:name w:val="Normal (Web)"/>
    <w:basedOn w:val="Normalny"/>
    <w:uiPriority w:val="99"/>
    <w:qFormat/>
    <w:rsid w:val="00051D38"/>
    <w:pPr>
      <w:widowControl/>
      <w:suppressAutoHyphens w:val="0"/>
      <w:spacing w:beforeAutospacing="1" w:afterAutospacing="1"/>
      <w:jc w:val="left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16007"/>
    <w:rPr>
      <w:b/>
      <w:bCs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01D18"/>
    <w:pPr>
      <w:spacing w:after="120"/>
      <w:ind w:left="283"/>
    </w:pPr>
  </w:style>
  <w:style w:type="paragraph" w:customStyle="1" w:styleId="BodyText22">
    <w:name w:val="Body Text 22"/>
    <w:basedOn w:val="Normalny"/>
    <w:uiPriority w:val="99"/>
    <w:qFormat/>
    <w:rsid w:val="00301D18"/>
    <w:pPr>
      <w:widowControl/>
      <w:suppressAutoHyphens w:val="0"/>
      <w:spacing w:line="360" w:lineRule="auto"/>
      <w:jc w:val="both"/>
    </w:pPr>
    <w:rPr>
      <w:sz w:val="26"/>
      <w:szCs w:val="26"/>
    </w:rPr>
  </w:style>
  <w:style w:type="paragraph" w:customStyle="1" w:styleId="Standardowyjust">
    <w:name w:val="Standardowy just"/>
    <w:basedOn w:val="Normalny"/>
    <w:uiPriority w:val="99"/>
    <w:qFormat/>
    <w:rsid w:val="00301D18"/>
    <w:pPr>
      <w:widowControl/>
      <w:numPr>
        <w:numId w:val="23"/>
      </w:numPr>
      <w:suppressAutoHyphens w:val="0"/>
      <w:spacing w:after="120" w:line="300" w:lineRule="auto"/>
      <w:jc w:val="both"/>
      <w:outlineLvl w:val="0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04742D"/>
    <w:pPr>
      <w:spacing w:after="120" w:line="480" w:lineRule="auto"/>
      <w:ind w:left="283"/>
    </w:pPr>
  </w:style>
  <w:style w:type="paragraph" w:customStyle="1" w:styleId="Akapitzlist2">
    <w:name w:val="Akapit z listą2"/>
    <w:basedOn w:val="Normalny"/>
    <w:qFormat/>
    <w:rsid w:val="0004742D"/>
    <w:pPr>
      <w:widowControl/>
      <w:suppressAutoHyphens w:val="0"/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qFormat/>
    <w:rsid w:val="001D448C"/>
    <w:pPr>
      <w:widowControl/>
      <w:suppressAutoHyphens w:val="0"/>
      <w:jc w:val="left"/>
    </w:pPr>
    <w:rPr>
      <w:rFonts w:ascii="Consolas" w:hAnsi="Consolas"/>
      <w:sz w:val="21"/>
      <w:szCs w:val="21"/>
    </w:rPr>
  </w:style>
  <w:style w:type="paragraph" w:customStyle="1" w:styleId="Default">
    <w:name w:val="Default"/>
    <w:qFormat/>
    <w:rsid w:val="005F3F3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f0">
    <w:name w:val="pf0"/>
    <w:basedOn w:val="Normalny"/>
    <w:qFormat/>
    <w:rsid w:val="00872F27"/>
    <w:pPr>
      <w:widowControl/>
      <w:suppressAutoHyphens w:val="0"/>
      <w:spacing w:beforeAutospacing="1" w:afterAutospacing="1"/>
      <w:jc w:val="left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rPr>
      <w:b/>
      <w:bCs/>
    </w:rPr>
  </w:style>
  <w:style w:type="numbering" w:customStyle="1" w:styleId="1111111">
    <w:name w:val="1 / 1.1 / 1.1.11"/>
    <w:qFormat/>
    <w:rsid w:val="008B4DB7"/>
  </w:style>
  <w:style w:type="numbering" w:styleId="111111">
    <w:name w:val="Outline List 2"/>
    <w:uiPriority w:val="99"/>
    <w:semiHidden/>
    <w:unhideWhenUsed/>
    <w:qFormat/>
    <w:rsid w:val="008B4DB7"/>
  </w:style>
  <w:style w:type="numbering" w:customStyle="1" w:styleId="Zaimportowanystyl1">
    <w:name w:val="Zaimportowany styl 1"/>
    <w:qFormat/>
    <w:rsid w:val="00510E0E"/>
  </w:style>
  <w:style w:type="table" w:styleId="Tabela-Siatka">
    <w:name w:val="Table Grid"/>
    <w:basedOn w:val="Standardowy"/>
    <w:uiPriority w:val="39"/>
    <w:rsid w:val="00C9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cze1">
    <w:name w:val="Hiperłącze1"/>
    <w:rsid w:val="0038102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uj.edu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C18E48DCBB5C41956C1011E38476B1" ma:contentTypeVersion="14" ma:contentTypeDescription="Utwórz nowy dokument." ma:contentTypeScope="" ma:versionID="b01445f9467401ff5d757ea56a1fcd94">
  <xsd:schema xmlns:xsd="http://www.w3.org/2001/XMLSchema" xmlns:xs="http://www.w3.org/2001/XMLSchema" xmlns:p="http://schemas.microsoft.com/office/2006/metadata/properties" xmlns:ns3="128426b3-6c3b-4715-affd-84f14444fcc1" xmlns:ns4="c3288be3-c0c6-4ef8-b482-2751d3124a21" targetNamespace="http://schemas.microsoft.com/office/2006/metadata/properties" ma:root="true" ma:fieldsID="be531999c57bce1e7f5974dd5814aac4" ns3:_="" ns4:_="">
    <xsd:import namespace="128426b3-6c3b-4715-affd-84f14444fcc1"/>
    <xsd:import namespace="c3288be3-c0c6-4ef8-b482-2751d3124a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426b3-6c3b-4715-affd-84f14444fc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88be3-c0c6-4ef8-b482-2751d3124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D0195-FE14-4086-8C84-865731685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426b3-6c3b-4715-affd-84f14444fcc1"/>
    <ds:schemaRef ds:uri="c3288be3-c0c6-4ef8-b482-2751d3124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D28A9E-D2C5-45EB-8CEC-83CE79D52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8C26A-D4EC-4FF6-BB80-5540E395BB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3E61FA-74BF-4BE5-9EA7-2FC76C57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5810</Words>
  <Characters>34861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eZamowienia.gov.pl</dc:creator>
  <dc:description/>
  <cp:lastModifiedBy>Małgorzata Matysiak</cp:lastModifiedBy>
  <cp:revision>3</cp:revision>
  <cp:lastPrinted>2023-10-06T09:04:00Z</cp:lastPrinted>
  <dcterms:created xsi:type="dcterms:W3CDTF">2023-11-30T12:17:00Z</dcterms:created>
  <dcterms:modified xsi:type="dcterms:W3CDTF">2023-11-30T12:24:00Z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0x01010072C18E48DCBB5C41956C1011E38476B1</vt:lpwstr>
  </property>
</Properties>
</file>