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270"/>
        <w:gridCol w:w="708"/>
        <w:gridCol w:w="1134"/>
        <w:gridCol w:w="1275"/>
        <w:gridCol w:w="8506"/>
      </w:tblGrid>
      <w:tr w:rsidR="004028F8" w:rsidRPr="002E3D69" w14:paraId="1D0FB3EC" w14:textId="77777777">
        <w:trPr>
          <w:trHeight w:val="6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6998A55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200CE20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294859C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57A8C6F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w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00E6AB6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łączna (ilość x cena jednostkowa brutto w zł)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2C498F6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</w:t>
            </w:r>
          </w:p>
        </w:tc>
      </w:tr>
      <w:tr w:rsidR="004028F8" w:rsidRPr="002E3D69" w14:paraId="33D3DE6A" w14:textId="77777777">
        <w:trPr>
          <w:trHeight w:val="127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1E9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663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interaktywny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CAF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1DE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EFC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48DD" w14:textId="77777777" w:rsidR="00A52E21" w:rsidRPr="002E3D69" w:rsidRDefault="00FD2C66">
            <w:pPr>
              <w:spacing w:beforeAutospacing="1"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Specyfikacja: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- 65 cali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Rozdzielczość: 4K 3840x2160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Kontrast 4000:1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Jasność 450 cd/m2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Głębia kolorów 8 bit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Czas reakcji &amp;le;10ms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Technologia dotyku IR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- 40 punktów dotyku w systemie Windows, 20 punktów w systemie Android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Proporcje obrazu 16:9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Panel LED o żywotności 50 000 godzin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Slot OPS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Kąt widzenia 178°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Ekran szyba hartowana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Napięcie robocze: AC 100-240V,50/60Hz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Głośniki 2x20W (głośnik z przodu)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Wejścia/Wyjścia AV: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Przód: HDMI In (2.0) x1,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Touch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(USB2.0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-B) x1, USB3.0(Public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-A) x2,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C(65W+4K60+USB2.0) x1,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Mic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In(Aux3.5) x1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Wejścia: HDMI In x2 (2.0), DP In x1 DP1.2, VGA x1, VGA Audio In(Aux3.5) x1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Wyjścia: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Earphone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x1 Aux3.5, HDMI Out (2.0) x1, SPDIF Out x1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Inne: USB 2.0(Android) x1, USB 2.0(Public) x2,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Touch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USB(2.0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-B) x1, RS232 x1, OPS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Slots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x1,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-C(For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camera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USB 2.0) x1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Obsługiwane formaty multimediów: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Obraz: JPEG, BMP, PNG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Film: MPEG1, MPEG2, MPEG4, H264, RM, RMVB, MOV, MJPEG, VC1,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Divx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FLV(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Support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1080P HD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Decoding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Dźwięk: MP3, M4A, (AAC)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Procesor - MTK 9666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Wejście sieciowe RJ45/8P8C x2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Główne funkcje: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Wbudowany system Android 11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Moduł Wi-Fi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Pamięć wbudowana: 32 GB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Pamięć RAM: 4 GB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Multi-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touch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 do 40 punktów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multi-touch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systemie Windows, 20-punktowy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multi-touch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systemie Android.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Długopis z dwiema końcówkami do pisania w dwóch kolorach jednocześnie w systemie Android. Automatyczne wykrywanie końcówki pióra / palca / gumki w trybie adnotacji Windows Edge w aplikacji Microsoft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Whiteboard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Przyciski skrótów po lewej stronie ekranu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Przednie porty po lewej stronie ekranu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Wbudowane w przedni panel głośniki (2x20W)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Ekologia - interaktywny ekran dotykowy z podświetleniem LED, cieńszy panel, niższe zużycie energii, lepsze rozpraszanie ciepła, jaśniejszy wyświetlacz i lepszy poziom kontrastu.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Intuicyjny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interface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przydatnymi aplikacjami: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do szybkiego przełączania się pomiędzy wbudowanym systemem Android a dodatkowym komputerem OPS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- zmiany źródła wyświetlanego obrazu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tablica (rysowanie, wprowadzanie tekstu, wklejanie obrazu, auto kształt)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program do zarządzania plikami (intuicyjna obsługa wycinania / kopiowania / wklejania / usuwania, obsługa usługi w chmurze / FTP / sieci lokalnej)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program do zarządzania aplikacjami (pakiet biurowy, przeglądarka, kalendarz, kalkulator)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udostępnienie ekranu (ekran urządzeń mobilnych można przesyłać bezprzewodowo do ekranu monitora za pomocą aplikacji)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podział ekranu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Wymagane w zestawie: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pilot,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pisak,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przewód zasilający 3m,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przewód USB-C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- 2m,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przewód plug-and-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play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 drukarek dysków twardych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itp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- 3m,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przewód HDMI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- 3m, 1 szt.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przewód DISPLAYPORT dł-5m , 1 szt.</w:t>
            </w:r>
          </w:p>
          <w:p w14:paraId="44F98799" w14:textId="17AEBA14" w:rsidR="00A52E21" w:rsidRPr="002E3D69" w:rsidRDefault="00A52E21">
            <w:pPr>
              <w:spacing w:beforeAutospacing="1"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Zamawiający zastrzega, że cena jednostkowa monitora nie może być wyższa niż 7000 zł (słownie: siedem tysięcy złotych) netto.</w:t>
            </w:r>
          </w:p>
        </w:tc>
      </w:tr>
      <w:tr w:rsidR="004028F8" w:rsidRPr="002E3D69" w14:paraId="013A9796" w14:textId="77777777">
        <w:trPr>
          <w:trHeight w:val="183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4D3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267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Podstawa mobilna elektryczna z windą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D49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563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0A2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13A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Mobilna podstawa do monitorów interaktywnych z elektrycznym sterowaniem. Specjalna konstrukcja oraz kółka z blokadą umożliwiają łatwe przesuwanie bez pomocy drugiej osoby.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Podstawowe cechy produktu: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-pełna mobilność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-regulowana wysokość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-solidna konstrukcja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-kółka z blokadą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-aktywne gniazdko RJ45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-kontrola pilotem RF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-nośność do 80kg</w:t>
            </w:r>
          </w:p>
        </w:tc>
      </w:tr>
      <w:tr w:rsidR="004028F8" w:rsidRPr="002E3D69" w14:paraId="705544ED" w14:textId="77777777">
        <w:trPr>
          <w:trHeight w:val="140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10C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D65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Podłoga interaktywna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BFA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89B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30D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7FE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Interaktywna pomoc dydaktyczna dedykowana do ćwiczeń, gier i zabaw ruchowych z możliwością zawieszenia na suficie i statywie. Zawiera w sobie zintegrowany system czujników ruchu, projektor i komputer. Wymiary wyświetlanego obszaru to ok. 2,2 x 3,5 m (dla ok. 3 m wysokości podwieszonego urządzenia). Może być obsługiwany na dwa sposoby: albo przy użyciu pilota, albo całkowicie interaktywnie - ruchami rąk i nóg.</w:t>
            </w:r>
          </w:p>
          <w:p w14:paraId="0E6A2FF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możliwość podłączenia do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internetu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: - kablowego poprzez gniazdo RJ-45 umieszczone w tylnej płycie urządzenia, a radiowego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WiFi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poprzez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dongle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WiFi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wkładany do portu USB </w:t>
            </w:r>
          </w:p>
          <w:p w14:paraId="1ABFAE7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możliwość podłączenia zewnętrznych głośników: gniazdo AUDIO, </w:t>
            </w:r>
          </w:p>
          <w:p w14:paraId="4693DB0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 wbudowany komputer z - dyskiem SSD - głośniki stereo - rozdzielczość 1280x800px - jasność 3200 ANSI lumen - kontrast 13000:1 - montażu sufitowy z możliwością regulacji 40-55 cm.</w:t>
            </w:r>
          </w:p>
          <w:p w14:paraId="4D91E043" w14:textId="0731D59B" w:rsidR="004028F8" w:rsidRPr="002E3D69" w:rsidRDefault="00FD2C66" w:rsidP="00F53A9B">
            <w:pPr>
              <w:rPr>
                <w:b/>
                <w:bCs/>
                <w:u w:val="single"/>
              </w:rPr>
            </w:pPr>
            <w:r w:rsidRPr="002E3D69">
              <w:rPr>
                <w:rFonts w:eastAsia="Times New Roman" w:cs="Calibri"/>
                <w:b/>
                <w:bCs/>
                <w:kern w:val="0"/>
                <w:szCs w:val="16"/>
                <w:u w:val="single"/>
                <w:lang w:eastAsia="pl-PL"/>
              </w:rPr>
              <w:t>Pod</w:t>
            </w:r>
            <w:r w:rsidRPr="002E3D69">
              <w:rPr>
                <w:b/>
                <w:bCs/>
                <w:u w:val="single"/>
              </w:rPr>
              <w:t>łoga interaktywna</w:t>
            </w:r>
            <w:r w:rsidR="00C15348" w:rsidRPr="002E3D69">
              <w:rPr>
                <w:b/>
                <w:bCs/>
                <w:u w:val="single"/>
              </w:rPr>
              <w:t xml:space="preserve"> musi być </w:t>
            </w:r>
            <w:r w:rsidRPr="002E3D69">
              <w:rPr>
                <w:b/>
                <w:bCs/>
                <w:u w:val="single"/>
              </w:rPr>
              <w:t xml:space="preserve"> kompatybilna z robotem edukacyjnym(pozycja nr 9).oraz pakietem do gier.</w:t>
            </w:r>
          </w:p>
        </w:tc>
      </w:tr>
      <w:tr w:rsidR="004028F8" w:rsidRPr="002E3D69" w14:paraId="4495B869" w14:textId="77777777">
        <w:trPr>
          <w:trHeight w:val="7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291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2DE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Pakiet do nauki języka angielskiego do podłogi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A28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E3F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8A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924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 podłogi interaktywnej, o której mowa powyżej (lp. 3 tabeli)</w:t>
            </w:r>
          </w:p>
        </w:tc>
      </w:tr>
      <w:tr w:rsidR="004028F8" w:rsidRPr="002E3D69" w14:paraId="42EC08A3" w14:textId="77777777" w:rsidTr="00F5068D">
        <w:trPr>
          <w:trHeight w:val="84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6F5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EBE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Pakiet zabaw dla dzieci w wieku przedszkolnym do podłogi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65C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E52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A21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F8B9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 podłogi interaktywnej, o której mowa powyżej (lp. 3 tabeli)</w:t>
            </w:r>
          </w:p>
        </w:tc>
      </w:tr>
      <w:tr w:rsidR="004028F8" w:rsidRPr="002E3D69" w14:paraId="794FF851" w14:textId="77777777" w:rsidTr="00CA4F38">
        <w:trPr>
          <w:trHeight w:val="69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1FB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B84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Pakiet min. 4 gier/zabaw do pracy z  robotem do nauki programowania/kodowania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095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BD2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4E5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895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 podłogi interaktywnej, o której mowa powyżej (lp. 3 tabeli)</w:t>
            </w:r>
          </w:p>
        </w:tc>
      </w:tr>
      <w:tr w:rsidR="004028F8" w:rsidRPr="002E3D69" w14:paraId="3C29F9A6" w14:textId="77777777">
        <w:trPr>
          <w:trHeight w:val="4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253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E7D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Robot edukacyjny w zestawie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8DF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814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F88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13C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Robot interaktywny do edukacji przedszkolnej w zestawie:</w:t>
            </w:r>
          </w:p>
          <w:p w14:paraId="7352DD3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Wymogi co do robota interaktywnego:</w:t>
            </w:r>
          </w:p>
          <w:p w14:paraId="4CFC7758" w14:textId="189B09CD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WIELKOŚĆ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Szerokość: </w:t>
            </w:r>
            <w:r w:rsidR="00F5068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16-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17,2 cm</w:t>
            </w:r>
          </w:p>
          <w:p w14:paraId="0C7B3D05" w14:textId="3D92DC2B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Długość: </w:t>
            </w:r>
            <w:r w:rsidR="00F5068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15-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 cm</w:t>
            </w:r>
          </w:p>
          <w:p w14:paraId="6EE09852" w14:textId="1DCCF6AB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Wysokość: </w:t>
            </w:r>
            <w:r w:rsidR="00F5068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17-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cm</w:t>
            </w:r>
          </w:p>
          <w:p w14:paraId="394061C6" w14:textId="137BF2CD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WAGA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  <w:r w:rsidR="00F5068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 750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g</w:t>
            </w:r>
          </w:p>
          <w:p w14:paraId="75F3B6A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ZASILANIE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Wbudowany akumulator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litowo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-jonowy 2600mAh (9.62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 z czasem pracy do 8 godzin.</w:t>
            </w:r>
          </w:p>
          <w:p w14:paraId="21B2263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ŁADOWANIE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Poprzez wbudowane złącze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microUSB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4A6FE84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ŁĄCZNOŚĆ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Bluetooth 4.0 /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Low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Energy</w:t>
            </w:r>
          </w:p>
          <w:p w14:paraId="422E309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CZUJNIKI </w:t>
            </w:r>
          </w:p>
          <w:p w14:paraId="010B4AC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FUNKCJONALNOŚĆ 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>• Czujnik wykrywania dźwięku (mikrofon): 1</w:t>
            </w:r>
          </w:p>
          <w:p w14:paraId="293F9A8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Głośnik: 1</w:t>
            </w:r>
          </w:p>
          <w:p w14:paraId="0818847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Światła – oczy: diody LED RGB</w:t>
            </w:r>
          </w:p>
          <w:p w14:paraId="2F9E908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Światła – czułki: diody LED RGB</w:t>
            </w:r>
          </w:p>
          <w:p w14:paraId="711B4B3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Światło punktowe: dioda LED RGB (z tyłu)</w:t>
            </w:r>
          </w:p>
          <w:p w14:paraId="3F21801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 detekcji przeszkód: 1</w:t>
            </w:r>
          </w:p>
          <w:p w14:paraId="033AF0C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Sensor odległości: 1 (zakres do 100 cm)</w:t>
            </w:r>
          </w:p>
          <w:p w14:paraId="0734E68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 dotyku: 1</w:t>
            </w:r>
          </w:p>
          <w:p w14:paraId="137BAA4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Czujniki kontrastu podłoża: 2</w:t>
            </w:r>
          </w:p>
          <w:p w14:paraId="0A400DE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System śledzenia czarnej linii na podłożu: 1</w:t>
            </w:r>
          </w:p>
          <w:p w14:paraId="5660F56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System mierzenia precyzji ruchu: 2 (pomiar przejechanej przez robota odległości i kątów obrotu)</w:t>
            </w:r>
          </w:p>
          <w:p w14:paraId="60B4046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• Gniazdo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microUSB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umożliwiające komunikację z</w:t>
            </w:r>
          </w:p>
          <w:p w14:paraId="751A464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urządzeniami zewnętrznymi: 1</w:t>
            </w:r>
          </w:p>
          <w:p w14:paraId="0C07D21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Dodatkowe akcesoria: TAK</w:t>
            </w:r>
          </w:p>
          <w:p w14:paraId="231469C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Wbudowane gniazda magnetyczne do akcesoriów: 6</w:t>
            </w:r>
          </w:p>
          <w:p w14:paraId="612B609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Komunikacja z innymi robotami: TAK</w:t>
            </w:r>
          </w:p>
          <w:p w14:paraId="58267F5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Możliwość nagrywania własnych dźwięków: TAK</w:t>
            </w:r>
          </w:p>
          <w:p w14:paraId="57F0F73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KONSTRUKCJA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Konstrukcja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zamknięta, bez wystających kabli - w pełni bezpieczna dla dzieci powyżej 3. roku życia.</w:t>
            </w:r>
          </w:p>
          <w:p w14:paraId="5247D59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Obudowa wykonana z poliwęglanu. Testy wytrzymałości potwierdziły wysoką odporność robota na uderzenia i upadki.</w:t>
            </w:r>
          </w:p>
          <w:p w14:paraId="28D8C91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Czułki robota wykonane z materiału uniemożliwiającego ich uszkodzenie</w:t>
            </w:r>
          </w:p>
          <w:p w14:paraId="1FA7075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CERTYFIKATY I STANDARDY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>Deklaracja zgodności CE (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RoHS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EN-71)</w:t>
            </w:r>
          </w:p>
          <w:p w14:paraId="65D07C59" w14:textId="77777777" w:rsidR="004028F8" w:rsidRPr="002E3D69" w:rsidRDefault="00402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A3F5EF1" w14:textId="39F83C53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zestawie wymagane również::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dwie maty edukacyjne,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kostkę edukacyjną,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zestaw kart (A5),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pakiet fiszek,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zestaw patyczków do liczenia 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- gumowe opaski na ręce.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scenariusze zajęć uporządkowane według kluczowych obszarów (poznawczy, społeczny, emocjonalny, fizyczny). Każdy scenariusz dostarcza nauczycielom szczegółowych wskazówek, jak przeprowadzić zajęcia.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B72474"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68826CEC" w14:textId="77777777">
        <w:trPr>
          <w:trHeight w:val="113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34B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268C" w14:textId="61A73B2C" w:rsidR="004028F8" w:rsidRPr="002E3D69" w:rsidRDefault="007D3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</w:t>
            </w:r>
            <w:r w:rsidR="00237AF9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 </w:t>
            </w:r>
            <w:proofErr w:type="spellStart"/>
            <w:r w:rsidR="00237AF9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dongle</w:t>
            </w:r>
            <w:proofErr w:type="spellEnd"/>
            <w:r w:rsidR="00237AF9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 robota z poz.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7DD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3E5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03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1D5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Urządzenie, które umożliwia:</w:t>
            </w:r>
          </w:p>
          <w:p w14:paraId="22413E4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integracje robota do nauki programowania/kodowania z komputerem, </w:t>
            </w:r>
          </w:p>
          <w:p w14:paraId="3BFF72C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wykorzystanie tablicy interaktywnej podczas zajęć z robotem, </w:t>
            </w:r>
          </w:p>
          <w:p w14:paraId="51E20FB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Programowanie z użyciem narzędzi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Scratch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Blockly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MakeCode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innych, - - - Programowanie do 8 urządzeń jednocześnie z jednego komputera.</w:t>
            </w:r>
          </w:p>
        </w:tc>
      </w:tr>
      <w:tr w:rsidR="004028F8" w:rsidRPr="002E3D69" w14:paraId="7BC60681" w14:textId="77777777">
        <w:trPr>
          <w:trHeight w:val="55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7A7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142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Robot edukacyjny w zestawie dla dzieci ze specjalnymi potrzebami edukacyjnymi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E06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E7D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087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93E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Robot interaktywny do edukacji przedszkolnej w zestawie:</w:t>
            </w:r>
          </w:p>
          <w:p w14:paraId="1ECC7E8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Wymogi co do robota interaktywnego:</w:t>
            </w:r>
          </w:p>
          <w:p w14:paraId="261FB034" w14:textId="1C546093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WIELKOŚĆ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Szerokość: </w:t>
            </w:r>
            <w:r w:rsidR="00CA4F38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między </w:t>
            </w:r>
            <w:r w:rsidR="002867A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16-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17,2 cm</w:t>
            </w:r>
          </w:p>
          <w:p w14:paraId="28B79196" w14:textId="0EC65269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Długość: </w:t>
            </w:r>
            <w:r w:rsidR="002867A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między </w:t>
            </w:r>
            <w:r w:rsidR="00CC2918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  <w:r w:rsidR="002867A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 cm</w:t>
            </w:r>
          </w:p>
          <w:p w14:paraId="2558E10A" w14:textId="59CB6CD8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Wysokość: </w:t>
            </w:r>
            <w:r w:rsidR="002867AD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między 17-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cm</w:t>
            </w:r>
          </w:p>
          <w:p w14:paraId="5DBE034A" w14:textId="5A2099E5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WAGA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  <w:r w:rsidR="00CC2918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maksymalnie do 750 g</w:t>
            </w:r>
          </w:p>
          <w:p w14:paraId="5D9112B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ZASILANIE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Wbudowany akumulator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litowo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-jonowy 2600mAh (9.62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 z czasem pracy do 8 godzin.</w:t>
            </w:r>
          </w:p>
          <w:p w14:paraId="2188A2D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ŁADOWANIE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Poprzez wbudowane złącze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microUSB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11DD000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ŁĄCZNOŚĆ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 xml:space="preserve">Bluetooth 4.0 /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Low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Energy</w:t>
            </w:r>
          </w:p>
          <w:p w14:paraId="6657F80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CZUJNIKI </w:t>
            </w:r>
          </w:p>
          <w:p w14:paraId="57D2B6F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FUNKCJONALNOŚĆ  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>• Czujnik wykrywania dźwięku (mikrofon): 1</w:t>
            </w:r>
          </w:p>
          <w:p w14:paraId="49C2628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Głośnik: 1</w:t>
            </w:r>
          </w:p>
          <w:p w14:paraId="414A700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Światła – oczy: diody LED RGB</w:t>
            </w:r>
          </w:p>
          <w:p w14:paraId="5FB8324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Światła – czułki: diody LED RGB</w:t>
            </w:r>
          </w:p>
          <w:p w14:paraId="386DAC0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Światło punktowe: dioda LED RGB (z tyłu)</w:t>
            </w:r>
          </w:p>
          <w:p w14:paraId="626E5BE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 detekcji przeszkód: 1</w:t>
            </w:r>
          </w:p>
          <w:p w14:paraId="3EC82C9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Sensor odległości: 1 (zakres do 100 cm)</w:t>
            </w:r>
          </w:p>
          <w:p w14:paraId="20648DB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 dotyku: 1</w:t>
            </w:r>
          </w:p>
          <w:p w14:paraId="4C9DFAB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Czujniki kontrastu podłoża: 2</w:t>
            </w:r>
          </w:p>
          <w:p w14:paraId="63A8897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System śledzenia czarnej linii na podłożu: 1</w:t>
            </w:r>
          </w:p>
          <w:p w14:paraId="53AE502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System mierzenia precyzji ruchu: 2 (pomiar przejechanej przez robota odległości i kątów obrotu)</w:t>
            </w:r>
          </w:p>
          <w:p w14:paraId="6146C62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• Gniazdo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microUSB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umożliwiające komunikację z</w:t>
            </w:r>
          </w:p>
          <w:p w14:paraId="732CD76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urządzeniami zewnętrznymi: 1</w:t>
            </w:r>
          </w:p>
          <w:p w14:paraId="1A4F7ED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Dodatkowe akcesoria: TAK</w:t>
            </w:r>
          </w:p>
          <w:p w14:paraId="76C155B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Wbudowane gniazda magnetyczne do akcesoriów: 6</w:t>
            </w:r>
          </w:p>
          <w:p w14:paraId="7202515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Komunikacja z innymi robotami: TAK</w:t>
            </w:r>
          </w:p>
          <w:p w14:paraId="5DF7DDE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Możliwość nagrywania własnych dźwięków: TAK</w:t>
            </w:r>
          </w:p>
          <w:p w14:paraId="090902F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KONSTRUKCJA  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Konstrukcja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zamknięta, bez wystających kabli - w pełni bezpieczna dla dzieci powyżej 3. roku życia.</w:t>
            </w:r>
          </w:p>
          <w:p w14:paraId="39C4B1D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Obudowa wykonana z poliwęglanu. Testy wytrzymałości potwierdziły wysoką odporność robota na uderzenia i upadki.</w:t>
            </w:r>
          </w:p>
          <w:p w14:paraId="49E6C68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Czułki robota wykonane z materiału uniemożliwiającego ich uszkodzenie</w:t>
            </w:r>
          </w:p>
          <w:p w14:paraId="355B82A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CERTYFIKATY I STANDARDY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ab/>
              <w:t>Deklaracja zgodności CE (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RoHS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EN-71)</w:t>
            </w:r>
          </w:p>
          <w:p w14:paraId="12AF6D47" w14:textId="77777777" w:rsidR="004028F8" w:rsidRPr="002E3D69" w:rsidRDefault="00402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EFFE9E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Karty z ćwiczeniami, 50 szt.</w:t>
            </w:r>
          </w:p>
          <w:p w14:paraId="6ABD03B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zestawów fiszek do przeprowadzania ćwiczeń (50 kart):</w:t>
            </w:r>
          </w:p>
          <w:p w14:paraId="7044FB6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piktogramy do komunikacji podczas zajęć (na bazie komunikacji AAC)</w:t>
            </w:r>
          </w:p>
          <w:p w14:paraId="216E139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emocje, przedmioty, czynności z życia codziennego</w:t>
            </w:r>
          </w:p>
          <w:p w14:paraId="16F2218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symbole z aplikacji</w:t>
            </w:r>
          </w:p>
          <w:p w14:paraId="61FE2A0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cyfry i litery</w:t>
            </w:r>
          </w:p>
          <w:p w14:paraId="212FA425" w14:textId="77777777" w:rsidR="004028F8" w:rsidRPr="002E3D69" w:rsidRDefault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stosunki przestrzenne, figury, wielkości, kolory</w:t>
            </w:r>
          </w:p>
          <w:p w14:paraId="6E9F9939" w14:textId="57894748" w:rsidR="00B72474" w:rsidRPr="002E3D69" w:rsidRDefault="00B7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53CECFDD" w14:textId="77777777">
        <w:trPr>
          <w:trHeight w:val="41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8B2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66F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Szafka plastyczna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8E5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329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BC8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2937" w14:textId="1028343E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Szafka do przechowywania artykułów plastycznych, z kółkami ułatwiającymi przemieszczanie. Wykonana z płyty laminowanej. Wym. 80 x 34 x 72 cm • wys. półek 20 cm • przegródki górne 23,5 x 30,5 cm i 26 x 30,5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</w:t>
            </w:r>
            <w:r w:rsidR="00CA4F38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Zamawiający dopuszcza różnicę +/- </w:t>
            </w:r>
            <w:r w:rsidR="00A4602F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5% w każdym wymiarze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4028F8" w:rsidRPr="002E3D69" w14:paraId="5E601173" w14:textId="77777777">
        <w:trPr>
          <w:trHeight w:val="41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238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E95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Stół składany 1800x760x760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420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EB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6B8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FC3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Stelaż stołu składanego wykonany z rury okrągłej fi 28 mm, blat z płyty laminowanej w tonacji buku o gr. 18 mm, wykończony obrzeżem o gr. 2 mm. Maks. obciążenie do 50 kg.</w:t>
            </w:r>
          </w:p>
          <w:p w14:paraId="38382E96" w14:textId="075B3332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Wym. 180 x 76 x 76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(dopuszczalna różnica +/- 2 cm</w:t>
            </w:r>
            <w:r w:rsidR="00A4602F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każdym wymiarze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</w:tr>
      <w:tr w:rsidR="004028F8" w:rsidRPr="002E3D69" w14:paraId="39DF40DB" w14:textId="77777777">
        <w:trPr>
          <w:trHeight w:val="1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444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B63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Ręczniki morskie, 6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9A8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DD2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C5F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28F6" w14:textId="4FC6233E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Małe ręczniki z zawieszką. Mają wszywkę, na której można zapisać imię dziecka. • 6 szt. • wym. 44 x 30 cm · wym. wszywki 7 x 2 cm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Dopuszczalna różnica wymiarów +/- 5% dla każdego wymiaru</w:t>
            </w:r>
          </w:p>
        </w:tc>
      </w:tr>
      <w:tr w:rsidR="004028F8" w:rsidRPr="002E3D69" w14:paraId="089A9411" w14:textId="77777777">
        <w:trPr>
          <w:trHeight w:val="27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E31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681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Ręczniki niebieskie, 6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C41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BE1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250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C7D1" w14:textId="13EA4329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Małe ręczniki z zawieszką. Mają wszywkę, na której można zapisać imię dziecka. • 6 szt. • wym. 44 x 30 cm · wym. wszywki 7 x 2 cm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Dopuszczalna różnica wymiarów +/- 5% dla każdego wymiaru</w:t>
            </w:r>
          </w:p>
        </w:tc>
      </w:tr>
      <w:tr w:rsidR="004028F8" w:rsidRPr="002E3D69" w14:paraId="277FD49F" w14:textId="77777777">
        <w:trPr>
          <w:trHeight w:val="41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FC4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3C0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Ręczniki różowe, 6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2CB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1212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E8B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C7AB" w14:textId="6113D309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Małe ręczniki z zawieszką. Mają wszywkę, na której można zapisać imię dziecka. • 6 szt. • wym. 44 x 30 cm · wym. wszywki 7 x 2 cm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Dopuszczalna różnica wymiarów +/- 5% dla każdego wymiaru</w:t>
            </w:r>
          </w:p>
        </w:tc>
      </w:tr>
      <w:tr w:rsidR="004028F8" w:rsidRPr="002E3D69" w14:paraId="2CD3D559" w14:textId="77777777">
        <w:trPr>
          <w:trHeight w:val="28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A80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432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Ręczniki koralowe 6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BEE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A97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47EC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EEB8" w14:textId="533754F0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Małe ręczniki z zawieszką. Mają wszywkę, na której można zapisać imię dziecka. • 6 szt. • wym. 44 x 30 cm · wym. wszywki 7 x 2 cm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</w:tc>
      </w:tr>
      <w:tr w:rsidR="004028F8" w:rsidRPr="002E3D69" w14:paraId="0628D437" w14:textId="77777777">
        <w:trPr>
          <w:trHeight w:val="55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C4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1AB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Plastelina zestaw przedszkolny 12 kolorów x 15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9CE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08E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CFB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9FC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Plastelina zestaw przedszkolny. Zestaw zawiera 12 kolorów plasteliny w intensywnych kolorach po 15 sztuk każdy.</w:t>
            </w:r>
          </w:p>
        </w:tc>
      </w:tr>
      <w:tr w:rsidR="004028F8" w:rsidRPr="002E3D69" w14:paraId="6229E268" w14:textId="77777777">
        <w:trPr>
          <w:trHeight w:val="8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EE9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E71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Farby Eco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Color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500 ml, 6-pack lub podobny w zakresie objętości i liczby pojemników w zestawie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98C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9C3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604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130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farb na bazie wody, dzięki czemu łatwo zmywających się z rąk i ubrań.</w:t>
            </w:r>
          </w:p>
        </w:tc>
      </w:tr>
      <w:tr w:rsidR="004028F8" w:rsidRPr="002E3D69" w14:paraId="066ECCF7" w14:textId="77777777">
        <w:trPr>
          <w:trHeight w:val="56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8FD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FFB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Farby plakatowe 10 kolorów (4xfluo, 4xbrokat, srebrna, złota)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52B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046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E00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22A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różne wzory opakowań, sprzedawane losowo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• 10 kolorów (4 fluorescencyjne, 4 brokatowe, srebrna, złota) • poj. 10 x 20 ml</w:t>
            </w:r>
          </w:p>
        </w:tc>
      </w:tr>
      <w:tr w:rsidR="004028F8" w:rsidRPr="002E3D69" w14:paraId="22312AE7" w14:textId="77777777">
        <w:trPr>
          <w:trHeight w:val="41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DBF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BAC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Kredki „gigant” - 12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E7B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6B8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3DE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D0E9" w14:textId="22FAC462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Grube kredki o ergonomicznym kształcie, wkład wysoko nasycony barwnikiem. • dł. 17,5 cm • śr. 1 cm • śr. rysika 0,6 cm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12 szt. ·</w:t>
            </w:r>
            <w:r w:rsidR="00B67E6A" w:rsidRPr="002E3D69">
              <w:t xml:space="preserve"> 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12 kolorów</w:t>
            </w:r>
          </w:p>
        </w:tc>
      </w:tr>
      <w:tr w:rsidR="004028F8" w:rsidRPr="002E3D69" w14:paraId="435ECB75" w14:textId="77777777">
        <w:trPr>
          <w:trHeight w:val="56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927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DCE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Kredki w oprawie drewnianej 12 kol. BEZ nadruku + temperówka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E17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423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0E9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DC85" w14:textId="37D57645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• 12 kolorów • różne wzory pudełek, wysyłane losowo • dł. 15 cm • śr. rysika 0,5 cm 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Dopuszczalna różnica wymiarów +/- 5% dla każdego wymiaru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temperówka</w:t>
            </w:r>
          </w:p>
        </w:tc>
      </w:tr>
      <w:tr w:rsidR="004028F8" w:rsidRPr="002E3D69" w14:paraId="49CAD812" w14:textId="77777777">
        <w:trPr>
          <w:trHeight w:val="41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2BF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2C4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klejów w sztyfcie, 15 g x 24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6F7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1F1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65F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A73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Klej w sztyfcie, 15 g, 24 szt.</w:t>
            </w:r>
          </w:p>
        </w:tc>
      </w:tr>
      <w:tr w:rsidR="004028F8" w:rsidRPr="002E3D69" w14:paraId="43AB3CE7" w14:textId="77777777">
        <w:trPr>
          <w:trHeight w:val="7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F92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A25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do klejenia: klej 1 l i butelki do płynów 10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8E7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1B1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B78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0AD7" w14:textId="77777777" w:rsidR="004028F8" w:rsidRPr="002E3D69" w:rsidRDefault="00FD2C66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Butelka do płynów z dozownikiem - 50 ml, 10 szt. • Butelka ze szpatułką. </w:t>
            </w:r>
          </w:p>
          <w:p w14:paraId="34EEAE8E" w14:textId="6307E3DC" w:rsidR="004028F8" w:rsidRPr="002E3D69" w:rsidRDefault="00FD2C66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Klej 1000 g, 1 szt. • Klej wielofunkcyjny, gęsty, bezpieczny i nietoksyczny.</w:t>
            </w:r>
          </w:p>
        </w:tc>
      </w:tr>
      <w:tr w:rsidR="004028F8" w:rsidRPr="002E3D69" w14:paraId="26CBE909" w14:textId="77777777">
        <w:trPr>
          <w:trHeight w:val="5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300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3D2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Kubek z blokadą wylania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30F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B91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6C0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6B37" w14:textId="3E09940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Plastikowy kubek do farb z blokadę wylania, która zabezpiecza miejsce prac plastycznych przed przypadkowym zalaniem. Wysokość około </w:t>
            </w:r>
            <w:r w:rsidR="00B67E6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8-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 cm.</w:t>
            </w:r>
          </w:p>
        </w:tc>
      </w:tr>
      <w:tr w:rsidR="004028F8" w:rsidRPr="002E3D69" w14:paraId="1832C827" w14:textId="77777777">
        <w:trPr>
          <w:trHeight w:val="56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BFC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45D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Piasek kinetyczny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787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621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008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F68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Piasek kinetyczny w wiaderku o pojemności około 3,5 kg</w:t>
            </w:r>
          </w:p>
        </w:tc>
      </w:tr>
      <w:tr w:rsidR="004028F8" w:rsidRPr="002E3D69" w14:paraId="3CD6E1CE" w14:textId="77777777">
        <w:trPr>
          <w:trHeight w:val="42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469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51E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Pokrywa do kolorowych tacek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90D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48F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1DA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604A" w14:textId="62CBEF6B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Pozwala zamknąć cały zestaw tacek zapobiegając wysypaniu się ich zawartości. Drewniana pokrywka o wym. 32 x 23,5 x 0,5 cm</w:t>
            </w:r>
            <w:r w:rsidR="00785E81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</w:tc>
      </w:tr>
      <w:tr w:rsidR="004028F8" w:rsidRPr="002E3D69" w14:paraId="54A3E17D" w14:textId="77777777">
        <w:trPr>
          <w:trHeight w:val="7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7D7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321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kolorowych tacek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AF5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451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7A5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208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Tacki wykonane z drewna, każda w innym kolorze.</w:t>
            </w:r>
          </w:p>
          <w:p w14:paraId="74860612" w14:textId="6C36B682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4 tacki o wym. 32 x 23 x 1,5 cm</w:t>
            </w:r>
            <w:r w:rsidR="00785E81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</w:tc>
      </w:tr>
      <w:tr w:rsidR="004028F8" w:rsidRPr="002E3D69" w14:paraId="17BA10A8" w14:textId="77777777">
        <w:trPr>
          <w:trHeight w:val="2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697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4AD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Zbudujmy czas - zegar do nauki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9B3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F5C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E13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8924" w14:textId="1B549AF6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Drewniany zegar, składający się z 12 części po 5 minut.  zegar o śr. 22, 5 cm</w:t>
            </w:r>
            <w:r w:rsidR="00785E81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(dopuszczalna różnica średni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cy +/- 5 % średnicy)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2 części 30 min.  4 części 15 min.  12 części 5 min.</w:t>
            </w:r>
            <w:r w:rsidR="00785E81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21F1A554" w14:textId="77777777">
        <w:trPr>
          <w:trHeight w:val="16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CA0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70C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Przenośny (mobilny) stolik  z burtami i półką, wykonany z płyty laminowanej, dedykowany do klocków konstrukcyjnych i zawierający min. 4 zestawy klocków konstrukcyjnych  (wyposażonych w końcówki do łatwego demontażu i montażu poszczególnych elementów) zamkniętych w 4 pojemnikach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29A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134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97A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F47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Wymogi:</w:t>
            </w:r>
          </w:p>
          <w:p w14:paraId="2450D99D" w14:textId="0A15E5F0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Stolik kwadratowy wysoki - 1 szt. ( wym. 81 x 81 x 57 cm.)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  <w:p w14:paraId="4CB91CD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Pojemnik duży transparentny - 2 szt. </w:t>
            </w:r>
          </w:p>
          <w:p w14:paraId="74948F3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Pojemnik głęboki transparentny - 2 szt.</w:t>
            </w:r>
          </w:p>
          <w:p w14:paraId="0248124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Min 4 zestawy klocków konstrukcyjnych dedykowanych do stolika zawierające figurki zwierząt, ludzików, inne  klocki służące rozwijaniu kreatywności w tym. O kształcę walców (rur) do łączenia.</w:t>
            </w:r>
          </w:p>
        </w:tc>
      </w:tr>
      <w:tr w:rsidR="004028F8" w:rsidRPr="002E3D69" w14:paraId="3874ACBB" w14:textId="77777777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4D3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8B8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Dzwonki chromatyczne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B600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F04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46F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E2C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 dzwonków (z półnutami włącznie)  dł. 41 cm  szer. 30 cm</w:t>
            </w:r>
          </w:p>
        </w:tc>
      </w:tr>
      <w:tr w:rsidR="004028F8" w:rsidRPr="002E3D69" w14:paraId="2F2B7DDF" w14:textId="77777777">
        <w:trPr>
          <w:trHeight w:val="5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63D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FEA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szafka słupek L z 2 półkami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75A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4C1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4F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2DB0" w14:textId="7397FD16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Wykonana z płyty laminowanej. Wym. 41,8 x </w:t>
            </w:r>
            <w:r w:rsidR="008A5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 124,2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</w:p>
        </w:tc>
      </w:tr>
      <w:tr w:rsidR="004028F8" w:rsidRPr="002E3D69" w14:paraId="2DAE664A" w14:textId="77777777">
        <w:trPr>
          <w:trHeight w:val="4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B20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4EA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Szafka-domek z 2 półkami błękitna, skrzynia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28E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7C3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105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B99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Szafki w kształcie domków wykonane z płyty laminowanej i ze sklejki lakierowanej. </w:t>
            </w:r>
          </w:p>
          <w:p w14:paraId="22ABA38F" w14:textId="1A9B5DE6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Wym. 155 x 60 x 186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</w:p>
        </w:tc>
      </w:tr>
      <w:tr w:rsidR="004028F8" w:rsidRPr="002E3D69" w14:paraId="505B081F" w14:textId="77777777">
        <w:trPr>
          <w:trHeight w:val="5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E75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F93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Regał XL z 3 przegrodami i 3 półkami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133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FDF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379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1778" w14:textId="66054795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Duży, pojemny regał do przechowywania i porządkowania pomocy i zabawek. Wykonany z płyty laminowanej. Wym. 154 x </w:t>
            </w:r>
            <w:r w:rsidR="008A5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 161,6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54EBFEE1" w14:textId="77777777">
        <w:trPr>
          <w:trHeight w:val="4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699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FDD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Szafka-domek z 2 półkami szara, skrzynia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58A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E5C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B41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1FFE" w14:textId="68D36EC3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Szafki w kształcie domków wykonane z płyty laminowanej i ze sklejki lakierowanej o gr. 18 mm. Tył szafki wykonany z płyty pokrytej trwałą okleiną termoplastyczną. Wym. 155 x 60 x 186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</w:tc>
      </w:tr>
      <w:tr w:rsidR="004028F8" w:rsidRPr="002E3D69" w14:paraId="7DF6EE2C" w14:textId="77777777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F2F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2B1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Szafka XL z 3 półkami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781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BBB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C39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E0DA" w14:textId="5EE2718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Wykonana z płyty laminowanej. Wym. 79,2 x </w:t>
            </w:r>
            <w:r w:rsidR="008A5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 161,6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09207087" w14:textId="77777777">
        <w:trPr>
          <w:trHeight w:val="39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C0C2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7C9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szafka 1 z półką na cokole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F58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28D0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7CF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28E9" w14:textId="302ADFFA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Wykonana z płyty laminowanej. Wym. 79,2 x </w:t>
            </w:r>
            <w:r w:rsidR="008A5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 86,8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33A77F76" w14:textId="77777777">
        <w:trPr>
          <w:trHeight w:val="3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A48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1BA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Szafka na 6 szuflad na cokole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4B8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4C6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89C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4ABA" w14:textId="77DF44A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Wykonana z płyty laminowanej. Wym. 116,6 x </w:t>
            </w:r>
            <w:r w:rsidR="008A5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x 49,4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68E119CB" w14:textId="77777777">
        <w:trPr>
          <w:trHeight w:val="56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AD0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CE1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Szafka-domek z 2 półkami, skrzynia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7710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A1D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9550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D5A5" w14:textId="1EC21E0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Szafki w kształcie domków wykonane z płyty laminowanej i ze sklejki lakierowanej o gr. 18 mm. Tył szafki wykonany z płyty pokrytej trwałą okleiną termoplastyczną. Wym. 155 x 60 x 186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242DA9D4" w14:textId="77777777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6E7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BBE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Szafka na dużą skrzynię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07A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364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8DF2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3C14" w14:textId="4B5A65EE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Wykonana z płyty laminowanej. Wym. 79,2 x </w:t>
            </w:r>
            <w:r w:rsidR="008A5816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(głębokość 41-45)</w:t>
            </w: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x 86,8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028F8" w:rsidRPr="002E3D69" w14:paraId="40FD9BC7" w14:textId="77777777">
        <w:trPr>
          <w:trHeight w:val="42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E65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2D2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Szuflada wąska - szara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49E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F6FC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1A1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619D" w14:textId="5C90EDE2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białej płyty laminowanej, front wykonany z płyty MDF pokrytej trwałą okleiną termoplastyczną. • wym. frontu 37 x 18,3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1031CF3C" w14:textId="77777777" w:rsidTr="00FD2C66">
        <w:trPr>
          <w:trHeight w:val="41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EFA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4CD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Szuflada wąska środkowa - szara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8B4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C43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C0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85CD" w14:textId="695E877F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białej płyty laminowanej, front wykonany z płyty MDF pokrytej trwałą okleiną termoplastyczną. • Wym. frontu 37 x 18,3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76C47B93" w14:textId="77777777">
        <w:trPr>
          <w:trHeight w:val="5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E86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3BF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Szuflada wąska środkowa - błękitna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35D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9C1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1B2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1AA" w14:textId="74068B54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białej płyty laminowanej, front wykonany z płyty MDF pokrytej trwałą okleiną termoplastyczną. • Wym. frontu 37 x 18,3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0FB79D2B" w14:textId="77777777">
        <w:trPr>
          <w:trHeight w:val="4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A7E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C36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Szuflada wąska - błękitna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28F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C6A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962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8426" w14:textId="1F80DEFD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białej płyty laminowanej, front wykonany z płyty MDF pokrytej trwałą okleiną termoplastyczną. • wym. frontu 37 x 18,3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61A34894" w14:textId="77777777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3BB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6F3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Małe drzwiczki 90, mocowane do przegrody - błękitne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7B9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AEF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1D6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4EDD" w14:textId="68559EA3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pokrytej trwałą okleiną termoplastyczną. Wym. 37 x 37 cm (1 sztuka).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028F8" w:rsidRPr="002E3D69" w14:paraId="3EE979CC" w14:textId="77777777">
        <w:trPr>
          <w:trHeight w:val="3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3CD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E81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średnie 90 - błękitne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933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B58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718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DF0" w14:textId="71BFDB86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Wym. 37 x 74,4 cm (1 sztuka)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028F8" w:rsidRPr="002E3D69" w14:paraId="7A53205F" w14:textId="77777777">
        <w:trPr>
          <w:trHeight w:val="5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596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C90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90 z zamkiem średnie, 1 para - szare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4BB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53D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41D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C46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• Wyposażone w zamek, umożliwiający zamknięcie jednego skrzydła drzwi (drugie można otworzyć bez zamka) • 1 para • wym. 37 x 74,4 cm</w:t>
            </w:r>
          </w:p>
        </w:tc>
      </w:tr>
      <w:tr w:rsidR="004028F8" w:rsidRPr="002E3D69" w14:paraId="230F9A53" w14:textId="77777777">
        <w:trPr>
          <w:trHeight w:val="40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E51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1BB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małe 90 - niebieskie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273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03C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AAA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CB5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Wym. 37 x 37 cm • 1 szt.</w:t>
            </w:r>
          </w:p>
        </w:tc>
      </w:tr>
      <w:tr w:rsidR="004028F8" w:rsidRPr="002E3D69" w14:paraId="7AC48602" w14:textId="77777777">
        <w:trPr>
          <w:trHeight w:val="83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28F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3D4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średnie z zamkiem 90, do szafek bez przegrody, 1 para - błękitne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593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C24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E26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582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Wyposażone w zawiasy umożliwiające otwarcie drzwiczek pod kątem 90 st.  Oraz wyposażone w zamek, zamykający szafkę na całej szerokości • 1 para • wym. 37 x 74,4 cm.</w:t>
            </w:r>
          </w:p>
        </w:tc>
      </w:tr>
      <w:tr w:rsidR="004028F8" w:rsidRPr="002E3D69" w14:paraId="6564A724" w14:textId="77777777">
        <w:trPr>
          <w:trHeight w:val="8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F86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929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średnie z zamkiem 90, do szafek bez przegrody, 1 para - szare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175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D53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A2A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FFE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Wyposażone w zawiasy umożliwiające otwarcie drzwiczek pod kątem 90 st. Wyposażone w zamek, zamykający szafkę na całej szerokości • 1 para • wym. 37 x 74,4 cm.</w:t>
            </w:r>
          </w:p>
        </w:tc>
      </w:tr>
      <w:tr w:rsidR="004028F8" w:rsidRPr="002E3D69" w14:paraId="6601F8F8" w14:textId="77777777">
        <w:trPr>
          <w:trHeight w:val="41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FDB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8BE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Szuflada szeroka - szara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E88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1AB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EDF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16DD" w14:textId="37E4953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laminowanej, front wykonany z płyty MDF pokrytej trwałą okleiną termoplastyczną. • wym. frontu 75,2 x 18,3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62D1427C" w14:textId="77777777" w:rsidTr="00FD2C66">
        <w:trPr>
          <w:trHeight w:val="7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366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23D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średnie z zamkiem 90, do szafek bez przegrody, 1 para - niebieskie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F20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F6B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B75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CE9D" w14:textId="4E81212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Wyposażone w zawiasy umożliwiające otwarcie drzwiczek pod kątem 90 st. • Wyposażone w zamek, zamykający szafkę na całej szerokości • 1 para • wym. 37 x 74,4 cm.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028F8" w:rsidRPr="002E3D69" w14:paraId="39193B1B" w14:textId="77777777" w:rsidTr="00FD2C66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8D0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1FC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średnie 90 - szare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DD6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A1D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A4D2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5D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Wym. 37 x 74,4 cm • 1 szt.</w:t>
            </w:r>
          </w:p>
        </w:tc>
      </w:tr>
      <w:tr w:rsidR="004028F8" w:rsidRPr="002E3D69" w14:paraId="77EF6594" w14:textId="77777777" w:rsidTr="00FD2C66">
        <w:trPr>
          <w:trHeight w:val="62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514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DBC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Drzwiczki średnie z zamkiem 90, 1 para -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limonkowe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F421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79B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589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77E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Wyposażone w zawiasy umożliwiające otwarcie drzwiczek pod kątem 90 st. oraz  wyposażone w zamek, zamykający szafkę na całej szerokości • 1 para • wym. 37 x 74,4 cm.</w:t>
            </w:r>
          </w:p>
        </w:tc>
      </w:tr>
      <w:tr w:rsidR="004028F8" w:rsidRPr="002E3D69" w14:paraId="214A96EE" w14:textId="77777777" w:rsidTr="00FD2C66">
        <w:trPr>
          <w:trHeight w:val="2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D35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15C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Drzwiczki małe 90 - szare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988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C72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78B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D1E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Wym. 37 x 37 cm • 1 szt.</w:t>
            </w:r>
          </w:p>
        </w:tc>
      </w:tr>
      <w:tr w:rsidR="004028F8" w:rsidRPr="002E3D69" w14:paraId="5B02C38E" w14:textId="77777777">
        <w:trPr>
          <w:trHeight w:val="41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FB6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A18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Drzwiczki małe 90 -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limonkowe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266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9C7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C49C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96E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Wykonane z płyty MDF pokrytej trwałą okleiną termoplastyczną. Wym. 37 x 37 cm • 1 szt.</w:t>
            </w:r>
          </w:p>
        </w:tc>
      </w:tr>
      <w:tr w:rsidR="004028F8" w:rsidRPr="002E3D69" w14:paraId="29450BBC" w14:textId="77777777">
        <w:trPr>
          <w:trHeight w:val="55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FBCD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997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Skrzynia duża - szara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B08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C56D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D65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A094" w14:textId="506ACA63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Pojemne skrzynie wyposażone w kółka ułatwiające wysuwanie. Wykonane z płyty laminowanej, front wykonany z płyty MDF pokrytej trwałą okleiną termoplastyczną. •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Wm</w:t>
            </w:r>
            <w:proofErr w:type="spellEnd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. frontu 74 x 37 cm • wym.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 69 x 32,5 x 28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218DFACE" w14:textId="77777777">
        <w:trPr>
          <w:trHeight w:val="54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E71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354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Skrzynia duża -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limonkowa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E3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0BF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3A4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9CED" w14:textId="423FFED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Pojemna skrzynie wyposażone w kółka ułatwiające wysuwanie. Wykonane z płyty laminowanej, front wykonany z płyty MDF o gr. 18 mm pokrytej trwałą okleiną termoplastyczną. • wym. frontu 74 x 37 cm • wym. </w:t>
            </w:r>
            <w:proofErr w:type="spellStart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 69 x 32,5 x 28 cm</w:t>
            </w:r>
            <w:r w:rsidR="000155D4" w:rsidRPr="002E3D6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1D499BA1" w14:textId="77777777">
        <w:trPr>
          <w:trHeight w:val="5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67F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FC6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Skrzynia duża - błękitna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A45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0B1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9D1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617C" w14:textId="3BF6A9F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Pojemna skrzynie wyposażone w kółka ułatwiające wysuwanie. Wykonane z płyty laminowanej, front wykonany z płyty MDF o gr. 18 mm pokrytej trwałą okleiną termoplastyczną. • wym. frontu 74 x 37 cm • wym.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wewn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69 x 32,5 x 28 cm</w:t>
            </w:r>
            <w:r w:rsidR="000155D4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0155D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wymiary wynikają z wymiarów pomieszczeń (wnęk pod zabudowę).</w:t>
            </w:r>
            <w:r w:rsidR="00354BBB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Dopuszczalna różnica wymiarów +/- 5% dla każdego wymiaru</w:t>
            </w:r>
          </w:p>
        </w:tc>
      </w:tr>
      <w:tr w:rsidR="004028F8" w:rsidRPr="002E3D69" w14:paraId="1ACF79CF" w14:textId="77777777">
        <w:trPr>
          <w:trHeight w:val="85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4313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56D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Kredki B12 kol w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pud.kart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F30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690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F36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A9A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kolorów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w pudełku kartonowym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- 1 opakowanie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dł. 8 cm - śr. 0,7 cm</w:t>
            </w:r>
          </w:p>
        </w:tc>
      </w:tr>
      <w:tr w:rsidR="004028F8" w:rsidRPr="002E3D69" w14:paraId="45BA1BCD" w14:textId="77777777">
        <w:trPr>
          <w:trHeight w:val="41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C3A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D1A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Kredki ołówkowe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bambino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12 kol w pud.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D4A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938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F2CC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3188" w14:textId="46A0FD1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kolorów • w pudełku kartonowym • trójkątne • różne wzory pudełek, • dł. 17,8 cm • śr. rysika 0,3 cm</w:t>
            </w:r>
          </w:p>
        </w:tc>
      </w:tr>
      <w:tr w:rsidR="004028F8" w:rsidRPr="002E3D69" w14:paraId="383998A8" w14:textId="77777777">
        <w:trPr>
          <w:trHeight w:val="126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68C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7EC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Dmuchajka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61C1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F67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811E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EEB7" w14:textId="291AFDC8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Dmuchajka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ułatwia i uatrakcyjnia proces usprawniania aparatu oddechowego, artykulacyjnego i fonacyjnego. Ćwiczy kontrolowanie oddechu, wydłużanie fazy wydechowej, umożliwia ustalenie prawidłowego toru oddechowego, a ponadto jest wspaniałym sposobem na rozwinięcie umiejętności koncentracji. Poprzez zabawę uczy spokoju i ekonomicznego zużywania powietrza. Drewniana pomoc jest w pełni higieniczna, przeznaczona do wielokrotnego użytku w gabinetach logopedycznych, przedszkolach oraz domu. Zabawka logopedyczna wykonana jest z drewna bukowego • śr. 6 cm • wys. 5 cm • • 4 szt. • 4 piłeczki styropianowe o śr. 2,5 cm • 4 słomki</w:t>
            </w:r>
          </w:p>
        </w:tc>
      </w:tr>
      <w:tr w:rsidR="004028F8" w:rsidRPr="002E3D69" w14:paraId="6FEAD0A0" w14:textId="77777777">
        <w:trPr>
          <w:trHeight w:val="36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250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0F4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Podstawka na nożyczki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D8A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980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1D8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A29A" w14:textId="6CFCFBF9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Podstawka z tworzywa do bezpiecznego przechowywania 20 szt. nożyczek.. • wym. 27 x 18,3 x 7,5 cm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Dopuszczalna różnica wymiarów +/- 5% dla każdego wymiaru</w:t>
            </w:r>
          </w:p>
        </w:tc>
      </w:tr>
      <w:tr w:rsidR="004028F8" w:rsidRPr="002E3D69" w14:paraId="2A934CD2" w14:textId="77777777">
        <w:trPr>
          <w:trHeight w:val="40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6C6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9DC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Nożyczki przedszkolne 10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227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8E5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5D0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6D1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· 10 szt. · wym. 13 cm · okrągłe końcówki</w:t>
            </w:r>
          </w:p>
        </w:tc>
      </w:tr>
      <w:tr w:rsidR="004028F8" w:rsidRPr="002E3D69" w14:paraId="3AF95341" w14:textId="77777777">
        <w:trPr>
          <w:trHeight w:val="56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EDF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79E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Nożyczki dla leworęcznych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0E0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09E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2FD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698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· 1 szt. · wym. 14 cm</w:t>
            </w:r>
          </w:p>
        </w:tc>
      </w:tr>
      <w:tr w:rsidR="004028F8" w:rsidRPr="002E3D69" w14:paraId="07EF49CB" w14:textId="77777777">
        <w:trPr>
          <w:trHeight w:val="70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B2E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8DB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Mazaki 12 kolorów, 144szt.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06C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54A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E892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36CD" w14:textId="0242226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Pisaki z trwałą i odporną końcówką. Wentylowane zatyczki zapobiegają zadławieniu się przez dziecko. Bezpieczny tusz na bazie wody, łatwo usuwalny ze skóry przy użyciu wody i mydła lub z tkanin w pralce w temperaturze 40 stopni. W pojemniku plastikowym o wym. 17 x 21,5 x 17 cm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(Dopuszczalna różnica wymiarów +/- 5% dla każdego wymiaru 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 każdy kolor w osobnej przegrodzie. • 144 szt. • śr. końcówki 0,3 cm</w:t>
            </w:r>
          </w:p>
        </w:tc>
      </w:tr>
      <w:tr w:rsidR="004028F8" w:rsidRPr="002E3D69" w14:paraId="6DCDAC12" w14:textId="77777777" w:rsidTr="00354BBB">
        <w:trPr>
          <w:trHeight w:val="7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92C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2E8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Dodatkowy pakiet gier do podłogi interaktywnej typu” magiczny dywan”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21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107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C38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FF1F" w14:textId="77777777" w:rsidR="004028F8" w:rsidRPr="002E3D69" w:rsidRDefault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Gry mają na celu umożliwić dzieciom rozpoznawanie emocji swoich i innych. Gry oparte na wizualizacji ekspresji emocjonalnej. Do indywidualnych, jak i grupowych zajęć terapeutycznych, takich jak: warsztaty i treningi umiejętności społecznych, treningi asertywności oraz treningi zastępowania agresji.</w:t>
            </w:r>
          </w:p>
          <w:p w14:paraId="58FFF102" w14:textId="4FC0FFD7" w:rsidR="00DE03A7" w:rsidRPr="002E3D69" w:rsidRDefault="00DE0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1666A0CE" w14:textId="77777777">
        <w:trPr>
          <w:trHeight w:val="200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204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39C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Dodatkowy pakiet gier do podłogi interaktywnej typu” magiczny dywan”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70E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F1F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2C0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D635" w14:textId="77777777" w:rsidR="004028F8" w:rsidRPr="002E3D69" w:rsidRDefault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gier ma na celu rozwijanie u dzieci ze specjalnymi potrzebami edukacyjnymi umiejętności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HAMOWANIE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Zdolność do hamowania impulsywnych reakcji, wygaszania ich oraz selekcjonowania informacji docierających do dziecka.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UTRZYMYWANIE UWAGI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Zdolność koncentracji na zadaniu pomimo bodźców przeszkadzających; nierozpraszanie się.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ROZPOCZYNANIE ZADAŃ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Zdolność do rozpoczynania działań bez zwłoki, sprawnie i w określonym czasie.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PLANOWANIE I USTALANIE PRIORYTETÓW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Wyznaczanie celów, planowanie kolejnych kroków; zdolność do ustalenia istotnych z punktu widzenia zadania informacji, określenia, na czym należy się skupić.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ORGANIZACJA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Systemy porządkujące informacje, materiały, przestrzeń i czas; organizowanie i monitorowanie działań.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GIĘTKOŚĆ POZNAWCZA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Umiejętność dostosowania własnych działań do określonej sytuacji, elastyczna adaptacja do wymagań środowiska;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umiejętność postrzegania rzeczy z nowej perspektywy.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· PAMIĘĆ ROBOCZA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Tymczasowe przechowywanie informacji w celu ich przetwarzania, a także zapamiętywanie wskazówek i etapów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działań. Obejmuje również zdolność korzystania z wcześniejszych doświadczeń celem wykorzystania ich w bieżącej sytuacji zadaniowej.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METAPOZNANIE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Zdolność uświadamiania sobie własnych emocji, formułowania uogólnień na temat siebie i świata, rozumienia własnych procesów myślowych; umiejętność patrzenia na siebie z „perspektywy”.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· UMIEJĘTNOŚĆ KORZYSTANIA Z INFORMACJI ZWROTNYCH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Zmiana zachowania i działania, wynikająca z interakcji z innymi dziećmi. Celem informacji zwrotnej jest dostarczenie wiedzy na temat zachowania i działania odbiorcy.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Pakiet ma obejmować: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•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min.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25 gier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•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min.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5 plansz  z graficznymi podpowiedziami (ręka, oko, usta, plan, lupa)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min.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opaski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• drewniane patyki do zadania „patyki”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materiały dydaktyczne ułatwiające diagnozę i monitorowanie postępów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• zestaw przedmiotów rehabilitacyjnych wraz z metodyką</w:t>
            </w:r>
          </w:p>
          <w:p w14:paraId="564B00B2" w14:textId="6659BC89" w:rsidR="003F0815" w:rsidRPr="002E3D69" w:rsidRDefault="003F0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7846571C" w14:textId="77777777">
        <w:trPr>
          <w:trHeight w:val="112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C72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67.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94C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Dodatkowy pakiet gier do podłogi interaktywnej typu” magiczny dywan”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B4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4F8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F29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710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Minimum 32 gry budujące strategię czytania u dzieci</w:t>
            </w:r>
          </w:p>
          <w:p w14:paraId="27D91D00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Ćwiczenie koncentracji uwagi</w:t>
            </w:r>
          </w:p>
          <w:p w14:paraId="4F3A469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Nauka liter drukowanych, pisanych, wielkich i małych</w:t>
            </w:r>
          </w:p>
          <w:p w14:paraId="09B2F48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Trening giętkości poznawczej</w:t>
            </w:r>
          </w:p>
          <w:p w14:paraId="315BF1E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Wiele poziomów zaawansowania</w:t>
            </w:r>
          </w:p>
          <w:p w14:paraId="2F5C055C" w14:textId="5E399ADB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Nauka poprzez ruch, doświadczenie i wykorzystanie zmysłów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3F0815" w:rsidRPr="002E3D69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0BB2A38A" w14:textId="77777777">
        <w:trPr>
          <w:trHeight w:val="10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D25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651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Pakiet gier rehabilitacyjnych, rozwijających i kształtujących motorykę̨ dużą u dzieci. do podłogi interaktywnej typu „magiczny dywan”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D9E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55B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70A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53AD" w14:textId="77777777" w:rsidR="004028F8" w:rsidRPr="002E3D69" w:rsidRDefault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pakiet gier rehabilitacyjnych, rozwijających i kształtujących motorykę̨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dużą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̨ u dzieci.</w:t>
            </w:r>
          </w:p>
          <w:p w14:paraId="7412AE39" w14:textId="501C5EF6" w:rsidR="006E2249" w:rsidRPr="002E3D69" w:rsidRDefault="006E2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:rsidRPr="002E3D69" w14:paraId="0CA51779" w14:textId="77777777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AF1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C38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Program komputerowy na komputery PC zawierający co najmniej 150 zróżnicowanych ćwiczeń, przeznaczonych do realizacji z użyciem tablicy interaktywnej,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A29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137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0CC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355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Minimum 150 ćwiczeń przeznaczonych do realizacji na tablicy interaktywnej</w:t>
            </w:r>
          </w:p>
          <w:p w14:paraId="49B5DDD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Możliwość prowadzenia zajęć profilaktycznych ze wszystkimi wychowankami, jak i pracy z dziećmi o specjalnych potrzebach edukacyjnych,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Swobodne tworzenie przez nauczyciela scenariuszy zajęć, także przy wykorzystaniu własnych zasobów graficznych.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Program ma:</w:t>
            </w:r>
          </w:p>
          <w:p w14:paraId="610B7B2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• wspomagać rozwój predyspozycji i kształtuje umiejętności dzieci,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stymuluje ciekawość poznawczą,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Stymulowanie: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percepcja słuchowa i umiejętności językowe </w:t>
            </w:r>
          </w:p>
          <w:p w14:paraId="107FA9E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• percepcja wzrokowa -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motoryka mała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motoryka duża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zabawy na myślenie matematyczne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• program do pracy grupowej lub indywidualnej.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Program do współpracy również z tablicą interaktywną i komputerem z panelem dotykowym.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nośnik: pendrive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</w:tr>
      <w:tr w:rsidR="004028F8" w:rsidRPr="002E3D69" w14:paraId="3614AC95" w14:textId="77777777">
        <w:trPr>
          <w:trHeight w:val="200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44A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011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Program, multimedialne narzędzie dydaktyczne wspierające naukę z zakresu m.in. edukacji społecznej, przyrodniczej i matematycznej przy zastosowaniu metody projektu w edukacji przedszkolnej.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3581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7C8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A7F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E08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Wspiera rozwój dziecka w zakresie:</w:t>
            </w:r>
          </w:p>
          <w:p w14:paraId="01719CC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kształtowania umiejętności społecznych,</w:t>
            </w:r>
          </w:p>
          <w:p w14:paraId="7E98C8B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wychowania przez sztukę,</w:t>
            </w:r>
          </w:p>
          <w:p w14:paraId="465A3FA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wychowania rodzinnego,</w:t>
            </w:r>
          </w:p>
          <w:p w14:paraId="0F4896DA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wychowania zdrowotnego,</w:t>
            </w:r>
          </w:p>
          <w:p w14:paraId="6ECFF0F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zainteresowań technicznych,</w:t>
            </w:r>
          </w:p>
          <w:p w14:paraId="3A5C811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wychowania dla poszanowania roślin i zwierząt,</w:t>
            </w:r>
          </w:p>
          <w:p w14:paraId="09D1E45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• edukacji matematycznej.</w:t>
            </w:r>
          </w:p>
          <w:p w14:paraId="5432B1C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Program dedykowany na tablicę interaktywną z możliwością korzystania na tablecie lub komputerze PC.</w:t>
            </w:r>
          </w:p>
          <w:p w14:paraId="37DB120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Umożliwia swobodne wprowadzenie języka angielskiego w tok zajęć.</w:t>
            </w:r>
          </w:p>
          <w:p w14:paraId="6A4EB41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tematy wiodące: Moda, Teatr, Rodzina i Zdrowe Odżywianie.</w:t>
            </w:r>
          </w:p>
          <w:p w14:paraId="685F964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Materiały dodatkowe: karty przygód, scenariusze zabaw i zajęć, zestaw dyplomów okazjonalnych oraz Poradnik „Krok po kroku” dla nauczyciela.</w:t>
            </w:r>
          </w:p>
        </w:tc>
      </w:tr>
      <w:tr w:rsidR="004028F8" w:rsidRPr="002E3D69" w14:paraId="30B62DD2" w14:textId="77777777">
        <w:trPr>
          <w:trHeight w:val="200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AFF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566C" w14:textId="041E055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pomocy tradycyjno-multimedialnych- składający się z min. 7części (zestawów) tematycznych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2FD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5DA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27B0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CEB8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pomocy tradycyjno-multimedialnych- składający się z min. 7części (zestawów) tematycznych, pozwalający na:</w:t>
            </w:r>
          </w:p>
          <w:p w14:paraId="607D4D85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-kształtowanie umiejętności budowania złożonych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statytycznych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dynamicznych układów składających się z najprostszych elementów; </w:t>
            </w:r>
          </w:p>
          <w:p w14:paraId="4213D1B7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-umiejętności związane  z rozumieniem ograniczenia zasobów i odnawialności zasobów; </w:t>
            </w:r>
          </w:p>
          <w:p w14:paraId="0D6130A0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-możliwość rozwijania myślenia strategicznego oraz algorytmicznego; </w:t>
            </w:r>
          </w:p>
          <w:p w14:paraId="6493271D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-scenariusze rozwijające podstawowe umiejętności matematyczne; </w:t>
            </w:r>
          </w:p>
          <w:p w14:paraId="7C507E30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-ćwiczenia w  budowaniu złożonych przekazów z prostych elementów o ustalonym znaczeniu; </w:t>
            </w:r>
          </w:p>
          <w:p w14:paraId="370604E7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 rozróżnianie, wyszukiwanie, zapamiętywanie układów, znajdowanie sekwencji; </w:t>
            </w:r>
          </w:p>
          <w:p w14:paraId="7CF6E95B" w14:textId="7B0C82B2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-Umiejętności rozpoznawania emocji,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wyrażania i uświadamiania własnych emocji ; </w:t>
            </w:r>
          </w:p>
          <w:p w14:paraId="2763474A" w14:textId="19C3792D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Każda część zawiera: </w:t>
            </w:r>
          </w:p>
          <w:p w14:paraId="26B2A5D8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-pomoce tradycyjne tj. formatki kości , kamienie, </w:t>
            </w:r>
          </w:p>
          <w:p w14:paraId="2E911FA5" w14:textId="0E266D1D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-co najmniej 100 ekranów ćwiczeń multimedialnych; </w:t>
            </w:r>
          </w:p>
          <w:p w14:paraId="1077BE0F" w14:textId="77777777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-karty do druku; </w:t>
            </w:r>
          </w:p>
          <w:p w14:paraId="18F9581E" w14:textId="471E0514" w:rsidR="00FD2C66" w:rsidRPr="002E3D69" w:rsidRDefault="00FD2C66" w:rsidP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Licencja bezterminowa dla całej placówki; </w:t>
            </w:r>
          </w:p>
        </w:tc>
      </w:tr>
      <w:tr w:rsidR="004028F8" w:rsidRPr="002E3D69" w14:paraId="00709560" w14:textId="77777777">
        <w:trPr>
          <w:trHeight w:val="111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B099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B93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Podstawa interaktywna do układania „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tafelków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78C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3A0C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B593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B2B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Gra edukacyjna opierająca się na integracyjnym podejściu do nauki, które zachęca dzieci do uczestnictwa poprzez zmysł wzroku, słuchu, dotyku oraz ruch. Zadaniem dzieci jest układanie tematycznych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tafelków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na podstawie, która wydaje dźwięki i poprzez wibracje oraz zrzucenie tafelka sygnalizuje, że położony tafelek nie pasuje do pozostałych.</w:t>
            </w:r>
          </w:p>
          <w:p w14:paraId="1CC659D2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Wymagany wbudowany akumulator pozwalający na przenoszenie podstawy i korzystanie bez konieczności podłączania do źródła zasilania prądem elektrycznym.</w:t>
            </w:r>
          </w:p>
        </w:tc>
      </w:tr>
      <w:tr w:rsidR="004028F8" w:rsidRPr="002E3D69" w14:paraId="7F7F8A29" w14:textId="77777777" w:rsidTr="00FD2C66">
        <w:trPr>
          <w:trHeight w:val="2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2D4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1AB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Tafelki do podstawy interaktywnej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12B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514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ACE4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851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w tematyce zmian pór roku i pogody.</w:t>
            </w:r>
          </w:p>
        </w:tc>
      </w:tr>
      <w:tr w:rsidR="004028F8" w:rsidRPr="002E3D69" w14:paraId="7196DC30" w14:textId="77777777" w:rsidTr="00FD2C66">
        <w:trPr>
          <w:trHeight w:val="30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39A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D2E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CA1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12C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DD8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9715" w14:textId="115C4112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ćwiczenia słownictwa i dźwięków.</w:t>
            </w:r>
          </w:p>
        </w:tc>
      </w:tr>
      <w:tr w:rsidR="004028F8" w:rsidRPr="002E3D69" w14:paraId="3389ED63" w14:textId="77777777" w:rsidTr="00FD2C66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1C4B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30A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547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B60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A926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F8E4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w tematyce owoców i warzyw, cyklach zmian w przyrodzie.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</w:tr>
      <w:tr w:rsidR="004028F8" w:rsidRPr="002E3D69" w14:paraId="67FA121A" w14:textId="77777777" w:rsidTr="00FD2C66">
        <w:trPr>
          <w:trHeight w:val="47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CF6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4D21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B2FF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A97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295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237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Tafelki w tematyce temat gatunków zwierząt i miejsc, w których można je znaleźć i jak zwierzęta są ze sobą powiązane. </w:t>
            </w:r>
          </w:p>
        </w:tc>
      </w:tr>
      <w:tr w:rsidR="004028F8" w:rsidRPr="002E3D69" w14:paraId="7E1CD9D8" w14:textId="77777777" w:rsidTr="00FD2C66">
        <w:trPr>
          <w:trHeight w:val="32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6946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AFF9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9B94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587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26BE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52D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Tafelki do nauki przyimków. </w:t>
            </w:r>
          </w:p>
        </w:tc>
      </w:tr>
      <w:tr w:rsidR="004028F8" w:rsidRPr="002E3D69" w14:paraId="36E1E25F" w14:textId="77777777">
        <w:trPr>
          <w:trHeight w:val="54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283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5317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916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82DD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5AC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A138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nauki liczenia.</w:t>
            </w:r>
          </w:p>
        </w:tc>
      </w:tr>
      <w:tr w:rsidR="004028F8" w:rsidRPr="002E3D69" w14:paraId="7434208E" w14:textId="77777777">
        <w:trPr>
          <w:trHeight w:val="26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284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4C5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495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A78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0232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0053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układania sekwencji w kolejności chronologicznej.</w:t>
            </w:r>
          </w:p>
        </w:tc>
      </w:tr>
      <w:tr w:rsidR="004028F8" w:rsidRPr="002E3D69" w14:paraId="559959AC" w14:textId="77777777">
        <w:trPr>
          <w:trHeight w:val="44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CE77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6DD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BD4D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17E7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C618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6402" w14:textId="20A565FC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nauki rozpoznawania i nazywania różnych kształtów geometrycznych.</w:t>
            </w:r>
          </w:p>
        </w:tc>
      </w:tr>
      <w:tr w:rsidR="004028F8" w:rsidRPr="002E3D69" w14:paraId="51BA24FB" w14:textId="77777777">
        <w:trPr>
          <w:trHeight w:val="55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F71F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4B3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2BB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8C3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863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545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Tafelki do nauki słów używanych w życiu codziennym i ćwiczenia z dziećmi określeń dodatkowych (np. nazwy środków transportu lub narzędzi ogrodniczych). </w:t>
            </w:r>
          </w:p>
        </w:tc>
      </w:tr>
      <w:tr w:rsidR="004028F8" w:rsidRPr="002E3D69" w14:paraId="0C64AFE9" w14:textId="77777777">
        <w:trPr>
          <w:trHeight w:val="4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A4C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0A5C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6D20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284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532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03AC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przedstawiające różne ćwiczenia ruchowe, które dzieci mogą powtarzać podczas gry. Również do nauki nazw poszczególnych części ciała i ćwiczeń.</w:t>
            </w:r>
          </w:p>
        </w:tc>
      </w:tr>
      <w:tr w:rsidR="004028F8" w:rsidRPr="002E3D69" w14:paraId="6035F4FA" w14:textId="77777777">
        <w:trPr>
          <w:trHeight w:val="55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29A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D0DE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podstawy interaktywnej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A425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14E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C11B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100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Tafelki do nauki czytania oraz ortografii. Zawiera 2 grupy tafelek: obrazki oraz litery alfabetu. Zadaniem dzieci jest wybrać obrazek i ułożyć słowo za pomocą tafelek z literami.</w:t>
            </w:r>
          </w:p>
        </w:tc>
      </w:tr>
      <w:tr w:rsidR="004028F8" w:rsidRPr="002E3D69" w14:paraId="14F0ADC6" w14:textId="77777777">
        <w:trPr>
          <w:trHeight w:val="8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F975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C0CA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klocków konstrukcyjnych do celów edukacyjnych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E392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17E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E34A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6DA9" w14:textId="77777777" w:rsidR="00504EB3" w:rsidRPr="002E3D69" w:rsidRDefault="00FD2C66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Zestaw klocków (wyposażonych w końcówki do łatwego demontażu i montażu poszczególnych elementów) wykonanych z trwałego, odpornego na uderzenia i odbarwienia  tworzywa sztucznego - Pakiet narzędzi do nauki przedmiotów STEAM dla uczniów klas 1-3 szkoły podstawowej. Pozwala ćwiczyć umiejętność rozwiązywania problemów i opowiadania historii podczas zabawy, która uczy dzieci wytrwałości i samodzielnego myślenia. Pozwala dzieciom w interaktywny sposób poznawać zagadnienia związane z przedmiotami STEAM.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Zawiera co najmniej: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- 7 planów zajęć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- 42 scenariusze lekcji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Materiały instruktażowe i wprowadzające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Pomoc z wdrażaniem materiałów w klasie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Narzędzia oceny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Samodzielny rozwój zawodowy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Zasoby do nauczania hybrydowego</w:t>
            </w:r>
          </w:p>
          <w:p w14:paraId="3901E1E8" w14:textId="77777777" w:rsidR="004C51E7" w:rsidRPr="002E3D69" w:rsidRDefault="004C51E7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 karty pracy dla uczniów</w:t>
            </w:r>
          </w:p>
          <w:p w14:paraId="56942791" w14:textId="77777777" w:rsidR="004C51E7" w:rsidRPr="002E3D69" w:rsidRDefault="004C51E7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 zestaw filmów z przewodnikami dla nauczycieli</w:t>
            </w:r>
          </w:p>
          <w:p w14:paraId="4776D8F5" w14:textId="42E4977B" w:rsidR="00DF7CBC" w:rsidRPr="002E3D69" w:rsidRDefault="00FD2C66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SCENARIUSZE LEKCJI ZGODNYCH ZE STANDARDAMI EDUKACYJNYMI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- 2 moduły dla młodszych dzieci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- 3 moduły dla starszych dzieci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- 1 moduł  konkursowy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Umożliwia programowanie za pomocą bloków z ikonami i poleceniami słownymi prostego sprzętu, takiego jak: inteligentny Hub, silniki, matryca świetlna oraz czujnik kolorów, dzięki czemu nauka przedmiotów STEAM jest interaktywna.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ZESTAW DO ZAJĘĆ I APLIKACJA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nie mniej niż  400 elementów (klocków konstrukcyjnych)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- skrzynka i tacki do sortowania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- Pakiet części zamiennych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-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Minifigurki</w:t>
            </w:r>
            <w:proofErr w:type="spellEnd"/>
          </w:p>
          <w:p w14:paraId="18FC46A3" w14:textId="2E5D2C3D" w:rsidR="004028F8" w:rsidRPr="002E3D69" w:rsidRDefault="00FD2C66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łączniki</w:t>
            </w:r>
          </w:p>
          <w:p w14:paraId="0E59F42F" w14:textId="77777777" w:rsidR="004028F8" w:rsidRPr="002E3D69" w:rsidRDefault="00FD2C66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 płytka konstrukcyjna</w:t>
            </w:r>
            <w:r w:rsidR="00DF7CBC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19F02544" w14:textId="662514A7" w:rsidR="00DF7CBC" w:rsidRPr="002E3D69" w:rsidRDefault="00C53002" w:rsidP="004C51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ma składać się z minimum 2x4 sztuk kompletów podstawowych</w:t>
            </w:r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(np.. jak LEGO45345 LEGO® </w:t>
            </w:r>
            <w:proofErr w:type="spellStart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Education</w:t>
            </w:r>
            <w:proofErr w:type="spellEnd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SPIKE™ </w:t>
            </w:r>
            <w:proofErr w:type="spellStart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Essential</w:t>
            </w:r>
            <w:proofErr w:type="spellEnd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4 szt., LEGO45401 LEGO® </w:t>
            </w:r>
            <w:proofErr w:type="spellStart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Education</w:t>
            </w:r>
            <w:proofErr w:type="spellEnd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BricQ</w:t>
            </w:r>
            <w:proofErr w:type="spellEnd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Motion </w:t>
            </w:r>
            <w:proofErr w:type="spellStart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Essential</w:t>
            </w:r>
            <w:proofErr w:type="spellEnd"/>
            <w:r w:rsidR="00B67816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Set , 4 szt. Lub </w:t>
            </w:r>
            <w:r w:rsidR="00A26C83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równoważne pod względem sposobu łączenia klocków, </w:t>
            </w:r>
            <w:r w:rsidR="000B355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funkcjonalności w nauczaniu przedmiotów STEAM, oraz</w:t>
            </w:r>
            <w:r w:rsidR="00FF1FF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liczb</w:t>
            </w:r>
            <w:r w:rsidR="006D3337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</w:t>
            </w:r>
            <w:r w:rsidR="00FF1FFA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dostępnych scenariuszy lekcji)</w:t>
            </w:r>
          </w:p>
          <w:p w14:paraId="212EA15A" w14:textId="0BBA36AC" w:rsidR="00DF7CBC" w:rsidRPr="002E3D69" w:rsidRDefault="00DD4E18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Wymagana również a</w:t>
            </w:r>
            <w:r w:rsidR="006D39B1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plikacja</w:t>
            </w:r>
            <w:r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komputerowa dla uczniów zawierająca wszystkie ćwiczenia</w:t>
            </w:r>
            <w:r w:rsidR="00FA18CC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(dostępna dla sys</w:t>
            </w:r>
            <w:r w:rsidR="00151014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</w:t>
            </w:r>
            <w:r w:rsidR="00FA18CC"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mów Windows 10 lub 11, Android oraz iOS)</w:t>
            </w:r>
            <w:r w:rsidRPr="002E3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</w:tr>
      <w:tr w:rsidR="004028F8" w:rsidRPr="002E3D69" w14:paraId="5B8984F8" w14:textId="77777777">
        <w:trPr>
          <w:trHeight w:val="198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419E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4F8B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Pakiet do nauki kodowania do podłogi interaktywnej.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7F28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FE85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F7C1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D7D" w14:textId="77777777" w:rsidR="004028F8" w:rsidRPr="002E3D69" w:rsidRDefault="00FD2C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Pakiety do nauki kodowania wspomagający nauczanie myślenia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komputacyjnego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(w tym programowania). Pakiet składający się z obudowy metodycznej dla nauczyciela (program wraz ze scenariuszami zajęć) oraz z interaktywnych gier, zabaw i sytuacji edukacyjnych (wraz z dodatkową obudową dydaktyczną np. w formie Kart Pracy) nakierowanych na realizację nowej podstawy programowej.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Pakiet ma umożliwiać: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naukę programowania poprzez zabawę i ruch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eksperymentowanie, poszukiwanie i rozwiązywanie problemów przez dzieci/uczniów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wykorzystanie różnorodnych zmysłów i stylów uczenia się 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programowanie w parach, w grupie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naukę programowania na różnych urządzeniach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• programowanie na różnych przedmiotach, korelowanie edukacji i przedmiotów </w:t>
            </w:r>
          </w:p>
          <w:p w14:paraId="161C6CE0" w14:textId="0108A105" w:rsidR="000157DB" w:rsidRPr="002E3D69" w:rsidRDefault="0001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2E3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Kompatybilny z podłogą interaktywną, o której mowa powyżej (lp. 3 tabeli))</w:t>
            </w:r>
          </w:p>
        </w:tc>
      </w:tr>
      <w:tr w:rsidR="004028F8" w14:paraId="42592C0F" w14:textId="77777777" w:rsidTr="00FD2C66">
        <w:trPr>
          <w:trHeight w:val="51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15C1" w14:textId="77777777" w:rsidR="004028F8" w:rsidRPr="002E3D69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6A06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Dywan jednokolorowy - szary 4 x 5 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B03" w14:textId="77777777" w:rsidR="004028F8" w:rsidRPr="002E3D69" w:rsidRDefault="00FD2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7BF9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B6AF" w14:textId="77777777" w:rsidR="004028F8" w:rsidRPr="002E3D69" w:rsidRDefault="0040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0607" w14:textId="2F39EF05" w:rsidR="004028F8" w:rsidRDefault="00FD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Dywan o jednolitym kolorze. Skład runa 100% PP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heat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-set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frise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przędza pojedyncza. Certyfikat Zgodności tzn. Atest Higieniczny. Pokryty środkiem </w:t>
            </w:r>
            <w:proofErr w:type="spellStart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uniepalniającym</w:t>
            </w:r>
            <w:proofErr w:type="spellEnd"/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· wysokość runa: 7 mm • wym. 4 x 5 m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Należy przyjąć tolerancję dla wymiarów +/- </w:t>
            </w:r>
            <w:r w:rsidR="00354BBB"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Pr="002E3D6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%.</w:t>
            </w:r>
          </w:p>
        </w:tc>
      </w:tr>
    </w:tbl>
    <w:p w14:paraId="71FC1C7B" w14:textId="77777777" w:rsidR="004028F8" w:rsidRDefault="004028F8">
      <w:pPr>
        <w:rPr>
          <w:sz w:val="16"/>
          <w:szCs w:val="16"/>
        </w:rPr>
      </w:pPr>
    </w:p>
    <w:sectPr w:rsidR="004028F8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456A"/>
    <w:multiLevelType w:val="multilevel"/>
    <w:tmpl w:val="62D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28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155D4"/>
    <w:rsid w:val="000157DB"/>
    <w:rsid w:val="000B355A"/>
    <w:rsid w:val="00142EBC"/>
    <w:rsid w:val="00151014"/>
    <w:rsid w:val="00237AF9"/>
    <w:rsid w:val="002867AD"/>
    <w:rsid w:val="002E3D69"/>
    <w:rsid w:val="00354BBB"/>
    <w:rsid w:val="003F0815"/>
    <w:rsid w:val="004028F8"/>
    <w:rsid w:val="004C51E7"/>
    <w:rsid w:val="00504EB3"/>
    <w:rsid w:val="006D3337"/>
    <w:rsid w:val="006D39B1"/>
    <w:rsid w:val="006E2249"/>
    <w:rsid w:val="00785E81"/>
    <w:rsid w:val="007D3BFB"/>
    <w:rsid w:val="008A5816"/>
    <w:rsid w:val="009E2889"/>
    <w:rsid w:val="00A26C83"/>
    <w:rsid w:val="00A4602F"/>
    <w:rsid w:val="00A52E21"/>
    <w:rsid w:val="00A954C7"/>
    <w:rsid w:val="00B67816"/>
    <w:rsid w:val="00B67E6A"/>
    <w:rsid w:val="00B72474"/>
    <w:rsid w:val="00C15348"/>
    <w:rsid w:val="00C53002"/>
    <w:rsid w:val="00CA4F38"/>
    <w:rsid w:val="00CB2EA7"/>
    <w:rsid w:val="00CC2918"/>
    <w:rsid w:val="00DD4E18"/>
    <w:rsid w:val="00DE03A7"/>
    <w:rsid w:val="00DF7CBC"/>
    <w:rsid w:val="00F5068D"/>
    <w:rsid w:val="00F53A9B"/>
    <w:rsid w:val="00FA18CC"/>
    <w:rsid w:val="00FD2C66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D30"/>
  <w15:docId w15:val="{57BF51F5-6422-4886-9D59-D75A9C8E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B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6C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6C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6CC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6C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6CC3"/>
    <w:rPr>
      <w:b/>
      <w:bCs/>
    </w:rPr>
  </w:style>
  <w:style w:type="paragraph" w:styleId="Akapitzlist">
    <w:name w:val="List Paragraph"/>
    <w:basedOn w:val="Normalny"/>
    <w:uiPriority w:val="34"/>
    <w:qFormat/>
    <w:rsid w:val="005E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4667</Words>
  <Characters>28007</Characters>
  <Application>Microsoft Office Word</Application>
  <DocSecurity>0</DocSecurity>
  <Lines>233</Lines>
  <Paragraphs>65</Paragraphs>
  <ScaleCrop>false</ScaleCrop>
  <Company/>
  <LinksUpToDate>false</LinksUpToDate>
  <CharactersWithSpaces>32609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Jonczyk</dc:creator>
  <dc:description/>
  <cp:lastModifiedBy>Bartłomiej Jonczyk</cp:lastModifiedBy>
  <cp:revision>39</cp:revision>
  <dcterms:created xsi:type="dcterms:W3CDTF">2023-11-07T07:55:00Z</dcterms:created>
  <dcterms:modified xsi:type="dcterms:W3CDTF">2023-11-18T21:04:00Z</dcterms:modified>
  <dc:language>pl-PL</dc:language>
</cp:coreProperties>
</file>