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B482" w14:textId="1EF8CC9B" w:rsidR="0075086D" w:rsidRDefault="0075086D" w:rsidP="0075086D">
      <w:pPr>
        <w:pStyle w:val="Tytu"/>
      </w:pPr>
      <w:r>
        <w:t>Warunki udziału w postępowaniu, sposób przygotowania ofert, kryteria oceny, inne informacje</w:t>
      </w:r>
    </w:p>
    <w:p w14:paraId="38B81241" w14:textId="2178C538" w:rsidR="00CF4317" w:rsidRDefault="00312A5B" w:rsidP="00B27FFE">
      <w:pPr>
        <w:pStyle w:val="Nagwek1"/>
      </w:pPr>
      <w:r>
        <w:t xml:space="preserve">1. </w:t>
      </w:r>
      <w:r w:rsidR="00B27FFE">
        <w:t>Warunki udziału w postępowaniu</w:t>
      </w:r>
    </w:p>
    <w:p w14:paraId="1C7CB59E" w14:textId="3E68969D" w:rsidR="00B27FFE" w:rsidRDefault="00B27FFE" w:rsidP="00B27FFE">
      <w:pPr>
        <w:pStyle w:val="Bezodstpw"/>
      </w:pPr>
    </w:p>
    <w:p w14:paraId="3C33319A" w14:textId="77777777" w:rsidR="00841C83" w:rsidRPr="00312A5B" w:rsidRDefault="00841C83" w:rsidP="00841C83">
      <w:pPr>
        <w:pStyle w:val="Bezodstpw"/>
      </w:pPr>
      <w:r>
        <w:t>W postępowaniu może wziąć udział Wykonawca, który posiada dostateczną wiedzę i doświadczenie, to znaczy:</w:t>
      </w:r>
    </w:p>
    <w:p w14:paraId="1302A270" w14:textId="2231CFE3" w:rsidR="00841C83" w:rsidRPr="009652D5" w:rsidRDefault="00841C83" w:rsidP="00841C83">
      <w:pPr>
        <w:pStyle w:val="Bezodstpw"/>
        <w:numPr>
          <w:ilvl w:val="0"/>
          <w:numId w:val="1"/>
        </w:numPr>
      </w:pPr>
      <w:r w:rsidRPr="009652D5">
        <w:t xml:space="preserve">w okresie ostatnich 2 lat przed dniem złożenia oferty (a jeśli okres prowadzenia przez niego działalności jest krótszy – to w tym okresie) zrealizował należycie minimum </w:t>
      </w:r>
      <w:r w:rsidRPr="009652D5">
        <w:rPr>
          <w:b/>
          <w:bCs/>
        </w:rPr>
        <w:t xml:space="preserve">2 </w:t>
      </w:r>
      <w:r w:rsidR="007A19A2" w:rsidRPr="009652D5">
        <w:rPr>
          <w:b/>
          <w:bCs/>
        </w:rPr>
        <w:t xml:space="preserve">projekty wdrożenia stron/serwisów internetowych </w:t>
      </w:r>
      <w:r w:rsidRPr="009652D5">
        <w:t xml:space="preserve">z budżetem </w:t>
      </w:r>
      <w:r w:rsidRPr="009652D5">
        <w:rPr>
          <w:b/>
          <w:bCs/>
        </w:rPr>
        <w:t>min. 30 000 złotych</w:t>
      </w:r>
      <w:r w:rsidRPr="009652D5">
        <w:t xml:space="preserve"> brutto każd</w:t>
      </w:r>
      <w:r w:rsidR="007A19A2" w:rsidRPr="009652D5">
        <w:t>y</w:t>
      </w:r>
      <w:r w:rsidRPr="009652D5">
        <w:t xml:space="preserve"> oraz</w:t>
      </w:r>
    </w:p>
    <w:p w14:paraId="671E4CB8" w14:textId="0A5ACFA3" w:rsidR="00841C83" w:rsidRDefault="00841C83" w:rsidP="00841C83">
      <w:pPr>
        <w:pStyle w:val="Bezodstpw"/>
        <w:numPr>
          <w:ilvl w:val="0"/>
          <w:numId w:val="1"/>
        </w:numPr>
      </w:pPr>
      <w:r>
        <w:t xml:space="preserve">jest w stanie wyznaczyć do realizacji zadania </w:t>
      </w:r>
      <w:proofErr w:type="spellStart"/>
      <w:r w:rsidR="007A19A2">
        <w:t>project</w:t>
      </w:r>
      <w:proofErr w:type="spellEnd"/>
      <w:r w:rsidR="007A19A2">
        <w:t xml:space="preserve"> menagera</w:t>
      </w:r>
      <w:r>
        <w:t xml:space="preserve"> - osobę</w:t>
      </w:r>
      <w:r>
        <w:rPr>
          <w:lang w:eastAsia="pl-PL"/>
        </w:rPr>
        <w:t xml:space="preserve">, która w okresie ostatnich </w:t>
      </w:r>
      <w:r w:rsidR="007A19A2">
        <w:rPr>
          <w:lang w:eastAsia="pl-PL"/>
        </w:rPr>
        <w:t>5</w:t>
      </w:r>
      <w:r>
        <w:rPr>
          <w:lang w:eastAsia="pl-PL"/>
        </w:rPr>
        <w:t xml:space="preserve"> lat przed dniem złożenia oferty </w:t>
      </w:r>
      <w:r w:rsidR="007A19A2">
        <w:rPr>
          <w:lang w:eastAsia="pl-PL"/>
        </w:rPr>
        <w:t xml:space="preserve">nadzorowała </w:t>
      </w:r>
      <w:r>
        <w:rPr>
          <w:lang w:eastAsia="pl-PL"/>
        </w:rPr>
        <w:t>realiz</w:t>
      </w:r>
      <w:r w:rsidR="007A19A2">
        <w:rPr>
          <w:lang w:eastAsia="pl-PL"/>
        </w:rPr>
        <w:t xml:space="preserve">ację </w:t>
      </w:r>
      <w:r>
        <w:rPr>
          <w:lang w:eastAsia="pl-PL"/>
        </w:rPr>
        <w:t xml:space="preserve">2 </w:t>
      </w:r>
      <w:r w:rsidR="007A19A2">
        <w:rPr>
          <w:lang w:eastAsia="pl-PL"/>
        </w:rPr>
        <w:t>projektów wdrożenia serwisów internetowych opar</w:t>
      </w:r>
      <w:r w:rsidR="00152C1B">
        <w:rPr>
          <w:lang w:eastAsia="pl-PL"/>
        </w:rPr>
        <w:t>t</w:t>
      </w:r>
      <w:r w:rsidR="007A19A2">
        <w:rPr>
          <w:lang w:eastAsia="pl-PL"/>
        </w:rPr>
        <w:t xml:space="preserve">ych na CMS </w:t>
      </w:r>
      <w:proofErr w:type="spellStart"/>
      <w:r w:rsidR="008B7929">
        <w:rPr>
          <w:lang w:eastAsia="pl-PL"/>
        </w:rPr>
        <w:t>J</w:t>
      </w:r>
      <w:r w:rsidR="007A19A2">
        <w:rPr>
          <w:lang w:eastAsia="pl-PL"/>
        </w:rPr>
        <w:t>oomla</w:t>
      </w:r>
      <w:proofErr w:type="spellEnd"/>
      <w:r>
        <w:rPr>
          <w:lang w:eastAsia="pl-PL"/>
        </w:rPr>
        <w:t>.</w:t>
      </w:r>
    </w:p>
    <w:p w14:paraId="2F9C5601" w14:textId="40B5BE16" w:rsidR="00B535D1" w:rsidRDefault="00B535D1" w:rsidP="00B535D1">
      <w:pPr>
        <w:pStyle w:val="Nagwek1"/>
      </w:pPr>
      <w:r>
        <w:lastRenderedPageBreak/>
        <w:t xml:space="preserve">2. Sposób przygotowania </w:t>
      </w:r>
      <w:r w:rsidR="00FB12E2">
        <w:t xml:space="preserve">i złożenia </w:t>
      </w:r>
      <w:r>
        <w:t>oferty</w:t>
      </w:r>
      <w:r w:rsidR="00312A5B">
        <w:t>:</w:t>
      </w:r>
    </w:p>
    <w:p w14:paraId="5F3267DD" w14:textId="1986FA6E" w:rsidR="00FB12E2" w:rsidRDefault="00312A5B" w:rsidP="00312A5B">
      <w:r>
        <w:t xml:space="preserve">Oferta powinna zostać przygotowana w języku polskim </w:t>
      </w:r>
      <w:r>
        <w:rPr>
          <w:b/>
          <w:bCs/>
        </w:rPr>
        <w:t>na formularzu ofertowym</w:t>
      </w:r>
      <w:r>
        <w:t xml:space="preserve"> stanowiącym załącznik nr 1 do Szczegółowego Opisu </w:t>
      </w:r>
      <w:proofErr w:type="spellStart"/>
      <w:r w:rsidR="000B585B">
        <w:t>Zadania</w:t>
      </w:r>
      <w:r>
        <w:t>.</w:t>
      </w:r>
      <w:r w:rsidR="00FB12E2">
        <w:t>Formularz</w:t>
      </w:r>
      <w:proofErr w:type="spellEnd"/>
      <w:r w:rsidR="00FB12E2">
        <w:t xml:space="preserve"> ofertowy wraz z załącznikami należy złożyć w postaci elektronicznej </w:t>
      </w:r>
      <w:r w:rsidR="00FB12E2">
        <w:rPr>
          <w:b/>
          <w:bCs/>
        </w:rPr>
        <w:t xml:space="preserve">do </w:t>
      </w:r>
      <w:r w:rsidR="0081320C">
        <w:rPr>
          <w:b/>
          <w:bCs/>
        </w:rPr>
        <w:t xml:space="preserve">2 </w:t>
      </w:r>
      <w:r w:rsidR="00FD0438">
        <w:rPr>
          <w:b/>
          <w:bCs/>
        </w:rPr>
        <w:t>listopada</w:t>
      </w:r>
      <w:r w:rsidR="00CB6886">
        <w:rPr>
          <w:b/>
          <w:bCs/>
        </w:rPr>
        <w:t xml:space="preserve"> 2023 roku</w:t>
      </w:r>
      <w:r w:rsidR="00FB12E2">
        <w:rPr>
          <w:b/>
          <w:bCs/>
        </w:rPr>
        <w:t xml:space="preserve"> włącznie</w:t>
      </w:r>
      <w:r w:rsidR="00FB12E2">
        <w:t>:</w:t>
      </w:r>
    </w:p>
    <w:p w14:paraId="2FBCFCA7" w14:textId="2FF52EC3" w:rsidR="00FB12E2" w:rsidRDefault="00FB12E2" w:rsidP="00312A5B">
      <w:pPr>
        <w:pStyle w:val="Akapitzlist"/>
        <w:numPr>
          <w:ilvl w:val="0"/>
          <w:numId w:val="12"/>
        </w:numPr>
      </w:pPr>
      <w:r>
        <w:t>za pośrednictwem Bazy Konkurencyjności.</w:t>
      </w:r>
    </w:p>
    <w:p w14:paraId="3C32CD83" w14:textId="55ABAA49" w:rsidR="00312A5B" w:rsidRDefault="00312A5B" w:rsidP="00312A5B">
      <w:r>
        <w:t>Oferta powinna zawierać następujące załączniki:</w:t>
      </w:r>
    </w:p>
    <w:p w14:paraId="35B0A1DD" w14:textId="42C31F6A" w:rsidR="00312A5B" w:rsidRDefault="00312A5B" w:rsidP="00312A5B">
      <w:pPr>
        <w:pStyle w:val="Akapitzlist"/>
        <w:numPr>
          <w:ilvl w:val="0"/>
          <w:numId w:val="2"/>
        </w:numPr>
      </w:pPr>
      <w:r>
        <w:t xml:space="preserve">Dokumenty potwierdzające, że Wykonawca spełnia warunki udziału w postępowaniu, np. skany referencji. </w:t>
      </w:r>
    </w:p>
    <w:p w14:paraId="1B80560F" w14:textId="47B96D63" w:rsidR="00312A5B" w:rsidRDefault="00312A5B" w:rsidP="00312A5B">
      <w:pPr>
        <w:pStyle w:val="Akapitzlist"/>
        <w:numPr>
          <w:ilvl w:val="0"/>
          <w:numId w:val="2"/>
        </w:numPr>
      </w:pPr>
      <w:r>
        <w:t>Dokument potwierdzający ewentualne umocowanie osoby do złożenia oferty i podpisania umowy, jeśli nie wynika to np. z odpisu z KRS.</w:t>
      </w:r>
    </w:p>
    <w:p w14:paraId="58A8E6F9" w14:textId="0DF37526" w:rsidR="00312A5B" w:rsidRDefault="00312A5B" w:rsidP="00312A5B">
      <w:pPr>
        <w:pStyle w:val="Akapitzlist"/>
        <w:numPr>
          <w:ilvl w:val="0"/>
          <w:numId w:val="2"/>
        </w:numPr>
      </w:pPr>
      <w:r>
        <w:rPr>
          <w:b/>
          <w:bCs/>
        </w:rPr>
        <w:t xml:space="preserve">Wstępny projekt </w:t>
      </w:r>
      <w:r w:rsidR="00ED5F48">
        <w:rPr>
          <w:b/>
          <w:bCs/>
        </w:rPr>
        <w:t xml:space="preserve">strony prezentacji szczegółów wydarzenia </w:t>
      </w:r>
      <w:r w:rsidR="00731F1C">
        <w:rPr>
          <w:b/>
          <w:bCs/>
        </w:rPr>
        <w:t xml:space="preserve">związanego z realizacją projektu dofinansowanego z Funduszy Europejskich </w:t>
      </w:r>
      <w:r w:rsidR="000F13A7" w:rsidRPr="000F13A7">
        <w:t xml:space="preserve">(przykład z ubiegłego roku: https://dniotwarte.eu/wydarzenia/wydarzenie/weekend-w-muzeum-2023-04-05-09-03-42 ) </w:t>
      </w:r>
      <w:r w:rsidR="00ED5F48" w:rsidRPr="000F13A7">
        <w:t>organizowanego przez beneficjentów w ramach akcji D</w:t>
      </w:r>
      <w:r w:rsidR="00731F1C">
        <w:t xml:space="preserve">ni </w:t>
      </w:r>
      <w:r w:rsidR="00ED5F48" w:rsidRPr="000F13A7">
        <w:t>O</w:t>
      </w:r>
      <w:r w:rsidR="00731F1C">
        <w:t xml:space="preserve">twartych </w:t>
      </w:r>
      <w:r w:rsidR="00ED5F48" w:rsidRPr="000F13A7">
        <w:t>F</w:t>
      </w:r>
      <w:r w:rsidR="00731F1C">
        <w:t xml:space="preserve">unduszy </w:t>
      </w:r>
      <w:r w:rsidR="00ED5F48" w:rsidRPr="000F13A7">
        <w:t>E</w:t>
      </w:r>
      <w:r w:rsidR="00731F1C">
        <w:t>uropejskich</w:t>
      </w:r>
      <w:r w:rsidR="00ED5F48" w:rsidRPr="000F13A7">
        <w:t xml:space="preserve"> </w:t>
      </w:r>
      <w:r w:rsidR="001C24CB">
        <w:t xml:space="preserve">(DOFE) </w:t>
      </w:r>
      <w:r w:rsidR="00ED5F48" w:rsidRPr="000F13A7">
        <w:t>i obchodów 20-lecia członkostwa Polski w Unii Europejskiej</w:t>
      </w:r>
      <w:r>
        <w:t>. Projekt taki powinien zawierać:</w:t>
      </w:r>
    </w:p>
    <w:p w14:paraId="7301944D" w14:textId="143E312D" w:rsidR="00312A5B" w:rsidRPr="003A5149" w:rsidRDefault="003A5149" w:rsidP="00312A5B">
      <w:pPr>
        <w:pStyle w:val="Akapitzlist"/>
        <w:numPr>
          <w:ilvl w:val="1"/>
          <w:numId w:val="2"/>
        </w:numPr>
      </w:pPr>
      <w:r w:rsidRPr="003A5149">
        <w:t>zdjęcie promujące wydarzenie</w:t>
      </w:r>
      <w:r>
        <w:t>/atrakcję</w:t>
      </w:r>
      <w:r w:rsidRPr="003A5149">
        <w:t xml:space="preserve"> i galerię zdjęć</w:t>
      </w:r>
      <w:r w:rsidR="00EF5A6A" w:rsidRPr="003A5149">
        <w:t>;</w:t>
      </w:r>
    </w:p>
    <w:p w14:paraId="05A38206" w14:textId="52431C0E" w:rsidR="00EF5A6A" w:rsidRPr="003A5149" w:rsidRDefault="002034C1" w:rsidP="00312A5B">
      <w:pPr>
        <w:pStyle w:val="Akapitzlist"/>
        <w:numPr>
          <w:ilvl w:val="1"/>
          <w:numId w:val="2"/>
        </w:numPr>
      </w:pPr>
      <w:r>
        <w:lastRenderedPageBreak/>
        <w:t xml:space="preserve">informacje o kategorii i </w:t>
      </w:r>
      <w:r w:rsidR="003A5149" w:rsidRPr="003A5149">
        <w:t xml:space="preserve">opis </w:t>
      </w:r>
      <w:r w:rsidR="003A5149">
        <w:t>wydarzenia/</w:t>
      </w:r>
      <w:r w:rsidR="003A5149" w:rsidRPr="003A5149">
        <w:t>atrakcji wraz ze szczegółowym programem rozpisanym na trzy dni trwania finału akcji DOFE</w:t>
      </w:r>
      <w:r w:rsidR="00EF5A6A" w:rsidRPr="003A5149">
        <w:t>;</w:t>
      </w:r>
    </w:p>
    <w:p w14:paraId="4EA75212" w14:textId="56507830" w:rsidR="00EF5A6A" w:rsidRPr="003A5149" w:rsidRDefault="003A5149" w:rsidP="00312A5B">
      <w:pPr>
        <w:pStyle w:val="Akapitzlist"/>
        <w:numPr>
          <w:ilvl w:val="1"/>
          <w:numId w:val="2"/>
        </w:numPr>
      </w:pPr>
      <w:r w:rsidRPr="003A5149">
        <w:t xml:space="preserve">lokalizację </w:t>
      </w:r>
      <w:r>
        <w:t xml:space="preserve">wydarzenia/atrakcji </w:t>
      </w:r>
      <w:r w:rsidRPr="003A5149">
        <w:t>wraz z mapką</w:t>
      </w:r>
      <w:r w:rsidR="00EF5A6A" w:rsidRPr="003A5149">
        <w:t>;</w:t>
      </w:r>
    </w:p>
    <w:p w14:paraId="075CF198" w14:textId="4B3AEBCA" w:rsidR="00681A54" w:rsidRDefault="003A5149" w:rsidP="00681A54">
      <w:pPr>
        <w:pStyle w:val="Akapitzlist"/>
        <w:numPr>
          <w:ilvl w:val="1"/>
          <w:numId w:val="2"/>
        </w:numPr>
        <w:rPr>
          <w:b/>
          <w:bCs/>
        </w:rPr>
      </w:pPr>
      <w:r>
        <w:t>dane kontaktowe organizatora wydarzenia/atrakcji</w:t>
      </w:r>
      <w:r w:rsidR="00896200">
        <w:rPr>
          <w:b/>
          <w:bCs/>
        </w:rPr>
        <w:t>;</w:t>
      </w:r>
    </w:p>
    <w:p w14:paraId="5C2D600E" w14:textId="59E486FB" w:rsidR="00BE0956" w:rsidRPr="003A5149" w:rsidRDefault="003A5149" w:rsidP="00681A54">
      <w:pPr>
        <w:pStyle w:val="Akapitzlist"/>
        <w:numPr>
          <w:ilvl w:val="1"/>
          <w:numId w:val="2"/>
        </w:numPr>
      </w:pPr>
      <w:r w:rsidRPr="003A5149">
        <w:t>informację o udogodnieniach dla osób z niepełnospraw</w:t>
      </w:r>
      <w:r>
        <w:t>n</w:t>
      </w:r>
      <w:r w:rsidRPr="003A5149">
        <w:t>ościami</w:t>
      </w:r>
      <w:r w:rsidR="00BE0956" w:rsidRPr="003A5149">
        <w:t>.</w:t>
      </w:r>
    </w:p>
    <w:p w14:paraId="31824403" w14:textId="6A41FD8A" w:rsidR="00FB12E2" w:rsidRDefault="00681A54" w:rsidP="00681A54">
      <w:pPr>
        <w:rPr>
          <w:b/>
          <w:bCs/>
        </w:rPr>
      </w:pPr>
      <w:r w:rsidRPr="00F70671">
        <w:rPr>
          <w:b/>
          <w:bCs/>
        </w:rPr>
        <w:t xml:space="preserve">UWAGA: </w:t>
      </w:r>
      <w:r w:rsidR="00F70671" w:rsidRPr="00F70671">
        <w:rPr>
          <w:b/>
          <w:bCs/>
        </w:rPr>
        <w:t xml:space="preserve">Wstępny projekt </w:t>
      </w:r>
      <w:r w:rsidR="00CD5C0A">
        <w:rPr>
          <w:b/>
          <w:bCs/>
        </w:rPr>
        <w:t>strony prezentacji szczegółów wydarzenia</w:t>
      </w:r>
      <w:r w:rsidR="0011005C">
        <w:rPr>
          <w:b/>
          <w:bCs/>
        </w:rPr>
        <w:t>/atrakcji</w:t>
      </w:r>
      <w:r w:rsidR="00CD5C0A">
        <w:rPr>
          <w:b/>
          <w:bCs/>
        </w:rPr>
        <w:t xml:space="preserve"> </w:t>
      </w:r>
      <w:r w:rsidR="00F70671" w:rsidRPr="00F70671">
        <w:rPr>
          <w:b/>
          <w:bCs/>
        </w:rPr>
        <w:t>będ</w:t>
      </w:r>
      <w:r w:rsidR="00CD5C0A">
        <w:rPr>
          <w:b/>
          <w:bCs/>
        </w:rPr>
        <w:t>zie</w:t>
      </w:r>
      <w:r w:rsidR="00F70671" w:rsidRPr="00F70671">
        <w:rPr>
          <w:b/>
          <w:bCs/>
        </w:rPr>
        <w:t xml:space="preserve"> ocenian</w:t>
      </w:r>
      <w:r w:rsidR="00CD5C0A">
        <w:rPr>
          <w:b/>
          <w:bCs/>
        </w:rPr>
        <w:t>y</w:t>
      </w:r>
      <w:r w:rsidR="00F70671" w:rsidRPr="00F70671">
        <w:rPr>
          <w:b/>
          <w:bCs/>
        </w:rPr>
        <w:t xml:space="preserve"> zgodnie z opisanymi poniżej kryteriami oceny ofert.</w:t>
      </w:r>
    </w:p>
    <w:p w14:paraId="21B5183F" w14:textId="400EA6ED" w:rsidR="00F70671" w:rsidRDefault="00F70671" w:rsidP="00F70671">
      <w:pPr>
        <w:pStyle w:val="Nagwek1"/>
      </w:pPr>
      <w:r>
        <w:t>3. Kryteria oceny ofert:</w:t>
      </w:r>
    </w:p>
    <w:p w14:paraId="0D26B78E" w14:textId="74E25841" w:rsidR="00591E5B" w:rsidRDefault="00591E5B" w:rsidP="00591E5B">
      <w:r>
        <w:t>Oferty zostaną ocenione zgodnie z następującymi kryteriami: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1E5B" w14:paraId="155AD9B3" w14:textId="77777777" w:rsidTr="00591E5B">
        <w:tc>
          <w:tcPr>
            <w:tcW w:w="4531" w:type="dxa"/>
          </w:tcPr>
          <w:p w14:paraId="48BC29E4" w14:textId="3CCC0510" w:rsidR="00591E5B" w:rsidRPr="00591E5B" w:rsidRDefault="00591E5B" w:rsidP="00591E5B">
            <w:pPr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4531" w:type="dxa"/>
          </w:tcPr>
          <w:p w14:paraId="759FFA86" w14:textId="6817A6EE" w:rsidR="00591E5B" w:rsidRPr="00591E5B" w:rsidRDefault="00591E5B" w:rsidP="00591E5B">
            <w:pPr>
              <w:rPr>
                <w:b/>
                <w:bCs/>
              </w:rPr>
            </w:pPr>
            <w:r>
              <w:rPr>
                <w:b/>
                <w:bCs/>
              </w:rPr>
              <w:t>Waga kryterium (wyrażona w %)</w:t>
            </w:r>
          </w:p>
        </w:tc>
      </w:tr>
      <w:tr w:rsidR="00591E5B" w14:paraId="2278AF6B" w14:textId="77777777" w:rsidTr="00591E5B">
        <w:tc>
          <w:tcPr>
            <w:tcW w:w="4531" w:type="dxa"/>
          </w:tcPr>
          <w:p w14:paraId="1251A050" w14:textId="37C9849A" w:rsidR="00591E5B" w:rsidRPr="00591E5B" w:rsidRDefault="00591E5B" w:rsidP="00591E5B">
            <w:r>
              <w:t>Cena</w:t>
            </w:r>
          </w:p>
        </w:tc>
        <w:tc>
          <w:tcPr>
            <w:tcW w:w="4531" w:type="dxa"/>
          </w:tcPr>
          <w:p w14:paraId="607FD0C3" w14:textId="744AFC68" w:rsidR="00591E5B" w:rsidRPr="00591E5B" w:rsidRDefault="00221647" w:rsidP="00591E5B">
            <w:r>
              <w:t>7</w:t>
            </w:r>
            <w:r w:rsidR="00591E5B">
              <w:t>0%</w:t>
            </w:r>
          </w:p>
        </w:tc>
      </w:tr>
      <w:tr w:rsidR="00591E5B" w14:paraId="4D07B958" w14:textId="77777777" w:rsidTr="00591E5B">
        <w:tc>
          <w:tcPr>
            <w:tcW w:w="4531" w:type="dxa"/>
          </w:tcPr>
          <w:p w14:paraId="26FA9C14" w14:textId="21DBD17D" w:rsidR="00591E5B" w:rsidRDefault="00591E5B" w:rsidP="00591E5B">
            <w:r>
              <w:t xml:space="preserve">Wstępny projekt </w:t>
            </w:r>
            <w:r w:rsidR="0011005C" w:rsidRPr="0011005C">
              <w:t>strony prezentacji szczegółów wydarzenia</w:t>
            </w:r>
            <w:r w:rsidR="0011005C">
              <w:t>/atrakcji</w:t>
            </w:r>
          </w:p>
        </w:tc>
        <w:tc>
          <w:tcPr>
            <w:tcW w:w="4531" w:type="dxa"/>
          </w:tcPr>
          <w:p w14:paraId="77427ECF" w14:textId="05D39883" w:rsidR="00591E5B" w:rsidRDefault="00221647" w:rsidP="00591E5B">
            <w:r>
              <w:t>3</w:t>
            </w:r>
            <w:r w:rsidR="00591E5B">
              <w:t>0%</w:t>
            </w:r>
          </w:p>
        </w:tc>
      </w:tr>
    </w:tbl>
    <w:p w14:paraId="2A609E4A" w14:textId="73E01CDB" w:rsidR="00591E5B" w:rsidRDefault="00591E5B" w:rsidP="00591E5B"/>
    <w:p w14:paraId="77C0009B" w14:textId="0336AF10" w:rsidR="00591E5B" w:rsidRDefault="00591E5B" w:rsidP="00591E5B">
      <w:r>
        <w:t>Punkty za poszczególne kryteria zostaną przyznane następująco:</w:t>
      </w:r>
    </w:p>
    <w:p w14:paraId="63E6BAE6" w14:textId="2B63F1F9" w:rsidR="00591E5B" w:rsidRDefault="00591E5B" w:rsidP="00591E5B">
      <w:pPr>
        <w:pStyle w:val="Nagwek2"/>
      </w:pPr>
      <w:r>
        <w:t>3.1. Kryterium „Cena”</w:t>
      </w:r>
      <w:r w:rsidR="00AC70BF">
        <w:t xml:space="preserve"> (maks. 7</w:t>
      </w:r>
      <w:r w:rsidR="000B585B">
        <w:t>0</w:t>
      </w:r>
      <w:r w:rsidR="00AC70BF">
        <w:t>):</w:t>
      </w:r>
    </w:p>
    <w:p w14:paraId="6510CBE3" w14:textId="6E18E4D1" w:rsidR="00591E5B" w:rsidRDefault="00591E5B" w:rsidP="00591E5B">
      <w:r>
        <w:t>Podczas oceny Zamawiający przyjmie zasadę, że 1</w:t>
      </w:r>
      <w:r w:rsidR="002E273C">
        <w:t xml:space="preserve"> </w:t>
      </w:r>
      <w:r>
        <w:t>punkt</w:t>
      </w:r>
      <w:r w:rsidR="002E273C">
        <w:t xml:space="preserve"> = 1%</w:t>
      </w:r>
      <w:r>
        <w:t>.</w:t>
      </w:r>
    </w:p>
    <w:p w14:paraId="323F699F" w14:textId="5AF9DB7F" w:rsidR="003734F3" w:rsidRPr="005F7E21" w:rsidRDefault="00EF6547" w:rsidP="005F7E21">
      <w:r w:rsidRPr="005F7E21">
        <w:t>P</w:t>
      </w:r>
      <w:r w:rsidR="003734F3" w:rsidRPr="005F7E21">
        <w:t xml:space="preserve">unkty w kryterium „Cena” naliczane będą na podstawie wskazanych przez Wykonawcę w formularzu ofertowym </w:t>
      </w:r>
      <w:r w:rsidRPr="005F7E21">
        <w:t>cen brutto.</w:t>
      </w:r>
    </w:p>
    <w:p w14:paraId="09E66404" w14:textId="19ED0D59" w:rsidR="00591E5B" w:rsidRDefault="00591E5B" w:rsidP="00591E5B">
      <w:r w:rsidRPr="00591E5B">
        <w:t xml:space="preserve">Punkty za kryterium „Cena” zostaną obliczone na podstawie sumy cen jednostkowych poszczególnych działań wskazanych przez Wykonawcę w </w:t>
      </w:r>
      <w:r>
        <w:t>formularzu ofertowym</w:t>
      </w:r>
      <w:r w:rsidRPr="00591E5B">
        <w:t>, w następujący sposób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7270"/>
      </w:tblGrid>
      <w:tr w:rsidR="001803DD" w14:paraId="372DCE8C" w14:textId="05B99D0C" w:rsidTr="004F6D61">
        <w:tc>
          <w:tcPr>
            <w:tcW w:w="6516" w:type="dxa"/>
          </w:tcPr>
          <w:p w14:paraId="1EEB8638" w14:textId="58EAA15A" w:rsidR="001803DD" w:rsidRPr="00BE21D4" w:rsidRDefault="001803DD" w:rsidP="001803DD">
            <w:r>
              <w:t>O</w:t>
            </w:r>
            <w:r w:rsidRPr="00FB1AAF">
              <w:t xml:space="preserve">dtworzenie, z kodów przekazanych przez Zamawiającego na nośniku elektronicznym, Platformy Internetowej promującej akcję „Dni Otwarte Funduszy Europejskich (DOFE)”, dostępnej pod adresem: www.dniotwarte.eu, aktualizacja CMS </w:t>
            </w:r>
            <w:proofErr w:type="spellStart"/>
            <w:r w:rsidRPr="00FB1AAF">
              <w:t>Joomla</w:t>
            </w:r>
            <w:proofErr w:type="spellEnd"/>
            <w:r w:rsidRPr="00FB1AAF">
              <w:t xml:space="preserve">, na którym </w:t>
            </w:r>
            <w:r w:rsidRPr="00FB1AAF">
              <w:lastRenderedPageBreak/>
              <w:t xml:space="preserve">oparta jest Platforma Internetowa, do wersji 4.0, wdrożenie </w:t>
            </w:r>
            <w:r w:rsidR="00277709" w:rsidRPr="00834EC1">
              <w:t xml:space="preserve">zmodyfikowanej Platformy Internetowej i jej </w:t>
            </w:r>
            <w:r w:rsidRPr="00FB1AAF">
              <w:t>publiczne udostępnienie pod adresem domeny przekazanym przez Zamawiającego wraz z certyfikatem SSL nie później niż 3 tygodnie od podpisania umowy</w:t>
            </w:r>
          </w:p>
        </w:tc>
        <w:tc>
          <w:tcPr>
            <w:tcW w:w="7270" w:type="dxa"/>
          </w:tcPr>
          <w:p w14:paraId="33D13849" w14:textId="4C236BE6" w:rsidR="001803DD" w:rsidRPr="000434E2" w:rsidRDefault="001803DD" w:rsidP="001803DD">
            <w:pPr>
              <w:rPr>
                <w:szCs w:val="24"/>
              </w:rPr>
            </w:pPr>
            <w:r w:rsidRPr="000434E2">
              <w:rPr>
                <w:szCs w:val="24"/>
              </w:rPr>
              <w:lastRenderedPageBreak/>
              <w:t xml:space="preserve">Najniższa cena  w </w:t>
            </w:r>
            <w:proofErr w:type="spellStart"/>
            <w:r w:rsidRPr="000434E2">
              <w:rPr>
                <w:szCs w:val="24"/>
              </w:rPr>
              <w:t>podkryterium</w:t>
            </w:r>
            <w:proofErr w:type="spellEnd"/>
            <w:r w:rsidRPr="000434E2">
              <w:rPr>
                <w:szCs w:val="24"/>
              </w:rPr>
              <w:t xml:space="preserve"> „Odtworzenie, z kodów </w:t>
            </w:r>
            <w:r w:rsidR="000434E2" w:rsidRPr="000434E2">
              <w:rPr>
                <w:szCs w:val="24"/>
              </w:rPr>
              <w:t>…</w:t>
            </w:r>
            <w:r w:rsidRPr="000434E2">
              <w:rPr>
                <w:szCs w:val="24"/>
              </w:rPr>
              <w:t>” spośród ofert badanych</w:t>
            </w:r>
          </w:p>
          <w:p w14:paraId="7C69183D" w14:textId="0B37724B" w:rsidR="001803DD" w:rsidRPr="000434E2" w:rsidRDefault="001803DD" w:rsidP="001803DD">
            <w:pPr>
              <w:rPr>
                <w:szCs w:val="24"/>
              </w:rPr>
            </w:pPr>
            <w:r w:rsidRPr="000434E2">
              <w:rPr>
                <w:b/>
                <w:bCs/>
                <w:szCs w:val="24"/>
              </w:rPr>
              <w:t>------------</w:t>
            </w:r>
            <w:r w:rsidR="000434E2" w:rsidRPr="000434E2">
              <w:rPr>
                <w:b/>
                <w:bCs/>
                <w:szCs w:val="24"/>
              </w:rPr>
              <w:t>-------------------------------------------------</w:t>
            </w:r>
            <w:r w:rsidRPr="000434E2">
              <w:rPr>
                <w:b/>
                <w:bCs/>
                <w:szCs w:val="24"/>
              </w:rPr>
              <w:t xml:space="preserve">----------- x </w:t>
            </w:r>
            <w:r w:rsidR="002E273C">
              <w:rPr>
                <w:b/>
                <w:bCs/>
                <w:szCs w:val="24"/>
              </w:rPr>
              <w:t>3</w:t>
            </w:r>
            <w:r w:rsidR="002E55FF">
              <w:rPr>
                <w:b/>
                <w:bCs/>
                <w:szCs w:val="24"/>
              </w:rPr>
              <w:t>0</w:t>
            </w:r>
            <w:r w:rsidRPr="000434E2">
              <w:rPr>
                <w:b/>
                <w:bCs/>
                <w:szCs w:val="24"/>
              </w:rPr>
              <w:t xml:space="preserve"> =</w:t>
            </w:r>
            <w:r w:rsidRPr="000434E2">
              <w:rPr>
                <w:szCs w:val="24"/>
              </w:rPr>
              <w:t xml:space="preserve"> </w:t>
            </w:r>
            <w:r w:rsidRPr="000434E2">
              <w:rPr>
                <w:b/>
                <w:bCs/>
                <w:szCs w:val="24"/>
              </w:rPr>
              <w:t>liczba uzyskanych punktów oferty badanej</w:t>
            </w:r>
          </w:p>
          <w:p w14:paraId="66D3E68D" w14:textId="25854549" w:rsidR="001803DD" w:rsidRPr="000434E2" w:rsidRDefault="001803DD" w:rsidP="001803DD">
            <w:pPr>
              <w:rPr>
                <w:szCs w:val="24"/>
              </w:rPr>
            </w:pPr>
            <w:r w:rsidRPr="000434E2">
              <w:rPr>
                <w:szCs w:val="24"/>
              </w:rPr>
              <w:t xml:space="preserve">Cena w </w:t>
            </w:r>
            <w:proofErr w:type="spellStart"/>
            <w:r w:rsidRPr="000434E2">
              <w:rPr>
                <w:szCs w:val="24"/>
              </w:rPr>
              <w:t>podkryterium</w:t>
            </w:r>
            <w:proofErr w:type="spellEnd"/>
            <w:r w:rsidRPr="000434E2">
              <w:rPr>
                <w:szCs w:val="24"/>
              </w:rPr>
              <w:t xml:space="preserve"> „</w:t>
            </w:r>
            <w:r w:rsidR="000434E2" w:rsidRPr="000434E2">
              <w:rPr>
                <w:szCs w:val="24"/>
              </w:rPr>
              <w:t xml:space="preserve">Odtworzenie, z kodów …” </w:t>
            </w:r>
            <w:r w:rsidRPr="000434E2">
              <w:rPr>
                <w:szCs w:val="24"/>
              </w:rPr>
              <w:t>oferty badanej</w:t>
            </w:r>
          </w:p>
          <w:p w14:paraId="4C88CD03" w14:textId="77777777" w:rsidR="001803DD" w:rsidRPr="000434E2" w:rsidRDefault="001803DD" w:rsidP="001803DD">
            <w:pPr>
              <w:rPr>
                <w:szCs w:val="24"/>
              </w:rPr>
            </w:pPr>
          </w:p>
        </w:tc>
      </w:tr>
      <w:tr w:rsidR="001803DD" w14:paraId="73261090" w14:textId="1C1A1471" w:rsidTr="004F6D61">
        <w:tc>
          <w:tcPr>
            <w:tcW w:w="6516" w:type="dxa"/>
          </w:tcPr>
          <w:p w14:paraId="73599E42" w14:textId="1DA8B006" w:rsidR="001803DD" w:rsidRPr="00BE21D4" w:rsidRDefault="000434E2" w:rsidP="001803DD">
            <w:r>
              <w:lastRenderedPageBreak/>
              <w:t>U</w:t>
            </w:r>
            <w:r w:rsidRPr="000434E2">
              <w:t>sługa asysty i rozbudowy odtworzonej Platformy Internetowej - w wymiarze nieprzekraczającym łącznie 400 roboczogodzin, zgodnie z potrzebami biznesowymi Zamawiającego wynikającymi z obchodów 20-lecia członkostwa Polski w Unii Europejskiej</w:t>
            </w:r>
            <w:r w:rsidR="00305291">
              <w:t xml:space="preserve"> oraz ś</w:t>
            </w:r>
            <w:r w:rsidR="00305291" w:rsidRPr="00AD0881">
              <w:rPr>
                <w:rFonts w:cs="Arial"/>
              </w:rPr>
              <w:t xml:space="preserve">wiadczenie usługi wsparcia (dyżuru) w czasie trzech dni trwania finału akcji </w:t>
            </w:r>
            <w:r w:rsidR="00305291">
              <w:rPr>
                <w:rFonts w:cs="Arial"/>
              </w:rPr>
              <w:t>promocyjnej</w:t>
            </w:r>
          </w:p>
        </w:tc>
        <w:tc>
          <w:tcPr>
            <w:tcW w:w="7270" w:type="dxa"/>
          </w:tcPr>
          <w:p w14:paraId="14ADBDC1" w14:textId="54578BD5" w:rsidR="001803DD" w:rsidRPr="00591E5B" w:rsidRDefault="001803DD" w:rsidP="001803DD">
            <w:r w:rsidRPr="00591E5B">
              <w:t xml:space="preserve">Najniższa </w:t>
            </w:r>
            <w:r>
              <w:t>cena</w:t>
            </w:r>
            <w:r w:rsidRPr="00591E5B">
              <w:t xml:space="preserve">  w </w:t>
            </w:r>
            <w:proofErr w:type="spellStart"/>
            <w:r w:rsidRPr="00591E5B">
              <w:t>podkryterium</w:t>
            </w:r>
            <w:proofErr w:type="spellEnd"/>
            <w:r w:rsidRPr="00591E5B">
              <w:t xml:space="preserve"> „</w:t>
            </w:r>
            <w:r w:rsidR="000434E2">
              <w:t>Usługa asysty</w:t>
            </w:r>
            <w:r w:rsidRPr="00591E5B">
              <w:t>…” spośród ofert badanych</w:t>
            </w:r>
          </w:p>
          <w:p w14:paraId="68556369" w14:textId="2289DB24" w:rsidR="001803DD" w:rsidRPr="000434E2" w:rsidRDefault="001803DD" w:rsidP="001803DD">
            <w:pPr>
              <w:rPr>
                <w:b/>
                <w:bCs/>
              </w:rPr>
            </w:pPr>
            <w:r w:rsidRPr="000434E2">
              <w:rPr>
                <w:b/>
                <w:bCs/>
              </w:rPr>
              <w:t xml:space="preserve">-------------------------------------- x </w:t>
            </w:r>
            <w:r w:rsidR="00305291">
              <w:rPr>
                <w:b/>
                <w:bCs/>
              </w:rPr>
              <w:t>3</w:t>
            </w:r>
            <w:r w:rsidR="002E55FF">
              <w:rPr>
                <w:b/>
                <w:bCs/>
              </w:rPr>
              <w:t>0</w:t>
            </w:r>
            <w:r w:rsidRPr="000434E2">
              <w:rPr>
                <w:b/>
                <w:bCs/>
              </w:rPr>
              <w:t xml:space="preserve"> = liczba uzyskanych punktów oferty badanej</w:t>
            </w:r>
          </w:p>
          <w:p w14:paraId="2ED3AC3B" w14:textId="4A003265" w:rsidR="001803DD" w:rsidRDefault="001803DD" w:rsidP="001803DD">
            <w:r>
              <w:t xml:space="preserve">Cena </w:t>
            </w:r>
            <w:r w:rsidRPr="00591E5B">
              <w:t xml:space="preserve">w </w:t>
            </w:r>
            <w:proofErr w:type="spellStart"/>
            <w:r w:rsidRPr="00591E5B">
              <w:t>podkryterium</w:t>
            </w:r>
            <w:proofErr w:type="spellEnd"/>
            <w:r w:rsidRPr="00591E5B">
              <w:t xml:space="preserve"> „</w:t>
            </w:r>
            <w:r w:rsidR="000434E2">
              <w:t>Usługa asysty</w:t>
            </w:r>
            <w:r w:rsidRPr="00591E5B">
              <w:t>…”  oferty badanej</w:t>
            </w:r>
          </w:p>
          <w:p w14:paraId="50193C2B" w14:textId="77777777" w:rsidR="001803DD" w:rsidRDefault="001803DD" w:rsidP="001803DD"/>
        </w:tc>
      </w:tr>
      <w:tr w:rsidR="004545C9" w14:paraId="67B5D34B" w14:textId="11169E17" w:rsidTr="004F6D61">
        <w:tc>
          <w:tcPr>
            <w:tcW w:w="6516" w:type="dxa"/>
          </w:tcPr>
          <w:p w14:paraId="2A5D5DDE" w14:textId="3625D145" w:rsidR="004545C9" w:rsidRPr="00BE21D4" w:rsidRDefault="00AD0881" w:rsidP="00591E5B">
            <w:r>
              <w:rPr>
                <w:rFonts w:cs="Arial"/>
              </w:rPr>
              <w:lastRenderedPageBreak/>
              <w:t>U</w:t>
            </w:r>
            <w:r w:rsidRPr="00AD0881">
              <w:rPr>
                <w:rFonts w:cs="Arial"/>
              </w:rPr>
              <w:t xml:space="preserve">trzymanie </w:t>
            </w:r>
            <w:r w:rsidR="000B585B">
              <w:rPr>
                <w:rFonts w:cs="Arial"/>
              </w:rPr>
              <w:t xml:space="preserve">Serwisu </w:t>
            </w:r>
            <w:r w:rsidRPr="00AD0881">
              <w:rPr>
                <w:rFonts w:cs="Arial"/>
              </w:rPr>
              <w:t>Internetowe</w:t>
            </w:r>
            <w:r w:rsidR="000B585B">
              <w:rPr>
                <w:rFonts w:cs="Arial"/>
              </w:rPr>
              <w:t>go</w:t>
            </w:r>
            <w:r w:rsidRPr="00AD0881">
              <w:rPr>
                <w:rFonts w:cs="Arial"/>
              </w:rPr>
              <w:t xml:space="preserve"> </w:t>
            </w:r>
            <w:r w:rsidR="00716B42">
              <w:rPr>
                <w:rFonts w:cs="Arial"/>
              </w:rPr>
              <w:t xml:space="preserve">promującego </w:t>
            </w:r>
            <w:r w:rsidR="00716B42" w:rsidRPr="00136068">
              <w:t>20-leci</w:t>
            </w:r>
            <w:r w:rsidR="00716B42">
              <w:t>e</w:t>
            </w:r>
            <w:r w:rsidR="00716B42" w:rsidRPr="00136068">
              <w:t xml:space="preserve"> członkostwa Polski w Unii Europejskiej</w:t>
            </w:r>
            <w:r w:rsidR="00716B42" w:rsidRPr="00AD0881">
              <w:rPr>
                <w:rFonts w:cs="Arial"/>
              </w:rPr>
              <w:t xml:space="preserve"> </w:t>
            </w:r>
            <w:r w:rsidRPr="00AD0881">
              <w:rPr>
                <w:rFonts w:cs="Arial"/>
              </w:rPr>
              <w:t xml:space="preserve">przez okres 24 miesięcy od dnia odbioru </w:t>
            </w:r>
            <w:r w:rsidR="000B585B">
              <w:rPr>
                <w:rFonts w:cs="Arial"/>
              </w:rPr>
              <w:t>Serwisu</w:t>
            </w:r>
            <w:r w:rsidRPr="00AD0881">
              <w:rPr>
                <w:rFonts w:cs="Arial"/>
              </w:rPr>
              <w:t>.</w:t>
            </w:r>
          </w:p>
        </w:tc>
        <w:tc>
          <w:tcPr>
            <w:tcW w:w="7270" w:type="dxa"/>
          </w:tcPr>
          <w:p w14:paraId="248C9D64" w14:textId="1489ABF2" w:rsidR="004545C9" w:rsidRPr="00591E5B" w:rsidRDefault="004545C9" w:rsidP="00BE21D4">
            <w:r w:rsidRPr="00591E5B">
              <w:t xml:space="preserve">Najniższa </w:t>
            </w:r>
            <w:r>
              <w:t>cena</w:t>
            </w:r>
            <w:r w:rsidRPr="00591E5B">
              <w:t xml:space="preserve">  w </w:t>
            </w:r>
            <w:proofErr w:type="spellStart"/>
            <w:r w:rsidRPr="00591E5B">
              <w:t>podkryterium</w:t>
            </w:r>
            <w:proofErr w:type="spellEnd"/>
            <w:r w:rsidRPr="00591E5B">
              <w:t xml:space="preserve"> „</w:t>
            </w:r>
            <w:r w:rsidR="00AD0881">
              <w:t>Utrzymanie Platformy</w:t>
            </w:r>
            <w:r w:rsidRPr="00591E5B">
              <w:t>…” spośród ofert badanych</w:t>
            </w:r>
          </w:p>
          <w:p w14:paraId="417EC6E4" w14:textId="6AA9D5D9" w:rsidR="004545C9" w:rsidRPr="0005484E" w:rsidRDefault="004545C9" w:rsidP="00BE21D4">
            <w:pPr>
              <w:rPr>
                <w:b/>
                <w:bCs/>
              </w:rPr>
            </w:pPr>
            <w:r w:rsidRPr="0005484E">
              <w:rPr>
                <w:b/>
                <w:bCs/>
              </w:rPr>
              <w:t xml:space="preserve">-------------------------------------- x </w:t>
            </w:r>
            <w:r w:rsidR="002E273C">
              <w:rPr>
                <w:b/>
                <w:bCs/>
              </w:rPr>
              <w:t>1</w:t>
            </w:r>
            <w:r w:rsidR="002E55FF">
              <w:rPr>
                <w:b/>
                <w:bCs/>
              </w:rPr>
              <w:t>0</w:t>
            </w:r>
            <w:r w:rsidRPr="0005484E">
              <w:rPr>
                <w:b/>
                <w:bCs/>
              </w:rPr>
              <w:t xml:space="preserve"> = liczba uzyskanych punktów oferty badanej</w:t>
            </w:r>
          </w:p>
          <w:p w14:paraId="5AE6EA42" w14:textId="3E66783F" w:rsidR="004545C9" w:rsidRDefault="004545C9">
            <w:r>
              <w:t xml:space="preserve">Cena </w:t>
            </w:r>
            <w:r w:rsidRPr="00591E5B">
              <w:t xml:space="preserve">w </w:t>
            </w:r>
            <w:proofErr w:type="spellStart"/>
            <w:r w:rsidRPr="00591E5B">
              <w:t>podkryterium</w:t>
            </w:r>
            <w:proofErr w:type="spellEnd"/>
            <w:r w:rsidRPr="00591E5B">
              <w:t xml:space="preserve"> „</w:t>
            </w:r>
            <w:r w:rsidR="00AD0881">
              <w:t>Utrzymanie Platformy</w:t>
            </w:r>
            <w:r w:rsidRPr="00591E5B">
              <w:t>…”  oferty badanej</w:t>
            </w:r>
          </w:p>
        </w:tc>
      </w:tr>
    </w:tbl>
    <w:p w14:paraId="3AF20462" w14:textId="77777777" w:rsidR="00BA5977" w:rsidRDefault="00BA5977" w:rsidP="00591E5B"/>
    <w:p w14:paraId="1A6CF5EC" w14:textId="4956D082" w:rsidR="005D1E99" w:rsidRDefault="005D1E99" w:rsidP="005D1E99">
      <w:pPr>
        <w:pStyle w:val="Nagwek2"/>
      </w:pPr>
      <w:r>
        <w:t>3.</w:t>
      </w:r>
      <w:r w:rsidR="00523033">
        <w:t>2</w:t>
      </w:r>
      <w:r>
        <w:t>. Kryterium „</w:t>
      </w:r>
      <w:r w:rsidR="00AC70BF" w:rsidRPr="00AC70BF">
        <w:t>Wstępny projekt strony prezentacji szczegółów wydarzenia/atrakcji</w:t>
      </w:r>
      <w:r>
        <w:t>”</w:t>
      </w:r>
      <w:r w:rsidR="004C1729">
        <w:t xml:space="preserve"> (maks. </w:t>
      </w:r>
      <w:r w:rsidR="00AC70BF">
        <w:t>3</w:t>
      </w:r>
      <w:r w:rsidR="000B585B">
        <w:t>0</w:t>
      </w:r>
      <w:r w:rsidR="008300DD">
        <w:t xml:space="preserve"> pu</w:t>
      </w:r>
      <w:r w:rsidR="004C1729">
        <w:t>nkt</w:t>
      </w:r>
      <w:r w:rsidR="000B585B">
        <w:t>ów</w:t>
      </w:r>
      <w:r w:rsidR="004C1729">
        <w:t>)</w:t>
      </w:r>
      <w:r>
        <w:t>:</w:t>
      </w:r>
    </w:p>
    <w:p w14:paraId="08DD3088" w14:textId="6CF933E3" w:rsidR="001872B8" w:rsidRDefault="001872B8" w:rsidP="001872B8">
      <w:r>
        <w:t>Podczas oceny Zamawiający przyjmie zasadę, że 1 punkt = 1%.</w:t>
      </w:r>
    </w:p>
    <w:p w14:paraId="1F1D2B3B" w14:textId="7CA25AC0" w:rsidR="004C1729" w:rsidRDefault="004C1729" w:rsidP="004C1729">
      <w:r>
        <w:t xml:space="preserve">Punkty w tym kryterium zostaną przydzielone według następujących </w:t>
      </w:r>
      <w:proofErr w:type="spellStart"/>
      <w:r>
        <w:t>podkryteriów</w:t>
      </w:r>
      <w:proofErr w:type="spellEnd"/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8187"/>
      </w:tblGrid>
      <w:tr w:rsidR="00455112" w14:paraId="550A6860" w14:textId="77777777" w:rsidTr="00251AFA">
        <w:tc>
          <w:tcPr>
            <w:tcW w:w="5807" w:type="dxa"/>
          </w:tcPr>
          <w:p w14:paraId="3878A16E" w14:textId="571D8662" w:rsidR="00455112" w:rsidRPr="00455112" w:rsidRDefault="00455112" w:rsidP="004C172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Podkryterium</w:t>
            </w:r>
            <w:proofErr w:type="spellEnd"/>
          </w:p>
        </w:tc>
        <w:tc>
          <w:tcPr>
            <w:tcW w:w="8187" w:type="dxa"/>
          </w:tcPr>
          <w:p w14:paraId="06D5D99F" w14:textId="50A88C83" w:rsidR="00455112" w:rsidRPr="00455112" w:rsidRDefault="00455112" w:rsidP="004C1729">
            <w:pPr>
              <w:rPr>
                <w:b/>
                <w:bCs/>
              </w:rPr>
            </w:pPr>
            <w:r>
              <w:rPr>
                <w:b/>
                <w:bCs/>
              </w:rPr>
              <w:t>Sposób przyznania punktów</w:t>
            </w:r>
          </w:p>
        </w:tc>
      </w:tr>
      <w:tr w:rsidR="004C1729" w14:paraId="54201E06" w14:textId="77777777" w:rsidTr="00251AFA">
        <w:tc>
          <w:tcPr>
            <w:tcW w:w="5807" w:type="dxa"/>
          </w:tcPr>
          <w:p w14:paraId="7F0D36D0" w14:textId="0030747F" w:rsidR="004C1729" w:rsidRPr="00455112" w:rsidRDefault="00251AFA" w:rsidP="004C1729">
            <w:r w:rsidRPr="00251AFA">
              <w:t>Wstępny projekt strony prezentacji szczegółów wydarzenia/atrakcji</w:t>
            </w:r>
          </w:p>
        </w:tc>
        <w:tc>
          <w:tcPr>
            <w:tcW w:w="8187" w:type="dxa"/>
          </w:tcPr>
          <w:p w14:paraId="51B7470B" w14:textId="77777777" w:rsidR="004C1729" w:rsidRDefault="00455112" w:rsidP="004C1729">
            <w:r>
              <w:t xml:space="preserve"> </w:t>
            </w:r>
            <w:r w:rsidR="000A1003">
              <w:t xml:space="preserve">W tym </w:t>
            </w:r>
            <w:proofErr w:type="spellStart"/>
            <w:r w:rsidR="000A1003">
              <w:t>podkryterium</w:t>
            </w:r>
            <w:proofErr w:type="spellEnd"/>
            <w:r w:rsidR="000A1003">
              <w:t xml:space="preserve"> ocenimy:</w:t>
            </w:r>
          </w:p>
          <w:p w14:paraId="414FCF55" w14:textId="2F2C00E9" w:rsidR="00251AFA" w:rsidRDefault="00EB2ED2" w:rsidP="000A1003">
            <w:pPr>
              <w:pStyle w:val="Akapitzlist"/>
              <w:numPr>
                <w:ilvl w:val="0"/>
                <w:numId w:val="3"/>
              </w:numPr>
            </w:pPr>
            <w:r>
              <w:t xml:space="preserve">nowoczesność </w:t>
            </w:r>
            <w:r w:rsidR="00251AFA">
              <w:t xml:space="preserve">warstwy wizualnej </w:t>
            </w:r>
            <w:r w:rsidR="00B9503F">
              <w:t xml:space="preserve">prezentacji szczegółów wydarzenia/atrakcji </w:t>
            </w:r>
            <w:r w:rsidR="00251AFA">
              <w:t xml:space="preserve">– </w:t>
            </w:r>
            <w:r w:rsidR="002E273C">
              <w:t xml:space="preserve">0 - </w:t>
            </w:r>
            <w:r w:rsidR="00251AFA">
              <w:t>1</w:t>
            </w:r>
            <w:r w:rsidR="003019ED">
              <w:t>0</w:t>
            </w:r>
            <w:r w:rsidR="00251AFA">
              <w:t xml:space="preserve"> </w:t>
            </w:r>
            <w:r w:rsidR="002E273C">
              <w:t>pkt</w:t>
            </w:r>
          </w:p>
          <w:p w14:paraId="402D4703" w14:textId="2DF97D4E" w:rsidR="000A1003" w:rsidRDefault="00251AFA" w:rsidP="00BF3905">
            <w:pPr>
              <w:pStyle w:val="Akapitzlist"/>
              <w:numPr>
                <w:ilvl w:val="0"/>
                <w:numId w:val="3"/>
              </w:numPr>
            </w:pPr>
            <w:r>
              <w:lastRenderedPageBreak/>
              <w:t xml:space="preserve">użyteczność </w:t>
            </w:r>
            <w:r w:rsidR="00B9503F">
              <w:t xml:space="preserve">strony </w:t>
            </w:r>
            <w:r w:rsidR="000A1003">
              <w:t xml:space="preserve">– </w:t>
            </w:r>
            <w:r w:rsidR="002E273C">
              <w:t xml:space="preserve">0 - </w:t>
            </w:r>
            <w:r>
              <w:t>1</w:t>
            </w:r>
            <w:r w:rsidR="003019ED">
              <w:t>0</w:t>
            </w:r>
            <w:r w:rsidR="000A1003">
              <w:t xml:space="preserve"> </w:t>
            </w:r>
            <w:r w:rsidR="002E273C">
              <w:t>pkt</w:t>
            </w:r>
          </w:p>
          <w:p w14:paraId="2CEB1F89" w14:textId="7C1FD769" w:rsidR="003019ED" w:rsidRDefault="000A1003" w:rsidP="005F7E21">
            <w:pPr>
              <w:pStyle w:val="Akapitzlist"/>
              <w:numPr>
                <w:ilvl w:val="0"/>
                <w:numId w:val="3"/>
              </w:numPr>
            </w:pPr>
            <w:r>
              <w:t xml:space="preserve">trafność doboru głównych komunikatów </w:t>
            </w:r>
            <w:r w:rsidR="00B9503F">
              <w:t xml:space="preserve">strony </w:t>
            </w:r>
            <w:r>
              <w:t>z punktu widzenia komunikacji do grup</w:t>
            </w:r>
            <w:r w:rsidR="00251AFA">
              <w:t>y</w:t>
            </w:r>
            <w:r>
              <w:t xml:space="preserve"> docelow</w:t>
            </w:r>
            <w:r w:rsidR="00251AFA">
              <w:t xml:space="preserve">ej </w:t>
            </w:r>
            <w:r>
              <w:t xml:space="preserve">– </w:t>
            </w:r>
            <w:r w:rsidR="002E273C">
              <w:t xml:space="preserve">0 - </w:t>
            </w:r>
            <w:r w:rsidR="00251AFA">
              <w:t>1</w:t>
            </w:r>
            <w:r w:rsidR="003019ED">
              <w:t>0</w:t>
            </w:r>
            <w:r w:rsidR="00251AFA">
              <w:t xml:space="preserve"> </w:t>
            </w:r>
            <w:r>
              <w:t>pkt</w:t>
            </w:r>
          </w:p>
          <w:p w14:paraId="7FCFF63D" w14:textId="109D17FE" w:rsidR="003019ED" w:rsidRDefault="003019ED" w:rsidP="00003517">
            <w:pPr>
              <w:pStyle w:val="Akapitzlist"/>
              <w:numPr>
                <w:ilvl w:val="0"/>
                <w:numId w:val="14"/>
              </w:numPr>
            </w:pPr>
            <w:r>
              <w:t>Za nowoczesną</w:t>
            </w:r>
            <w:r w:rsidR="00F209CC">
              <w:t xml:space="preserve"> (</w:t>
            </w:r>
            <w:r>
              <w:t>zgodną z trendami na rynku</w:t>
            </w:r>
            <w:r w:rsidR="00F209CC">
              <w:t>)</w:t>
            </w:r>
            <w:r w:rsidR="00EB2ED2">
              <w:t xml:space="preserve">, </w:t>
            </w:r>
            <w:r w:rsidR="00F209CC">
              <w:t>użyteczną (</w:t>
            </w:r>
            <w:r w:rsidR="009652D5">
              <w:t xml:space="preserve">czytelną i </w:t>
            </w:r>
            <w:r w:rsidR="00F209CC">
              <w:t>prostą w obsłudze)</w:t>
            </w:r>
            <w:r w:rsidR="006327DE">
              <w:t xml:space="preserve"> i </w:t>
            </w:r>
            <w:r w:rsidR="005C5C82">
              <w:t>spełniającą kryterium trafności komunikacji (</w:t>
            </w:r>
            <w:r w:rsidR="006327DE">
              <w:t>w przejrzysty sposób prezentującą potrzebne informacje</w:t>
            </w:r>
            <w:r w:rsidR="005C5C82">
              <w:t>)</w:t>
            </w:r>
            <w:r w:rsidR="00891298">
              <w:t xml:space="preserve"> </w:t>
            </w:r>
            <w:r w:rsidR="00483F89">
              <w:t xml:space="preserve">stronę </w:t>
            </w:r>
            <w:r>
              <w:t>szczegółów wydarzenia/atrakcji – Zamawiający przyzna 10 p</w:t>
            </w:r>
            <w:r w:rsidR="00483F89">
              <w:t>unktów</w:t>
            </w:r>
            <w:r>
              <w:t>;</w:t>
            </w:r>
          </w:p>
          <w:p w14:paraId="4C9F9B7B" w14:textId="6A792D0D" w:rsidR="003019ED" w:rsidRDefault="003019ED" w:rsidP="00EB2ED2">
            <w:pPr>
              <w:pStyle w:val="Akapitzlist"/>
              <w:numPr>
                <w:ilvl w:val="1"/>
                <w:numId w:val="3"/>
              </w:numPr>
            </w:pPr>
            <w:r>
              <w:t>Przez „nowoczesność” rozumie się</w:t>
            </w:r>
            <w:r w:rsidR="00EB2ED2">
              <w:t xml:space="preserve"> </w:t>
            </w:r>
            <w:r>
              <w:t>całościowy wygląd projektu,</w:t>
            </w:r>
            <w:r w:rsidR="00EB2ED2">
              <w:t xml:space="preserve"> </w:t>
            </w:r>
            <w:r>
              <w:t>dobór kolorystyki i współgrania barw, dobór zdjęć, elementów graficznych oraz ich rozmieszenie względem siebie,</w:t>
            </w:r>
            <w:r w:rsidR="00EB2ED2">
              <w:t xml:space="preserve"> nowatorstwo przekazu</w:t>
            </w:r>
          </w:p>
          <w:p w14:paraId="064A57BC" w14:textId="68B67A3A" w:rsidR="00EB2ED2" w:rsidRDefault="00EB2ED2" w:rsidP="003019ED">
            <w:pPr>
              <w:pStyle w:val="Akapitzlist"/>
              <w:numPr>
                <w:ilvl w:val="1"/>
                <w:numId w:val="3"/>
              </w:numPr>
            </w:pPr>
            <w:r>
              <w:t xml:space="preserve">Przez </w:t>
            </w:r>
            <w:r w:rsidR="00C4396C">
              <w:t>„</w:t>
            </w:r>
            <w:r>
              <w:t>użyteczność</w:t>
            </w:r>
            <w:r w:rsidR="00C4396C">
              <w:t>”</w:t>
            </w:r>
            <w:r>
              <w:t xml:space="preserve"> rozumie się przejrzystość i spójność całej formy </w:t>
            </w:r>
          </w:p>
          <w:p w14:paraId="1E27D519" w14:textId="3960A02E" w:rsidR="003019ED" w:rsidRDefault="00EB2ED2" w:rsidP="003019ED">
            <w:pPr>
              <w:pStyle w:val="Akapitzlist"/>
              <w:numPr>
                <w:ilvl w:val="1"/>
                <w:numId w:val="3"/>
              </w:numPr>
            </w:pPr>
            <w:r>
              <w:lastRenderedPageBreak/>
              <w:t xml:space="preserve">Przez </w:t>
            </w:r>
            <w:r w:rsidR="00C4396C">
              <w:t>„</w:t>
            </w:r>
            <w:r>
              <w:t>trafność komunikacji</w:t>
            </w:r>
            <w:r w:rsidR="00C4396C">
              <w:t>”</w:t>
            </w:r>
            <w:r>
              <w:t xml:space="preserve"> rozumie się dobór treści </w:t>
            </w:r>
            <w:r w:rsidR="003019ED">
              <w:t xml:space="preserve">i wyeksponowanie najważniejszych </w:t>
            </w:r>
            <w:r>
              <w:t xml:space="preserve">dla użytkownika </w:t>
            </w:r>
            <w:r w:rsidR="003019ED">
              <w:t>informacji</w:t>
            </w:r>
          </w:p>
          <w:p w14:paraId="65E44122" w14:textId="6C97BEC5" w:rsidR="00483F89" w:rsidRDefault="00483F89" w:rsidP="005F7E21">
            <w:pPr>
              <w:pStyle w:val="Akapitzlist"/>
              <w:numPr>
                <w:ilvl w:val="0"/>
                <w:numId w:val="14"/>
              </w:numPr>
            </w:pPr>
            <w:r>
              <w:t>Za stronę szczegółów wydarzenia/atrakcji, spełniającą w stopniu dobrym warunek nowoczesności, użyteczności i trafności komunikacyjnej  – Zamawiający przyzna 7 punktów;</w:t>
            </w:r>
          </w:p>
          <w:p w14:paraId="53517B05" w14:textId="3640FE9B" w:rsidR="003019ED" w:rsidRDefault="003019ED" w:rsidP="00003517">
            <w:pPr>
              <w:pStyle w:val="Akapitzlist"/>
              <w:numPr>
                <w:ilvl w:val="0"/>
                <w:numId w:val="14"/>
              </w:numPr>
            </w:pPr>
            <w:r>
              <w:t xml:space="preserve">Za </w:t>
            </w:r>
            <w:r w:rsidR="00483F89">
              <w:t>stronę szczegółów wydarzenia/atrakcji, spełniającą w stopniu dostatecznym warunek</w:t>
            </w:r>
            <w:r>
              <w:t xml:space="preserve"> </w:t>
            </w:r>
            <w:r w:rsidR="006440ED">
              <w:t>nowoczesn</w:t>
            </w:r>
            <w:r w:rsidR="00483F89">
              <w:t>ości</w:t>
            </w:r>
            <w:r w:rsidR="00FE131F">
              <w:t xml:space="preserve"> użyteczn</w:t>
            </w:r>
            <w:r w:rsidR="00483F89">
              <w:t>ości</w:t>
            </w:r>
            <w:r w:rsidR="006440ED">
              <w:t xml:space="preserve"> i </w:t>
            </w:r>
            <w:r w:rsidR="00483F89">
              <w:t xml:space="preserve">trafności komunikacyjnej </w:t>
            </w:r>
            <w:r w:rsidR="006440ED">
              <w:t xml:space="preserve"> </w:t>
            </w:r>
            <w:r>
              <w:t>– Zamawiający</w:t>
            </w:r>
            <w:r w:rsidR="006440ED">
              <w:t xml:space="preserve"> </w:t>
            </w:r>
            <w:r>
              <w:t xml:space="preserve">przyzna </w:t>
            </w:r>
            <w:r w:rsidR="00483F89">
              <w:t xml:space="preserve">3 </w:t>
            </w:r>
            <w:r w:rsidR="000E7FBB">
              <w:t>punkty</w:t>
            </w:r>
            <w:r>
              <w:t>;</w:t>
            </w:r>
          </w:p>
          <w:p w14:paraId="38FCC50C" w14:textId="0B21DB6E" w:rsidR="003019ED" w:rsidRDefault="003019ED" w:rsidP="000E7FBB">
            <w:pPr>
              <w:pStyle w:val="Akapitzlist"/>
              <w:numPr>
                <w:ilvl w:val="0"/>
                <w:numId w:val="14"/>
              </w:numPr>
            </w:pPr>
            <w:r>
              <w:t>Za nienowoczesną</w:t>
            </w:r>
            <w:r w:rsidR="006440ED">
              <w:t xml:space="preserve"> </w:t>
            </w:r>
            <w:r w:rsidR="00483F89">
              <w:t>stronę szczegółów wydarzenia/atrakcji</w:t>
            </w:r>
            <w:r>
              <w:t>, niezgodną z</w:t>
            </w:r>
            <w:r w:rsidR="006440ED">
              <w:t xml:space="preserve"> </w:t>
            </w:r>
            <w:r>
              <w:t xml:space="preserve">trendami, która nie </w:t>
            </w:r>
            <w:r w:rsidR="00FE131F">
              <w:t xml:space="preserve">jest użyteczna i </w:t>
            </w:r>
            <w:r w:rsidR="00FF202E">
              <w:t>w znikomym stopniu przekazuje potrzebne użytkownikowi komunikaty</w:t>
            </w:r>
            <w:r w:rsidR="009652D5">
              <w:t xml:space="preserve"> </w:t>
            </w:r>
            <w:r>
              <w:t>–</w:t>
            </w:r>
            <w:r w:rsidR="006440ED">
              <w:t xml:space="preserve"> </w:t>
            </w:r>
            <w:r>
              <w:t xml:space="preserve">Zamawiający przyzna 0 </w:t>
            </w:r>
            <w:r w:rsidR="005E4B84">
              <w:t>punktów</w:t>
            </w:r>
            <w:r>
              <w:t>.</w:t>
            </w:r>
          </w:p>
        </w:tc>
      </w:tr>
    </w:tbl>
    <w:p w14:paraId="08E3DC27" w14:textId="7F72EB68" w:rsidR="0075086D" w:rsidRDefault="0075086D" w:rsidP="0075086D">
      <w:pPr>
        <w:pStyle w:val="Nagwek1"/>
      </w:pPr>
      <w:r>
        <w:lastRenderedPageBreak/>
        <w:t>4. Inne informacje:</w:t>
      </w:r>
    </w:p>
    <w:p w14:paraId="28818522" w14:textId="11DAF570" w:rsidR="0075086D" w:rsidRDefault="0075086D" w:rsidP="0075086D">
      <w:r>
        <w:t>1. Zamawiający zastrzega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0BDD2F57" w14:textId="77777777" w:rsidR="0075086D" w:rsidRDefault="0075086D" w:rsidP="0075086D">
      <w:r>
        <w:t>a)</w:t>
      </w:r>
      <w:r>
        <w:tab/>
        <w:t xml:space="preserve">postępowanie obarczone jest niemożliwą do usunięcia wadą; </w:t>
      </w:r>
    </w:p>
    <w:p w14:paraId="3F6DC2BF" w14:textId="77777777" w:rsidR="0075086D" w:rsidRDefault="0075086D" w:rsidP="0075086D">
      <w:r>
        <w:t>b)</w:t>
      </w:r>
      <w:r>
        <w:tab/>
        <w:t>wystąpiła istotna zmiana okoliczności powodująca, że przeprowadzenie postępowania lub wykonanie zamówienia nie leży w interesie Zamawiającego.</w:t>
      </w:r>
    </w:p>
    <w:p w14:paraId="3161CDD3" w14:textId="4679AF09" w:rsidR="0075086D" w:rsidRDefault="0075086D" w:rsidP="0075086D">
      <w:r>
        <w:t>2.</w:t>
      </w:r>
      <w:r>
        <w:tab/>
        <w:t>Wykonawcom biorącym udział w postepowaniu nie przysługują z tego tytułu prawa do jakichkolwiek roszczeń w stosunku do Zamawiającego.</w:t>
      </w:r>
    </w:p>
    <w:p w14:paraId="1021EFFF" w14:textId="48AE24A7" w:rsidR="0075086D" w:rsidRDefault="0075086D" w:rsidP="0075086D">
      <w:r>
        <w:t>3.</w:t>
      </w:r>
      <w:r>
        <w:tab/>
        <w:t xml:space="preserve">Zamawiający zastrzega sobie prawo do rezygnacji z realizacji zamówienia i nie zawarcia umowy po rozstrzygnięciu ogłoszeniu wyników rozeznania bez podania przyczyny. </w:t>
      </w:r>
    </w:p>
    <w:p w14:paraId="0100C309" w14:textId="149EEED5" w:rsidR="0075086D" w:rsidRDefault="0075086D" w:rsidP="0075086D">
      <w:r>
        <w:lastRenderedPageBreak/>
        <w:t>4.</w:t>
      </w:r>
      <w:r>
        <w:tab/>
        <w:t>Zamawiający zastrzega również, że rozstrzygnięcie wyników rozeznania nie kreuje obowiązku zawarcia umowy i nie może stanowić podstaw do zaciągania zobowiązań przez wybranego Wykonawcy ani do roszczeń z jego strony względem Zamawiającego.</w:t>
      </w:r>
    </w:p>
    <w:p w14:paraId="1546E8FE" w14:textId="33E29562" w:rsidR="0075086D" w:rsidRPr="005F7E21" w:rsidRDefault="0075086D" w:rsidP="0075086D">
      <w:r w:rsidRPr="005F7E21">
        <w:t>5.</w:t>
      </w:r>
      <w:r w:rsidRPr="005F7E21">
        <w:tab/>
        <w:t xml:space="preserve">Jeżeli informacje i dokumenty zawarte w ofercie stanowią tajemnicę przedsiębiorstwa w rozumieniu przepisów o zwalczaniu nieuczciwej konkurencji, należy wskazać, że nie mogą być one udostępniane. </w:t>
      </w:r>
    </w:p>
    <w:p w14:paraId="5C651F01" w14:textId="3B4DF7DC" w:rsidR="0075086D" w:rsidRDefault="0075086D" w:rsidP="0075086D">
      <w:r>
        <w:t>6.</w:t>
      </w:r>
      <w:r>
        <w:tab/>
        <w:t xml:space="preserve"> W przypadku utajnienia oferty, Wykonawca nie później niż w terminie składania ofert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trzy warunki:</w:t>
      </w:r>
    </w:p>
    <w:p w14:paraId="2E6360B0" w14:textId="77777777" w:rsidR="0075086D" w:rsidRDefault="0075086D" w:rsidP="0075086D">
      <w:r>
        <w:t>a)</w:t>
      </w:r>
      <w:r>
        <w:tab/>
        <w:t>ma charakter techniczny, technologiczny, organizacyjny przedsiębiorstwa lub jest to inna informacja mającą wartość gospodarczą;</w:t>
      </w:r>
    </w:p>
    <w:p w14:paraId="358110B6" w14:textId="77777777" w:rsidR="0075086D" w:rsidRDefault="0075086D" w:rsidP="0075086D">
      <w:r>
        <w:t>b)</w:t>
      </w:r>
      <w:r>
        <w:tab/>
        <w:t>nie została ujawniona do wiadomości publicznej;</w:t>
      </w:r>
    </w:p>
    <w:p w14:paraId="276AA85A" w14:textId="705A5484" w:rsidR="0075086D" w:rsidRDefault="0075086D" w:rsidP="0075086D">
      <w:r>
        <w:t>c)</w:t>
      </w:r>
      <w:r>
        <w:tab/>
        <w:t>podjęto w stosunku do niej niezbędne działania w celu zachowania poufności.</w:t>
      </w:r>
    </w:p>
    <w:p w14:paraId="15F469FE" w14:textId="63A1AE9F" w:rsidR="0075086D" w:rsidRPr="005F7E21" w:rsidRDefault="0071786D" w:rsidP="0075086D">
      <w:r w:rsidRPr="005F7E21">
        <w:lastRenderedPageBreak/>
        <w:t>7</w:t>
      </w:r>
      <w:r w:rsidR="0075086D" w:rsidRPr="005F7E21">
        <w:t>.</w:t>
      </w:r>
      <w:r w:rsidR="0075086D" w:rsidRPr="005F7E21">
        <w:tab/>
        <w:t xml:space="preserve"> Oferty złożone po terminie nie będą rozpatrywane.</w:t>
      </w:r>
    </w:p>
    <w:p w14:paraId="0CC5C6EC" w14:textId="77777777" w:rsidR="005D1E99" w:rsidRPr="00591E5B" w:rsidRDefault="005D1E99" w:rsidP="00591E5B"/>
    <w:sectPr w:rsidR="005D1E99" w:rsidRPr="00591E5B" w:rsidSect="00BE21D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BEB0" w14:textId="77777777" w:rsidR="009F20FF" w:rsidRDefault="009F20FF" w:rsidP="00710EED">
      <w:pPr>
        <w:spacing w:after="0" w:line="240" w:lineRule="auto"/>
      </w:pPr>
      <w:r>
        <w:separator/>
      </w:r>
    </w:p>
  </w:endnote>
  <w:endnote w:type="continuationSeparator" w:id="0">
    <w:p w14:paraId="655511D4" w14:textId="77777777" w:rsidR="009F20FF" w:rsidRDefault="009F20FF" w:rsidP="0071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FF27" w14:textId="77777777" w:rsidR="009F20FF" w:rsidRDefault="009F20FF" w:rsidP="00710EED">
      <w:pPr>
        <w:spacing w:after="0" w:line="240" w:lineRule="auto"/>
      </w:pPr>
      <w:r>
        <w:separator/>
      </w:r>
    </w:p>
  </w:footnote>
  <w:footnote w:type="continuationSeparator" w:id="0">
    <w:p w14:paraId="5126871A" w14:textId="77777777" w:rsidR="009F20FF" w:rsidRDefault="009F20FF" w:rsidP="0071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8BD1" w14:textId="1B503D7B" w:rsidR="009D0046" w:rsidRPr="009D0046" w:rsidRDefault="00EF6547" w:rsidP="009D0046">
    <w:pPr>
      <w:pStyle w:val="Stopka"/>
      <w:jc w:val="center"/>
      <w:rPr>
        <w:rFonts w:ascii="Calibri" w:hAnsi="Calibri" w:cs="Calibri"/>
        <w:color w:val="000000"/>
        <w:sz w:val="20"/>
        <w:szCs w:val="20"/>
      </w:rPr>
    </w:pPr>
    <w:r>
      <w:rPr>
        <w:noProof/>
      </w:rPr>
      <w:drawing>
        <wp:inline distT="0" distB="0" distL="0" distR="0" wp14:anchorId="20FDD937" wp14:editId="382B62E3">
          <wp:extent cx="8892540" cy="1734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73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0046" w:rsidRPr="009D0046">
      <w:rPr>
        <w:rFonts w:ascii="Calibri" w:hAnsi="Calibri" w:cs="Calibri"/>
        <w:color w:val="000000"/>
        <w:sz w:val="20"/>
        <w:szCs w:val="20"/>
      </w:rPr>
      <w:t xml:space="preserve"> </w:t>
    </w:r>
    <w:r w:rsidR="009D0046" w:rsidRPr="00EF0C3F">
      <w:rPr>
        <w:rFonts w:ascii="Calibri" w:hAnsi="Calibri" w:cs="Calibri"/>
        <w:color w:val="000000"/>
        <w:sz w:val="20"/>
        <w:szCs w:val="20"/>
      </w:rPr>
      <w:t>Projekt współfinansowany z Europejskiego Funduszu Rozwoju Regionalnego w ramach Programu Operacyjnego Pomoc Techniczna 2021 – 2027</w:t>
    </w:r>
  </w:p>
  <w:p w14:paraId="749A806B" w14:textId="5C78A49F" w:rsidR="00710EED" w:rsidRDefault="00710EED" w:rsidP="009D00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F96F98"/>
    <w:multiLevelType w:val="hybridMultilevel"/>
    <w:tmpl w:val="CE9E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A0A"/>
    <w:multiLevelType w:val="hybridMultilevel"/>
    <w:tmpl w:val="83A4D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31F59"/>
    <w:multiLevelType w:val="hybridMultilevel"/>
    <w:tmpl w:val="AFCA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351B"/>
    <w:multiLevelType w:val="hybridMultilevel"/>
    <w:tmpl w:val="0D7C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D7AA6"/>
    <w:multiLevelType w:val="hybridMultilevel"/>
    <w:tmpl w:val="C402263E"/>
    <w:lvl w:ilvl="0" w:tplc="6B52A5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CC4CE4A">
      <w:start w:val="1"/>
      <w:numFmt w:val="lowerLetter"/>
      <w:lvlText w:val="%2."/>
      <w:lvlJc w:val="left"/>
      <w:pPr>
        <w:ind w:left="1353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F3408"/>
    <w:multiLevelType w:val="hybridMultilevel"/>
    <w:tmpl w:val="9B78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7B60"/>
    <w:multiLevelType w:val="hybridMultilevel"/>
    <w:tmpl w:val="D0A84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15F66"/>
    <w:multiLevelType w:val="hybridMultilevel"/>
    <w:tmpl w:val="0822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B2927"/>
    <w:multiLevelType w:val="hybridMultilevel"/>
    <w:tmpl w:val="D122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0706B"/>
    <w:multiLevelType w:val="hybridMultilevel"/>
    <w:tmpl w:val="15A6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0460B"/>
    <w:multiLevelType w:val="hybridMultilevel"/>
    <w:tmpl w:val="92C0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C77F0"/>
    <w:multiLevelType w:val="hybridMultilevel"/>
    <w:tmpl w:val="0910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C098F"/>
    <w:multiLevelType w:val="hybridMultilevel"/>
    <w:tmpl w:val="C20E3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06"/>
    <w:rsid w:val="00003517"/>
    <w:rsid w:val="00020150"/>
    <w:rsid w:val="000434E2"/>
    <w:rsid w:val="00043C24"/>
    <w:rsid w:val="0005484E"/>
    <w:rsid w:val="000A1003"/>
    <w:rsid w:val="000B3E8F"/>
    <w:rsid w:val="000B585B"/>
    <w:rsid w:val="000D2E1D"/>
    <w:rsid w:val="000E7FBB"/>
    <w:rsid w:val="000F13A7"/>
    <w:rsid w:val="0011005C"/>
    <w:rsid w:val="00152C1B"/>
    <w:rsid w:val="001803DD"/>
    <w:rsid w:val="001837B5"/>
    <w:rsid w:val="001872B8"/>
    <w:rsid w:val="00193F6A"/>
    <w:rsid w:val="001C24CB"/>
    <w:rsid w:val="001D7C1B"/>
    <w:rsid w:val="002034C1"/>
    <w:rsid w:val="00221647"/>
    <w:rsid w:val="00251AFA"/>
    <w:rsid w:val="00277709"/>
    <w:rsid w:val="002854C5"/>
    <w:rsid w:val="002E273C"/>
    <w:rsid w:val="002E55FF"/>
    <w:rsid w:val="003019ED"/>
    <w:rsid w:val="00305291"/>
    <w:rsid w:val="00312A5B"/>
    <w:rsid w:val="003734F3"/>
    <w:rsid w:val="003A3C49"/>
    <w:rsid w:val="003A5149"/>
    <w:rsid w:val="003E1375"/>
    <w:rsid w:val="004545C9"/>
    <w:rsid w:val="00455112"/>
    <w:rsid w:val="00483F89"/>
    <w:rsid w:val="004933F4"/>
    <w:rsid w:val="0049795E"/>
    <w:rsid w:val="004A0AF6"/>
    <w:rsid w:val="004A603A"/>
    <w:rsid w:val="004B35C9"/>
    <w:rsid w:val="004C1729"/>
    <w:rsid w:val="004F6D61"/>
    <w:rsid w:val="00505CBE"/>
    <w:rsid w:val="00523033"/>
    <w:rsid w:val="00591E5B"/>
    <w:rsid w:val="005B4345"/>
    <w:rsid w:val="005C5C82"/>
    <w:rsid w:val="005D1E99"/>
    <w:rsid w:val="005E4B84"/>
    <w:rsid w:val="005F7E21"/>
    <w:rsid w:val="00603C44"/>
    <w:rsid w:val="006327DE"/>
    <w:rsid w:val="006440ED"/>
    <w:rsid w:val="00670816"/>
    <w:rsid w:val="006726BD"/>
    <w:rsid w:val="00674EAE"/>
    <w:rsid w:val="00681A54"/>
    <w:rsid w:val="006C0EED"/>
    <w:rsid w:val="00710EED"/>
    <w:rsid w:val="00713719"/>
    <w:rsid w:val="00716B42"/>
    <w:rsid w:val="0071786D"/>
    <w:rsid w:val="00731F1C"/>
    <w:rsid w:val="0075086D"/>
    <w:rsid w:val="00754F6C"/>
    <w:rsid w:val="007A19A2"/>
    <w:rsid w:val="0081320C"/>
    <w:rsid w:val="00820EBF"/>
    <w:rsid w:val="008279FA"/>
    <w:rsid w:val="008300DD"/>
    <w:rsid w:val="00841C83"/>
    <w:rsid w:val="0087685D"/>
    <w:rsid w:val="00890272"/>
    <w:rsid w:val="00891298"/>
    <w:rsid w:val="00896200"/>
    <w:rsid w:val="008B7929"/>
    <w:rsid w:val="009175A0"/>
    <w:rsid w:val="00953FFD"/>
    <w:rsid w:val="0095663F"/>
    <w:rsid w:val="009652D5"/>
    <w:rsid w:val="009A00F4"/>
    <w:rsid w:val="009D0046"/>
    <w:rsid w:val="009F20FF"/>
    <w:rsid w:val="00A02606"/>
    <w:rsid w:val="00A32EAA"/>
    <w:rsid w:val="00AC70BF"/>
    <w:rsid w:val="00AD0881"/>
    <w:rsid w:val="00B27FFE"/>
    <w:rsid w:val="00B535D1"/>
    <w:rsid w:val="00B64D63"/>
    <w:rsid w:val="00B9503F"/>
    <w:rsid w:val="00BA5977"/>
    <w:rsid w:val="00BE0956"/>
    <w:rsid w:val="00BE21D4"/>
    <w:rsid w:val="00BF138D"/>
    <w:rsid w:val="00C02B19"/>
    <w:rsid w:val="00C16674"/>
    <w:rsid w:val="00C251F0"/>
    <w:rsid w:val="00C43418"/>
    <w:rsid w:val="00C4396C"/>
    <w:rsid w:val="00C6266F"/>
    <w:rsid w:val="00C823B6"/>
    <w:rsid w:val="00C85A71"/>
    <w:rsid w:val="00CB6886"/>
    <w:rsid w:val="00CC77B1"/>
    <w:rsid w:val="00CD5C0A"/>
    <w:rsid w:val="00CF4317"/>
    <w:rsid w:val="00D32480"/>
    <w:rsid w:val="00D553D7"/>
    <w:rsid w:val="00DF6763"/>
    <w:rsid w:val="00E73F0C"/>
    <w:rsid w:val="00EB2ED2"/>
    <w:rsid w:val="00EB725D"/>
    <w:rsid w:val="00EC1302"/>
    <w:rsid w:val="00EC4E67"/>
    <w:rsid w:val="00ED27F9"/>
    <w:rsid w:val="00ED5F48"/>
    <w:rsid w:val="00EF19B5"/>
    <w:rsid w:val="00EF5A6A"/>
    <w:rsid w:val="00EF6547"/>
    <w:rsid w:val="00F209CC"/>
    <w:rsid w:val="00F35819"/>
    <w:rsid w:val="00F5133B"/>
    <w:rsid w:val="00F70671"/>
    <w:rsid w:val="00FA1735"/>
    <w:rsid w:val="00FA3965"/>
    <w:rsid w:val="00FB12E2"/>
    <w:rsid w:val="00FB7C43"/>
    <w:rsid w:val="00FD0438"/>
    <w:rsid w:val="00FE131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5518CD"/>
  <w15:chartTrackingRefBased/>
  <w15:docId w15:val="{86396B3C-EBCF-48EB-8B33-9A4657E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A5B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7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1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312A5B"/>
    <w:pPr>
      <w:spacing w:after="0" w:line="360" w:lineRule="auto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72"/>
    <w:qFormat/>
    <w:rsid w:val="00312A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EED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71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EED"/>
    <w:rPr>
      <w:rFonts w:ascii="Arial" w:hAnsi="Arial"/>
      <w:sz w:val="24"/>
    </w:rPr>
  </w:style>
  <w:style w:type="table" w:styleId="Tabela-Siatka">
    <w:name w:val="Table Grid"/>
    <w:basedOn w:val="Standardowy"/>
    <w:uiPriority w:val="39"/>
    <w:rsid w:val="0059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91E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E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1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E21D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508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4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4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48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4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480"/>
    <w:rPr>
      <w:rFonts w:ascii="Arial" w:hAnsi="Arial"/>
      <w:b/>
      <w:bCs/>
      <w:sz w:val="20"/>
      <w:szCs w:val="20"/>
    </w:rPr>
  </w:style>
  <w:style w:type="character" w:styleId="Hipercze">
    <w:name w:val="Hyperlink"/>
    <w:unhideWhenUsed/>
    <w:rsid w:val="00FB12E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Wilczyńska Marzena</cp:lastModifiedBy>
  <cp:revision>10</cp:revision>
  <dcterms:created xsi:type="dcterms:W3CDTF">2023-10-24T10:47:00Z</dcterms:created>
  <dcterms:modified xsi:type="dcterms:W3CDTF">2023-10-25T07:46:00Z</dcterms:modified>
</cp:coreProperties>
</file>